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EA0C" w14:textId="77777777" w:rsidR="002F3F0A" w:rsidRDefault="002F3F0A">
      <w:pPr>
        <w:spacing w:after="80"/>
      </w:pPr>
    </w:p>
    <w:p w14:paraId="1ABD9325" w14:textId="77777777" w:rsidR="002F3F0A" w:rsidRDefault="00000000">
      <w:pPr>
        <w:spacing w:after="60"/>
      </w:pPr>
      <w:r>
        <w:rPr>
          <w:b/>
          <w:bCs/>
          <w:color w:val="003087"/>
          <w:sz w:val="36"/>
          <w:szCs w:val="36"/>
        </w:rPr>
        <w:t>PROPOSED APPROACH TO NET SERVICE</w:t>
      </w:r>
    </w:p>
    <w:p w14:paraId="75C2C289" w14:textId="77777777" w:rsidR="002F3F0A" w:rsidRDefault="00000000">
      <w:pPr>
        <w:spacing w:after="60"/>
      </w:pPr>
      <w:r>
        <w:rPr>
          <w:b/>
          <w:bCs/>
          <w:color w:val="C8A951"/>
          <w:sz w:val="36"/>
          <w:szCs w:val="36"/>
        </w:rPr>
        <w:t>DATA MANAGEMENT AND ENETS CoE READINESS</w:t>
      </w:r>
    </w:p>
    <w:p w14:paraId="652ABEA5" w14:textId="1BB37465" w:rsidR="002F3F0A" w:rsidRDefault="00000000">
      <w:pPr>
        <w:spacing w:after="200"/>
      </w:pPr>
      <w:r>
        <w:rPr>
          <w:i/>
          <w:iCs/>
          <w:color w:val="555555"/>
          <w:sz w:val="18"/>
          <w:szCs w:val="18"/>
        </w:rPr>
        <w:t xml:space="preserve">Sherin David Layanal </w:t>
      </w:r>
    </w:p>
    <w:p w14:paraId="33E0AFA9" w14:textId="77777777" w:rsidR="002F3F0A" w:rsidRDefault="00000000">
      <w:pPr>
        <w:spacing w:before="240" w:after="120"/>
      </w:pPr>
      <w:r>
        <w:rPr>
          <w:b/>
          <w:bCs/>
          <w:color w:val="003087"/>
          <w:sz w:val="24"/>
          <w:szCs w:val="24"/>
        </w:rPr>
        <w:t>1.  Current challenge</w:t>
      </w:r>
    </w:p>
    <w:p w14:paraId="4DBFB990" w14:textId="1AA2ED25" w:rsidR="002F3F0A" w:rsidRDefault="00000000">
      <w:pPr>
        <w:spacing w:after="160"/>
      </w:pPr>
      <w:r>
        <w:t>Neuroendocrine tumour services generate complex, longitudinal patient data spanning multiple health boards, treatment modalities, and external agencies. The South Wales NET Service holds ENETS Centre of Excellence accreditation</w:t>
      </w:r>
      <w:r w:rsidR="00B073AF">
        <w:t>,</w:t>
      </w:r>
      <w:r>
        <w:t xml:space="preserve"> a standard that requires consistently complete, auditable patient data for annual international submission and periodic CoE audit visits.</w:t>
      </w:r>
    </w:p>
    <w:p w14:paraId="3497F7B7" w14:textId="32B1179D" w:rsidR="002F3F0A" w:rsidRDefault="00000000" w:rsidP="00B073AF">
      <w:pPr>
        <w:spacing w:after="160"/>
      </w:pPr>
      <w:r>
        <w:t>Without a proactive, year-round data management approach, ENETS field completeness and submission readiness risk degrading gradually</w:t>
      </w:r>
      <w:r w:rsidR="00B073AF">
        <w:t>,</w:t>
      </w:r>
      <w:r>
        <w:t xml:space="preserve"> creating a significant workload spike before each submission window and increasing the risk of findings at audit.</w:t>
      </w:r>
    </w:p>
    <w:p w14:paraId="4506FABA" w14:textId="77777777" w:rsidR="002F3F0A" w:rsidRDefault="00000000">
      <w:pPr>
        <w:spacing w:before="240" w:after="120"/>
      </w:pPr>
      <w:r>
        <w:rPr>
          <w:b/>
          <w:bCs/>
          <w:color w:val="003087"/>
          <w:sz w:val="24"/>
          <w:szCs w:val="24"/>
        </w:rPr>
        <w:t>2.  Illustrative service data snapshot</w:t>
      </w:r>
    </w:p>
    <w:p w14:paraId="37CD83D8" w14:textId="77777777" w:rsidR="002F3F0A" w:rsidRDefault="00000000">
      <w:pPr>
        <w:spacing w:after="160"/>
      </w:pPr>
      <w:r>
        <w:rPr>
          <w:color w:val="555555"/>
          <w:sz w:val="18"/>
          <w:szCs w:val="18"/>
        </w:rPr>
        <w:t>The table below reflects key data quality indicators from a synthetic 150-patient NET dataset built to mirror the structure of a real service database, using ENETS-mapped fields.</w:t>
      </w:r>
    </w:p>
    <w:p w14:paraId="6247B9E0" w14:textId="77777777" w:rsidR="002F3F0A" w:rsidRDefault="002F3F0A">
      <w:pPr>
        <w:spacing w:after="100"/>
      </w:pP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2F3F0A" w14:paraId="3470C67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2C05B" w14:textId="77777777" w:rsidR="002F3F0A" w:rsidRDefault="00000000">
            <w:pPr>
              <w:spacing w:after="60"/>
              <w:jc w:val="center"/>
            </w:pPr>
            <w:r>
              <w:rPr>
                <w:b/>
                <w:bCs/>
                <w:color w:val="C8A951"/>
                <w:sz w:val="36"/>
                <w:szCs w:val="36"/>
              </w:rPr>
              <w:t>74.7%</w:t>
            </w:r>
          </w:p>
          <w:p w14:paraId="088A582D" w14:textId="77777777" w:rsidR="002F3F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ENETS ready</w:t>
            </w:r>
          </w:p>
        </w:tc>
        <w:tc>
          <w:tcPr>
            <w:tcW w:w="2256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5663A" w14:textId="77777777" w:rsidR="002F3F0A" w:rsidRDefault="00000000">
            <w:pPr>
              <w:spacing w:after="60"/>
              <w:jc w:val="center"/>
            </w:pPr>
            <w:r>
              <w:rPr>
                <w:b/>
                <w:bCs/>
                <w:color w:val="C8A951"/>
                <w:sz w:val="36"/>
                <w:szCs w:val="36"/>
              </w:rPr>
              <w:t>84.0%</w:t>
            </w:r>
          </w:p>
          <w:p w14:paraId="530F9B88" w14:textId="77777777" w:rsidR="002F3F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MDT rate</w:t>
            </w:r>
          </w:p>
        </w:tc>
        <w:tc>
          <w:tcPr>
            <w:tcW w:w="2256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CE8FCB" w14:textId="77777777" w:rsidR="002F3F0A" w:rsidRDefault="00000000">
            <w:pPr>
              <w:spacing w:after="60"/>
              <w:jc w:val="center"/>
            </w:pPr>
            <w:r>
              <w:rPr>
                <w:b/>
                <w:bCs/>
                <w:color w:val="C8A951"/>
                <w:sz w:val="36"/>
                <w:szCs w:val="36"/>
              </w:rPr>
              <w:t>40</w:t>
            </w:r>
          </w:p>
          <w:p w14:paraId="476F1AFD" w14:textId="77777777" w:rsidR="002F3F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High queries</w:t>
            </w:r>
          </w:p>
        </w:tc>
        <w:tc>
          <w:tcPr>
            <w:tcW w:w="2256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6B3740" w14:textId="77777777" w:rsidR="002F3F0A" w:rsidRDefault="00000000">
            <w:pPr>
              <w:spacing w:after="60"/>
              <w:jc w:val="center"/>
            </w:pPr>
            <w:r>
              <w:rPr>
                <w:b/>
                <w:bCs/>
                <w:color w:val="C8A951"/>
                <w:sz w:val="36"/>
                <w:szCs w:val="36"/>
              </w:rPr>
              <w:t>104</w:t>
            </w:r>
          </w:p>
          <w:p w14:paraId="083355D7" w14:textId="77777777" w:rsidR="002F3F0A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Overdue F/U</w:t>
            </w:r>
          </w:p>
        </w:tc>
      </w:tr>
    </w:tbl>
    <w:p w14:paraId="0892F1E3" w14:textId="77777777" w:rsidR="002F3F0A" w:rsidRDefault="002F3F0A">
      <w:pPr>
        <w:spacing w:after="120"/>
      </w:pPr>
    </w:p>
    <w:p w14:paraId="08564B17" w14:textId="77777777" w:rsidR="002F3F0A" w:rsidRDefault="00000000">
      <w:pPr>
        <w:spacing w:before="240" w:after="120"/>
      </w:pPr>
      <w:r>
        <w:rPr>
          <w:b/>
          <w:bCs/>
          <w:color w:val="003087"/>
          <w:sz w:val="24"/>
          <w:szCs w:val="24"/>
        </w:rPr>
        <w:t>3.  Proposed data management architecture</w:t>
      </w:r>
    </w:p>
    <w:p w14:paraId="718B6F9C" w14:textId="387CD4CF" w:rsidR="002F3F0A" w:rsidRDefault="00000000">
      <w:pPr>
        <w:pStyle w:val="ListParagraph"/>
        <w:numPr>
          <w:ilvl w:val="0"/>
          <w:numId w:val="2"/>
        </w:numPr>
        <w:spacing w:after="100"/>
      </w:pPr>
      <w:r>
        <w:t>Centralised ENETS-mapped database with mandatory field validation on entry</w:t>
      </w:r>
      <w:r w:rsidR="00B073AF">
        <w:t xml:space="preserve">, </w:t>
      </w:r>
      <w:r>
        <w:t>preventing incomplete records at source rather than cleaning downstream.</w:t>
      </w:r>
    </w:p>
    <w:p w14:paraId="0D45A273" w14:textId="77777777" w:rsidR="002F3F0A" w:rsidRDefault="00000000">
      <w:pPr>
        <w:pStyle w:val="ListParagraph"/>
        <w:numPr>
          <w:ilvl w:val="0"/>
          <w:numId w:val="2"/>
        </w:numPr>
        <w:spacing w:after="100"/>
      </w:pPr>
      <w:r>
        <w:t>Automated quality rules flagging: missing ENETS fields, overdue follow-up (&gt;365 days), Ki-67/grade mismatches, MDT discussion gaps, and treatment date errors.</w:t>
      </w:r>
    </w:p>
    <w:p w14:paraId="4375BC37" w14:textId="77777777" w:rsidR="002F3F0A" w:rsidRDefault="00000000">
      <w:pPr>
        <w:pStyle w:val="ListParagraph"/>
        <w:numPr>
          <w:ilvl w:val="0"/>
          <w:numId w:val="2"/>
        </w:numPr>
        <w:spacing w:after="100"/>
      </w:pPr>
      <w:r>
        <w:t>Monthly Power BI dashboard (three views): service overview KPIs, ENETS compliance tracker with per-patient submission status, and open query log by severity.</w:t>
      </w:r>
    </w:p>
    <w:p w14:paraId="16C26ACA" w14:textId="6F4535F7" w:rsidR="002F3F0A" w:rsidRDefault="00000000">
      <w:pPr>
        <w:pStyle w:val="ListParagraph"/>
        <w:numPr>
          <w:ilvl w:val="0"/>
          <w:numId w:val="2"/>
        </w:numPr>
        <w:spacing w:after="100"/>
      </w:pPr>
      <w:r>
        <w:t>Quarterly completeness audit mapped to ENETS CoE indicators</w:t>
      </w:r>
      <w:r w:rsidR="00B073AF">
        <w:t xml:space="preserve">, </w:t>
      </w:r>
      <w:r>
        <w:t>providing minimum three months lead time to resolve gaps before submission window.</w:t>
      </w:r>
    </w:p>
    <w:p w14:paraId="5B696E96" w14:textId="5A02C396" w:rsidR="002F3F0A" w:rsidRDefault="00000000" w:rsidP="00B073AF">
      <w:pPr>
        <w:pStyle w:val="ListParagraph"/>
        <w:numPr>
          <w:ilvl w:val="0"/>
          <w:numId w:val="2"/>
        </w:numPr>
        <w:spacing w:after="100"/>
      </w:pPr>
      <w:r>
        <w:t>Secure, role-based access in line with Caldicott Principles and GDPR; all systems registered with UHB Data Protection Officer.</w:t>
      </w:r>
    </w:p>
    <w:p w14:paraId="76C4618E" w14:textId="77777777" w:rsidR="002F3F0A" w:rsidRDefault="00000000">
      <w:pPr>
        <w:spacing w:before="240" w:after="120"/>
      </w:pPr>
      <w:r>
        <w:rPr>
          <w:b/>
          <w:bCs/>
          <w:color w:val="003087"/>
          <w:sz w:val="24"/>
          <w:szCs w:val="24"/>
        </w:rPr>
        <w:t>4.  ENETS field compliance — current state</w:t>
      </w:r>
    </w:p>
    <w:p w14:paraId="66DF8875" w14:textId="77777777" w:rsidR="002F3F0A" w:rsidRDefault="00000000">
      <w:pPr>
        <w:spacing w:after="160"/>
      </w:pPr>
      <w:r>
        <w:rPr>
          <w:color w:val="555555"/>
          <w:sz w:val="18"/>
          <w:szCs w:val="18"/>
        </w:rPr>
        <w:t>Illustrative field-level completeness across the synthetic dataset, demonstrating the type of reporting that would be available to the Lead NET Consultant and Service Manager in real time.</w:t>
      </w:r>
    </w:p>
    <w:p w14:paraId="2882E4B8" w14:textId="77777777" w:rsidR="002F3F0A" w:rsidRDefault="002F3F0A">
      <w:pPr>
        <w:spacing w:after="100"/>
      </w:pP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112"/>
        <w:gridCol w:w="2112"/>
      </w:tblGrid>
      <w:tr w:rsidR="002F3F0A" w14:paraId="26AD0A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361E" w14:textId="77777777" w:rsidR="002F3F0A" w:rsidRDefault="00000000">
            <w:r>
              <w:rPr>
                <w:b/>
                <w:bCs/>
                <w:color w:val="FFFFFF"/>
                <w:sz w:val="18"/>
                <w:szCs w:val="18"/>
              </w:rPr>
              <w:t>ENETS Data Field</w:t>
            </w:r>
          </w:p>
        </w:tc>
        <w:tc>
          <w:tcPr>
            <w:tcW w:w="211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FD7C" w14:textId="77777777" w:rsidR="002F3F0A" w:rsidRDefault="00000000">
            <w:r>
              <w:rPr>
                <w:b/>
                <w:bCs/>
                <w:color w:val="FFFFFF"/>
                <w:sz w:val="18"/>
                <w:szCs w:val="18"/>
              </w:rPr>
              <w:t>Completeness</w:t>
            </w:r>
          </w:p>
        </w:tc>
        <w:tc>
          <w:tcPr>
            <w:tcW w:w="211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36B1" w14:textId="77777777" w:rsidR="002F3F0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F3F0A" w14:paraId="435A3E9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E78A" w14:textId="77777777" w:rsidR="002F3F0A" w:rsidRDefault="00000000">
            <w:r>
              <w:rPr>
                <w:sz w:val="18"/>
                <w:szCs w:val="18"/>
              </w:rPr>
              <w:t>Tumour site recorded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8135" w14:textId="77777777" w:rsidR="002F3F0A" w:rsidRDefault="00000000">
            <w:r>
              <w:rPr>
                <w:sz w:val="18"/>
                <w:szCs w:val="18"/>
              </w:rPr>
              <w:t>100%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B390" w14:textId="77777777" w:rsidR="002F3F0A" w:rsidRDefault="00000000">
            <w:r>
              <w:rPr>
                <w:b/>
                <w:bCs/>
                <w:color w:val="1A6B3C"/>
                <w:sz w:val="18"/>
                <w:szCs w:val="18"/>
              </w:rPr>
              <w:t>Ready</w:t>
            </w:r>
          </w:p>
        </w:tc>
      </w:tr>
      <w:tr w:rsidR="002F3F0A" w14:paraId="47BD2C5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88FD" w14:textId="77777777" w:rsidR="002F3F0A" w:rsidRDefault="00000000">
            <w:r>
              <w:rPr>
                <w:sz w:val="18"/>
                <w:szCs w:val="18"/>
              </w:rPr>
              <w:t>Tumour grade (Ki-67)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4A19" w14:textId="77777777" w:rsidR="002F3F0A" w:rsidRDefault="00000000">
            <w:r>
              <w:rPr>
                <w:sz w:val="18"/>
                <w:szCs w:val="18"/>
              </w:rPr>
              <w:t>97%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620B" w14:textId="77777777" w:rsidR="002F3F0A" w:rsidRDefault="00000000">
            <w:r>
              <w:rPr>
                <w:b/>
                <w:bCs/>
                <w:color w:val="1A6B3C"/>
                <w:sz w:val="18"/>
                <w:szCs w:val="18"/>
              </w:rPr>
              <w:t>Ready</w:t>
            </w:r>
          </w:p>
        </w:tc>
      </w:tr>
      <w:tr w:rsidR="002F3F0A" w14:paraId="620B4C8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F879" w14:textId="77777777" w:rsidR="002F3F0A" w:rsidRDefault="00000000">
            <w:r>
              <w:rPr>
                <w:sz w:val="18"/>
                <w:szCs w:val="18"/>
              </w:rPr>
              <w:t>Chromogranin A measured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FEE5" w14:textId="77777777" w:rsidR="002F3F0A" w:rsidRDefault="00000000">
            <w:r>
              <w:rPr>
                <w:sz w:val="18"/>
                <w:szCs w:val="18"/>
              </w:rPr>
              <w:t>82%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4EDC" w14:textId="77777777" w:rsidR="002F3F0A" w:rsidRDefault="00000000">
            <w:r>
              <w:rPr>
                <w:b/>
                <w:bCs/>
                <w:color w:val="7A4F00"/>
                <w:sz w:val="18"/>
                <w:szCs w:val="18"/>
              </w:rPr>
              <w:t>Review</w:t>
            </w:r>
          </w:p>
        </w:tc>
      </w:tr>
      <w:tr w:rsidR="002F3F0A" w14:paraId="0764EC7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9629" w14:textId="77777777" w:rsidR="002F3F0A" w:rsidRDefault="00000000">
            <w:r>
              <w:rPr>
                <w:sz w:val="18"/>
                <w:szCs w:val="18"/>
              </w:rPr>
              <w:t>Imaging at diagnosis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940A" w14:textId="77777777" w:rsidR="002F3F0A" w:rsidRDefault="00000000">
            <w:r>
              <w:rPr>
                <w:sz w:val="18"/>
                <w:szCs w:val="18"/>
              </w:rPr>
              <w:t>95%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01C0" w14:textId="77777777" w:rsidR="002F3F0A" w:rsidRDefault="00000000">
            <w:r>
              <w:rPr>
                <w:b/>
                <w:bCs/>
                <w:color w:val="1A6B3C"/>
                <w:sz w:val="18"/>
                <w:szCs w:val="18"/>
              </w:rPr>
              <w:t>Ready</w:t>
            </w:r>
          </w:p>
        </w:tc>
      </w:tr>
      <w:tr w:rsidR="002F3F0A" w14:paraId="40B266B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FA55" w14:textId="77777777" w:rsidR="002F3F0A" w:rsidRDefault="00000000">
            <w:r>
              <w:rPr>
                <w:sz w:val="18"/>
                <w:szCs w:val="18"/>
              </w:rPr>
              <w:t>MDT discussion documented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6BF0" w14:textId="77777777" w:rsidR="002F3F0A" w:rsidRDefault="00000000">
            <w:r>
              <w:rPr>
                <w:sz w:val="18"/>
                <w:szCs w:val="18"/>
              </w:rPr>
              <w:t>84%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C6F4" w14:textId="77777777" w:rsidR="002F3F0A" w:rsidRDefault="00000000">
            <w:r>
              <w:rPr>
                <w:b/>
                <w:bCs/>
                <w:color w:val="7A4F00"/>
                <w:sz w:val="18"/>
                <w:szCs w:val="18"/>
              </w:rPr>
              <w:t>Review</w:t>
            </w:r>
          </w:p>
        </w:tc>
      </w:tr>
      <w:tr w:rsidR="002F3F0A" w14:paraId="73C7E0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5FC9" w14:textId="77777777" w:rsidR="002F3F0A" w:rsidRDefault="00000000">
            <w:r>
              <w:rPr>
                <w:sz w:val="18"/>
                <w:szCs w:val="18"/>
              </w:rPr>
              <w:t>ENETS all fields complete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6BAD" w14:textId="77777777" w:rsidR="002F3F0A" w:rsidRDefault="00000000">
            <w:r>
              <w:rPr>
                <w:sz w:val="18"/>
                <w:szCs w:val="18"/>
              </w:rPr>
              <w:t>74.7%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9488" w14:textId="77777777" w:rsidR="002F3F0A" w:rsidRDefault="00000000">
            <w:r>
              <w:rPr>
                <w:b/>
                <w:bCs/>
                <w:color w:val="8B1A1A"/>
                <w:sz w:val="18"/>
                <w:szCs w:val="18"/>
              </w:rPr>
              <w:t>Not Ready</w:t>
            </w:r>
          </w:p>
        </w:tc>
      </w:tr>
      <w:tr w:rsidR="002F3F0A" w14:paraId="5591BF5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DB19" w14:textId="77777777" w:rsidR="002F3F0A" w:rsidRDefault="00000000">
            <w:r>
              <w:rPr>
                <w:sz w:val="18"/>
                <w:szCs w:val="18"/>
              </w:rPr>
              <w:t>Follow-up within 12 months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399B" w14:textId="77777777" w:rsidR="002F3F0A" w:rsidRDefault="00000000">
            <w:r>
              <w:rPr>
                <w:sz w:val="18"/>
                <w:szCs w:val="18"/>
              </w:rPr>
              <w:t>69%</w:t>
            </w:r>
          </w:p>
        </w:tc>
        <w:tc>
          <w:tcPr>
            <w:tcW w:w="2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BBE2" w14:textId="77777777" w:rsidR="002F3F0A" w:rsidRDefault="00000000">
            <w:r>
              <w:rPr>
                <w:b/>
                <w:bCs/>
                <w:color w:val="8B1A1A"/>
                <w:sz w:val="18"/>
                <w:szCs w:val="18"/>
              </w:rPr>
              <w:t>Not Ready</w:t>
            </w:r>
          </w:p>
        </w:tc>
      </w:tr>
    </w:tbl>
    <w:p w14:paraId="53675310" w14:textId="77777777" w:rsidR="002F3F0A" w:rsidRDefault="002F3F0A">
      <w:pPr>
        <w:spacing w:after="80"/>
      </w:pPr>
    </w:p>
    <w:p w14:paraId="6442E868" w14:textId="2A1FF2D2" w:rsidR="002F3F0A" w:rsidRDefault="00000000" w:rsidP="00B073AF">
      <w:pPr>
        <w:spacing w:after="160"/>
      </w:pPr>
      <w:r>
        <w:rPr>
          <w:i/>
          <w:iCs/>
          <w:color w:val="555555"/>
          <w:sz w:val="18"/>
          <w:szCs w:val="18"/>
        </w:rPr>
        <w:t>Fields marked 'Not Ready' represent the priority targets for the first 30 days. Chromogranin A and follow-up documentation are the highest-volume gaps.</w:t>
      </w:r>
    </w:p>
    <w:p w14:paraId="75DAD2BE" w14:textId="77777777" w:rsidR="002F3F0A" w:rsidRDefault="00000000">
      <w:pPr>
        <w:spacing w:before="240" w:after="120"/>
      </w:pPr>
      <w:r>
        <w:rPr>
          <w:b/>
          <w:bCs/>
          <w:color w:val="003087"/>
          <w:sz w:val="24"/>
          <w:szCs w:val="24"/>
        </w:rPr>
        <w:t>5.  First 30 days — proposed actions</w:t>
      </w:r>
    </w:p>
    <w:p w14:paraId="66D3B19E" w14:textId="77777777" w:rsidR="002F3F0A" w:rsidRDefault="002F3F0A">
      <w:pPr>
        <w:spacing w:after="60"/>
      </w:pP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6144"/>
      </w:tblGrid>
      <w:tr w:rsidR="002F3F0A" w14:paraId="255D5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D822" w14:textId="77777777" w:rsidR="002F3F0A" w:rsidRDefault="00000000"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1440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731B" w14:textId="77777777" w:rsidR="002F3F0A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6144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0030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BC15" w14:textId="77777777" w:rsidR="002F3F0A" w:rsidRDefault="00000000">
            <w:r>
              <w:rPr>
                <w:b/>
                <w:bCs/>
                <w:color w:val="FFFFFF"/>
                <w:sz w:val="18"/>
                <w:szCs w:val="18"/>
              </w:rPr>
              <w:t>Actions</w:t>
            </w:r>
          </w:p>
        </w:tc>
      </w:tr>
      <w:tr w:rsidR="002F3F0A" w14:paraId="547560C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BE90" w14:textId="77777777" w:rsidR="002F3F0A" w:rsidRDefault="00000000">
            <w:r>
              <w:rPr>
                <w:b/>
                <w:bCs/>
                <w:sz w:val="18"/>
                <w:szCs w:val="18"/>
              </w:rPr>
              <w:t>Days 1–5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3E80" w14:textId="77777777" w:rsidR="002F3F0A" w:rsidRDefault="00000000">
            <w:r>
              <w:rPr>
                <w:b/>
                <w:bCs/>
                <w:sz w:val="18"/>
                <w:szCs w:val="18"/>
              </w:rPr>
              <w:t>Audit</w:t>
            </w:r>
          </w:p>
        </w:tc>
        <w:tc>
          <w:tcPr>
            <w:tcW w:w="6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AA70" w14:textId="77777777" w:rsidR="002F3F0A" w:rsidRDefault="00000000">
            <w:r>
              <w:rPr>
                <w:sz w:val="18"/>
                <w:szCs w:val="18"/>
              </w:rPr>
              <w:t>Full audit of existing databases against ENETS mandatory field list. Identify top data gaps and produce gap report for Lead Consultant.</w:t>
            </w:r>
          </w:p>
        </w:tc>
      </w:tr>
      <w:tr w:rsidR="002F3F0A" w14:paraId="0093A19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A72F" w14:textId="77777777" w:rsidR="002F3F0A" w:rsidRDefault="00000000">
            <w:r>
              <w:rPr>
                <w:b/>
                <w:bCs/>
                <w:sz w:val="18"/>
                <w:szCs w:val="18"/>
              </w:rPr>
              <w:t>Days 6–10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7756" w14:textId="77777777" w:rsidR="002F3F0A" w:rsidRDefault="00000000">
            <w:r>
              <w:rPr>
                <w:b/>
                <w:bCs/>
                <w:sz w:val="18"/>
                <w:szCs w:val="18"/>
              </w:rPr>
              <w:t>Quick wins</w:t>
            </w:r>
          </w:p>
        </w:tc>
        <w:tc>
          <w:tcPr>
            <w:tcW w:w="6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0019" w14:textId="77777777" w:rsidR="002F3F0A" w:rsidRDefault="00000000">
            <w:r>
              <w:rPr>
                <w:sz w:val="18"/>
                <w:szCs w:val="18"/>
              </w:rPr>
              <w:t>Resolve top 3 recurring data quality issues. Set up automated validation rules in Excel/Access as interim measure while Power BI is configured.</w:t>
            </w:r>
          </w:p>
        </w:tc>
      </w:tr>
      <w:tr w:rsidR="002F3F0A" w14:paraId="31747E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D868" w14:textId="77777777" w:rsidR="002F3F0A" w:rsidRDefault="00000000">
            <w:r>
              <w:rPr>
                <w:b/>
                <w:bCs/>
                <w:sz w:val="18"/>
                <w:szCs w:val="18"/>
              </w:rPr>
              <w:t>Days 11–20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D57D" w14:textId="77777777" w:rsidR="002F3F0A" w:rsidRDefault="00000000">
            <w:r>
              <w:rPr>
                <w:b/>
                <w:bCs/>
                <w:sz w:val="18"/>
                <w:szCs w:val="18"/>
              </w:rPr>
              <w:t>Reporting</w:t>
            </w:r>
          </w:p>
        </w:tc>
        <w:tc>
          <w:tcPr>
            <w:tcW w:w="6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FB32" w14:textId="77777777" w:rsidR="002F3F0A" w:rsidRDefault="00000000">
            <w:r>
              <w:rPr>
                <w:sz w:val="18"/>
                <w:szCs w:val="18"/>
              </w:rPr>
              <w:t>Build first version of monthly Power BI dashboard: service overview, ENETS compliance tracker, open query log. Share draft with Service Manager for feedback.</w:t>
            </w:r>
          </w:p>
        </w:tc>
      </w:tr>
      <w:tr w:rsidR="002F3F0A" w14:paraId="67C8057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51C7" w14:textId="77777777" w:rsidR="002F3F0A" w:rsidRDefault="00000000">
            <w:r>
              <w:rPr>
                <w:b/>
                <w:bCs/>
                <w:sz w:val="18"/>
                <w:szCs w:val="18"/>
              </w:rPr>
              <w:t>Days 21–30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221F" w14:textId="77777777" w:rsidR="002F3F0A" w:rsidRDefault="00000000">
            <w:r>
              <w:rPr>
                <w:b/>
                <w:bCs/>
                <w:sz w:val="18"/>
                <w:szCs w:val="18"/>
              </w:rPr>
              <w:t>Systems</w:t>
            </w:r>
          </w:p>
        </w:tc>
        <w:tc>
          <w:tcPr>
            <w:tcW w:w="6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EF81" w14:textId="77777777" w:rsidR="002F3F0A" w:rsidRDefault="00000000">
            <w:r>
              <w:rPr>
                <w:sz w:val="18"/>
                <w:szCs w:val="18"/>
              </w:rPr>
              <w:t>Document all data flows and sources. Draft standard operating procedure for data entry. Begin scoping Digital Teams meeting to discuss longer-term database development.</w:t>
            </w:r>
          </w:p>
        </w:tc>
      </w:tr>
    </w:tbl>
    <w:p w14:paraId="7F85E198" w14:textId="77777777" w:rsidR="002F3F0A" w:rsidRDefault="002F3F0A">
      <w:pPr>
        <w:spacing w:after="120"/>
      </w:pPr>
    </w:p>
    <w:p w14:paraId="4E2C75BC" w14:textId="77777777" w:rsidR="002F3F0A" w:rsidRDefault="00000000">
      <w:pPr>
        <w:spacing w:before="240" w:after="120"/>
      </w:pPr>
      <w:r>
        <w:rPr>
          <w:b/>
          <w:bCs/>
          <w:color w:val="003087"/>
          <w:sz w:val="24"/>
          <w:szCs w:val="24"/>
        </w:rPr>
        <w:t>6.  Alignment with JCC and ENETS standards</w:t>
      </w:r>
    </w:p>
    <w:p w14:paraId="1AAD8E55" w14:textId="77777777" w:rsidR="002F3F0A" w:rsidRDefault="00000000">
      <w:pPr>
        <w:pStyle w:val="ListParagraph"/>
        <w:numPr>
          <w:ilvl w:val="0"/>
          <w:numId w:val="2"/>
        </w:numPr>
        <w:spacing w:after="100"/>
      </w:pPr>
      <w:r>
        <w:t>JCC service specification compliance: monthly reporting to Lead Consultant, Service Manager, and Finance/Commissioning teams built into dashboard from day one.</w:t>
      </w:r>
    </w:p>
    <w:p w14:paraId="0F3A0EFA" w14:textId="551E4139" w:rsidR="002F3F0A" w:rsidRDefault="00000000">
      <w:pPr>
        <w:pStyle w:val="ListParagraph"/>
        <w:numPr>
          <w:ilvl w:val="0"/>
          <w:numId w:val="2"/>
        </w:numPr>
        <w:spacing w:after="100"/>
      </w:pPr>
      <w:r>
        <w:t>ENETS CoE accreditation: year-round submission readiness monitoring replaces annual reactive data cleaning</w:t>
      </w:r>
      <w:r w:rsidR="00B073AF">
        <w:t xml:space="preserve">, </w:t>
      </w:r>
      <w:r>
        <w:t>reducing risk at international audit visits.</w:t>
      </w:r>
    </w:p>
    <w:p w14:paraId="415D33DC" w14:textId="77777777" w:rsidR="002F3F0A" w:rsidRDefault="00000000">
      <w:pPr>
        <w:pStyle w:val="ListParagraph"/>
        <w:numPr>
          <w:ilvl w:val="0"/>
          <w:numId w:val="2"/>
        </w:numPr>
        <w:spacing w:after="100"/>
      </w:pPr>
      <w:r>
        <w:t>Academic research support: validated, complete datasets enable the high-quality outcomes data required for manuscript preparation and clinical governance.</w:t>
      </w:r>
    </w:p>
    <w:p w14:paraId="6946A8A2" w14:textId="0DA1D5D1" w:rsidR="002F3F0A" w:rsidRDefault="00000000" w:rsidP="00B073AF">
      <w:pPr>
        <w:pStyle w:val="ListParagraph"/>
        <w:numPr>
          <w:ilvl w:val="0"/>
          <w:numId w:val="2"/>
        </w:numPr>
        <w:spacing w:after="100"/>
      </w:pPr>
      <w:r>
        <w:t>Cross-Wales collaboration: standardised reporting structure facilitates benchmarking with other NET centres across the UK.</w:t>
      </w:r>
    </w:p>
    <w:sectPr w:rsidR="002F3F0A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A72EE" w14:textId="77777777" w:rsidR="00822031" w:rsidRDefault="00822031">
      <w:r>
        <w:separator/>
      </w:r>
    </w:p>
  </w:endnote>
  <w:endnote w:type="continuationSeparator" w:id="0">
    <w:p w14:paraId="33623D5C" w14:textId="77777777" w:rsidR="00822031" w:rsidRDefault="00822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502C" w14:textId="1C8F1BD7" w:rsidR="002F3F0A" w:rsidRDefault="002F3F0A">
    <w:pPr>
      <w:tabs>
        <w:tab w:val="right" w:pos="9026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38F12" w14:textId="77777777" w:rsidR="00822031" w:rsidRDefault="00822031">
      <w:r>
        <w:separator/>
      </w:r>
    </w:p>
  </w:footnote>
  <w:footnote w:type="continuationSeparator" w:id="0">
    <w:p w14:paraId="57508518" w14:textId="77777777" w:rsidR="00822031" w:rsidRDefault="00822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B14FA" w14:textId="77777777" w:rsidR="002F3F0A" w:rsidRDefault="00000000">
    <w:pPr>
      <w:tabs>
        <w:tab w:val="right" w:pos="9026"/>
      </w:tabs>
    </w:pPr>
    <w:r>
      <w:rPr>
        <w:b/>
        <w:bCs/>
        <w:color w:val="003087"/>
        <w:sz w:val="18"/>
        <w:szCs w:val="18"/>
      </w:rPr>
      <w:t>NET Service — Data Management Proposal</w:t>
    </w:r>
    <w:r>
      <w:tab/>
    </w:r>
    <w:r>
      <w:rPr>
        <w:color w:val="555555"/>
        <w:sz w:val="18"/>
        <w:szCs w:val="18"/>
      </w:rPr>
      <w:t>Cardiff and Vale University Health Board</w:t>
    </w:r>
  </w:p>
  <w:p w14:paraId="13607EEF" w14:textId="77777777" w:rsidR="002F3F0A" w:rsidRDefault="002F3F0A">
    <w:pPr>
      <w:pBdr>
        <w:bottom w:val="single" w:sz="8" w:space="1" w:color="C8A95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447B"/>
    <w:multiLevelType w:val="hybridMultilevel"/>
    <w:tmpl w:val="B56EE42E"/>
    <w:lvl w:ilvl="0" w:tplc="77AA2BEC">
      <w:start w:val="1"/>
      <w:numFmt w:val="bullet"/>
      <w:lvlText w:val="•"/>
      <w:lvlJc w:val="left"/>
      <w:pPr>
        <w:ind w:left="720" w:hanging="360"/>
      </w:pPr>
    </w:lvl>
    <w:lvl w:ilvl="1" w:tplc="5A54D5B8">
      <w:numFmt w:val="decimal"/>
      <w:lvlText w:val=""/>
      <w:lvlJc w:val="left"/>
    </w:lvl>
    <w:lvl w:ilvl="2" w:tplc="6CD82F66">
      <w:numFmt w:val="decimal"/>
      <w:lvlText w:val=""/>
      <w:lvlJc w:val="left"/>
    </w:lvl>
    <w:lvl w:ilvl="3" w:tplc="C48832F4">
      <w:numFmt w:val="decimal"/>
      <w:lvlText w:val=""/>
      <w:lvlJc w:val="left"/>
    </w:lvl>
    <w:lvl w:ilvl="4" w:tplc="25E87F8C">
      <w:numFmt w:val="decimal"/>
      <w:lvlText w:val=""/>
      <w:lvlJc w:val="left"/>
    </w:lvl>
    <w:lvl w:ilvl="5" w:tplc="AB1CEF7A">
      <w:numFmt w:val="decimal"/>
      <w:lvlText w:val=""/>
      <w:lvlJc w:val="left"/>
    </w:lvl>
    <w:lvl w:ilvl="6" w:tplc="E466B196">
      <w:numFmt w:val="decimal"/>
      <w:lvlText w:val=""/>
      <w:lvlJc w:val="left"/>
    </w:lvl>
    <w:lvl w:ilvl="7" w:tplc="5AB40130">
      <w:numFmt w:val="decimal"/>
      <w:lvlText w:val=""/>
      <w:lvlJc w:val="left"/>
    </w:lvl>
    <w:lvl w:ilvl="8" w:tplc="104EE9DE">
      <w:numFmt w:val="decimal"/>
      <w:lvlText w:val=""/>
      <w:lvlJc w:val="left"/>
    </w:lvl>
  </w:abstractNum>
  <w:abstractNum w:abstractNumId="1" w15:restartNumberingAfterBreak="0">
    <w:nsid w:val="32B7619F"/>
    <w:multiLevelType w:val="hybridMultilevel"/>
    <w:tmpl w:val="ABAA4B0E"/>
    <w:lvl w:ilvl="0" w:tplc="DDC42EDE">
      <w:start w:val="1"/>
      <w:numFmt w:val="bullet"/>
      <w:lvlText w:val="●"/>
      <w:lvlJc w:val="left"/>
      <w:pPr>
        <w:ind w:left="720" w:hanging="360"/>
      </w:pPr>
    </w:lvl>
    <w:lvl w:ilvl="1" w:tplc="48B48FF0">
      <w:start w:val="1"/>
      <w:numFmt w:val="bullet"/>
      <w:lvlText w:val="○"/>
      <w:lvlJc w:val="left"/>
      <w:pPr>
        <w:ind w:left="1440" w:hanging="360"/>
      </w:pPr>
    </w:lvl>
    <w:lvl w:ilvl="2" w:tplc="8EDC320E">
      <w:start w:val="1"/>
      <w:numFmt w:val="bullet"/>
      <w:lvlText w:val="■"/>
      <w:lvlJc w:val="left"/>
      <w:pPr>
        <w:ind w:left="2160" w:hanging="360"/>
      </w:pPr>
    </w:lvl>
    <w:lvl w:ilvl="3" w:tplc="BC605C86">
      <w:start w:val="1"/>
      <w:numFmt w:val="bullet"/>
      <w:lvlText w:val="●"/>
      <w:lvlJc w:val="left"/>
      <w:pPr>
        <w:ind w:left="2880" w:hanging="360"/>
      </w:pPr>
    </w:lvl>
    <w:lvl w:ilvl="4" w:tplc="F90CC94C">
      <w:start w:val="1"/>
      <w:numFmt w:val="bullet"/>
      <w:lvlText w:val="○"/>
      <w:lvlJc w:val="left"/>
      <w:pPr>
        <w:ind w:left="3600" w:hanging="360"/>
      </w:pPr>
    </w:lvl>
    <w:lvl w:ilvl="5" w:tplc="F55C85D4">
      <w:start w:val="1"/>
      <w:numFmt w:val="bullet"/>
      <w:lvlText w:val="■"/>
      <w:lvlJc w:val="left"/>
      <w:pPr>
        <w:ind w:left="4320" w:hanging="360"/>
      </w:pPr>
    </w:lvl>
    <w:lvl w:ilvl="6" w:tplc="7A2663B4">
      <w:start w:val="1"/>
      <w:numFmt w:val="bullet"/>
      <w:lvlText w:val="●"/>
      <w:lvlJc w:val="left"/>
      <w:pPr>
        <w:ind w:left="5040" w:hanging="360"/>
      </w:pPr>
    </w:lvl>
    <w:lvl w:ilvl="7" w:tplc="5526F7F4">
      <w:start w:val="1"/>
      <w:numFmt w:val="bullet"/>
      <w:lvlText w:val="●"/>
      <w:lvlJc w:val="left"/>
      <w:pPr>
        <w:ind w:left="5760" w:hanging="360"/>
      </w:pPr>
    </w:lvl>
    <w:lvl w:ilvl="8" w:tplc="DAC2F0D6">
      <w:start w:val="1"/>
      <w:numFmt w:val="bullet"/>
      <w:lvlText w:val="●"/>
      <w:lvlJc w:val="left"/>
      <w:pPr>
        <w:ind w:left="6480" w:hanging="360"/>
      </w:pPr>
    </w:lvl>
  </w:abstractNum>
  <w:num w:numId="1" w16cid:durableId="1805930305">
    <w:abstractNumId w:val="1"/>
    <w:lvlOverride w:ilvl="0">
      <w:startOverride w:val="1"/>
    </w:lvlOverride>
  </w:num>
  <w:num w:numId="2" w16cid:durableId="1849518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F0A"/>
    <w:rsid w:val="002F3F0A"/>
    <w:rsid w:val="00756A08"/>
    <w:rsid w:val="00822031"/>
    <w:rsid w:val="00B0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79F1"/>
  <w15:docId w15:val="{F305FEA1-C97A-426E-9D3D-93554F3D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73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3AF"/>
  </w:style>
  <w:style w:type="paragraph" w:styleId="Footer">
    <w:name w:val="footer"/>
    <w:basedOn w:val="Normal"/>
    <w:link w:val="FooterChar"/>
    <w:uiPriority w:val="99"/>
    <w:unhideWhenUsed/>
    <w:rsid w:val="00B073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Sherin D</cp:lastModifiedBy>
  <cp:revision>2</cp:revision>
  <dcterms:created xsi:type="dcterms:W3CDTF">2026-06-04T19:43:00Z</dcterms:created>
  <dcterms:modified xsi:type="dcterms:W3CDTF">2026-06-04T22:57:00Z</dcterms:modified>
</cp:coreProperties>
</file>