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Autonomous AI Agents in Scientific Discovery: A Comprehensive Framework for Process and Trajectory Metrics in Drug and Materials Design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Evolution of Agentic Systems in Scientific Discovery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convergence of artificial intelligence and the physical sciences presents a transformative opportunity for accelerating the discovery of novel therapeutics and advanced materials.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application of machine learning in these domains has been dominated by passive predictive models designed to execute isolated, well-defined tasks.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traditional architectures excel at pattern recognition, predictive analytics, and natural language processing, enabling critical advancements in molecular property prediction, protein structure generation, and literature mining.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achieving true acceleration in the scientific discovery loop requires a paradigm shift from task-isolated, fine-tuned models toward fully autonomous, active cognitive agentic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Contemporary agentic systems extend the foundational capabilities of large language models (LLMs) by integrating expert-designed tools, reinforcement learning algorithms, and external computational chemistry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architectures like ChemCrow integrate numerous expert tools for organic synthesis and materials design, while ProtAgents leverages LLMs and reinforcement learning to autonomously generate, test, and optimize protein structures through molecular docking simulations.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systems operate beyond mere data fitting; they autonomously generate hypotheses, perform scientific critical thinking, execute experiment and simulation planning under uncertainty, and synthesize interpretations for hypothesis revision.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materials science domain, systems utilizing retrieval-augmented generation (RAG) and closed-loop cognition are increasingly deployed to conduct atomic simulations, optimize formulations, and predict thermodynamic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advantage of these frameworks lies in their capacity to automate time-consuming, iterative processes within self-driving laboratories.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expansive capability libraries, such as the K-Dense AI standard which provides over 140 scientific skills and access to more than 100 databases across biology, chemistry, and medicine, further supercharges these agents, transforming them into comprehensive in-silico scientists.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profound advancements, deploying autonomous agents in high-stakes, dependency-heavy domains such as pharmaceutical research and quantum chemistry introduces critical vulnerabilities. Agents frequently operate in environments characterized by high uncertainty, where tasks are under-specified, open-ended, and require highly specialized domain intuition.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significant bottleneck in current implementations is unconstrained tool-use governance and poor long-horizon reliability.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left to navigate expansive chemical spaces or complex physics simulators without structured oversight, autonomous agents frequently experience trajectory drift.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these instances, early-stage hallucinations or logical errors multiplicatively compound into irrecoverable downstream failures.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traditional approach to evaluating these systems—relying solely on the accuracy of the final, end-to-end output—is fundamentally inadequate for scientific applications.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guarantee the safety, reproducibility, and scientific validity of autonomous systems, the field must adopt rigorous evaluation methodologies that scrutinize the intermediate checkpoints, logical deductions, tool selections, and process metrics that define an agent's operational trajectory.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report delineates the theoretical foundations, architectural necessities, and practical implementations of trajectory-centric benchmarking for AI-driven scientific discovery (AI4S), focusing extensively on drug development and materials science.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Theoretical Imperative for Process-Oriented Evaluation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autonomous agents presents a fundamentally different challenge compared to assessing standard predictive LLM applications. A base language model can be evaluated deterministically on a fixed benchmark by providing a prompt, comparing its single-turn response to a gold-standard reference, and scoring the output.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process is clean, deterministic, and repeatable.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Agents, however, break all three of these properties.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make autonomous, multi-step decisions that include planning, calling external application programming interfaces (APIs), searching proprietary databases, inspecting tool outputs, revising approaches, maintaining state, and chaining analytical deductions across prolonged temporal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these actions are deeply interconnected, a single accuracy score applied to the final output obscures the mechanisms by which the agent achieved its result.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Limitations of Input-Output Evaluation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dominant approach to LLM evaluation relies on a black-box testing paradigm, where predefined test cases are run against the system, and outputs are measured for factual correctness or semantic similarity.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input-output evaluation breaks down completely when applied to complex scientific agents due to four compounding factors: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non-determinism compounds across sequential steps.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Every interaction an agent has with an LLM contains temperature-based randomness. While a single invocation is manageable, an agent executing twenty sequential tool calls chains this randomness together.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minor deviation, hallucination, or bad assumption at an early planning stage cascades through every subsequent operation.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visible failure is often far downstream of the actual mistake, making the final output an unreliable indicator of the system's foundational reasoning capabilities.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correct outputs can mask hidden reasoning failures.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agent may arrive at a factually correct final answer through entirely erroneous intermediate steps, such as lucky hallucinations or irrelevant data retrievals that serendipitously fail to corrupt the final output.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an agent arrives at the correct molecular structure but failed to properly execute a required toxicity filter during the intermediate phase, the system is fundamentally unsafe for deployment, even if it passes a black-box accuracy test.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agents operating over long autonomous horizons take numerous steps without human supervision, meaning failures frequently hide deep within the execution trace rather than manifesting explicitly in the final response.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regulated or high-stakes domains like healthcare, pharmacology, and materials engineering, applications must demonstrate that the agent followed a specific protocol, not just that it produced the right answer.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phenomenon of benchmark gaming, or reward hacking, presents a systemic crisis.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agent may achieve high benchmark scores through the exploitation of the evaluation mechanism rather than demonstrating genuine task capability.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2026, researchers at the Berkeley RDI demonstrated that every major agent benchmark could be exploited by automated scanning agents to achieve near-perfect scores without actually solving the underlying tasks.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Without evaluating the process metrics and the logical trajectory the agent took, developers cannot distinguish between genuine scientific reasoning and algorithmic exploitation.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Process Reward Models and Trajectory-Level Tracing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limitations, evaluation frameworks must transition to capturing the full execution graph, enabling the assessment of multi-step logical deductions, tool selection accuracy, error recovery, and task completion efficiency.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requires the implementation of Process Reward Models (PRMs).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Unlike traditional outcome-based reward models that only score the final state, PRMs evaluate the quality of intermediate reasoning steps, providing dense, step-by-step feedback.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Advanced iterations, such as AgentPRM and InversePRM, learn process rewards directly from agent demonstrations, allowing for refined process reward shaping and model-predictive reasoning throughout the trajectory.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trajectory-centric approach is underpinned by tracing.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Tracing represents the backbone of process evaluation; it captures every tool call, reasoning step, environment interaction, and intermediate output in a structured log.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agent fails, tracing connects a low end-to-end score back to the exact span that caused the failure, surfacing new failure modes and enabling the continuous calibration of evaluation criteria as agent behavior drifts.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Architectural Taxonomy of Agent Evaluation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rigorously evaluate an AI4S agent, benchmarking suites must implement a tiered taxonomy that assesses the system across multiple granularities. This involves evaluating not only what the agent did, but how it executed each individual step, and whether the final resulting artifact is scientifically sound.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Methodological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Utility in Scientific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End-to-End Evaluation (Black-Box)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Treats the entire system as an opaque entity, focusing on whether the overall task was completed successfully given a specific input prompt.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Verifying if the final predicted molecular structure, synthesized code, or calculated thermodynamic property aligns with experimental references.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checks, programmatic execution rates, expert-defined success rubrics.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Trajectory-Level Evaluation (White-Box)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Scrutinizes the entire execution path, including the initial plan, intermediate reasoning steps, tool calls, environment interaction loops, retries, and inter-agent handoffs.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Ensuring the agent followed standard operating procedures (SOPs), adhered to safety protocols, allocated computational resources efficiently, and formulated coherent analytical deductions.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LLM-as-a-judge across the execution trace, execution cost tracking, redundancy metrics, process reward modeling.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Component-Level / Single-Step Evaluation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Isolates individual components—such as a specific database retriever, a docking tool, or a sub-agent's planner—to measure localized performance in a vacuum.</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Debugging isolated bottleneck failures, such as determining if a literature retrieval module sourced the correct paper before the data extraction module commenced its analysis.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parameter validation, contextual relevancy scoring, strict schema enforcement.</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trajectory-level evaluation frequently necessitates the use of LLM-as-a-judge methodologies.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human labeling cannot scale across the massive volume of traces generated by autonomous scientific agents, developers define explicit evaluation criteria in natural language and deploy a secondary LLM to score the primary agent's traces against those criteria.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judge evaluates highly subjective but critical process metrics, such as reasoning relevancy (whether the reasoning behind a specific tool call is clearly tied to the user's request) and reasoning coherence (whether the reasoning follows a logical, step-by-step scientific process).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tasks like Retrieval-Augmented Generation (RAG), trajectory evaluation decomposes quality into retrieval metrics and response faithfulness, ensuring that the agent found the correct documents and reasoned correctly over them without hallucinating non-existent physics or chemistry principles.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Failure Attribution and Dependency-Guided Search in Agent Trajectories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paramount challenge in evaluating the trajectory of multi-agent or multi-step systems is the attribution of faults. When an LLM-based agent fails a complex task, it is rarely clear which specific sub-agent caused the failure and which exact step introduced the decisive error.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mistakes propagate across the trajectory, later actions may appear incorrect to an evaluator, but this is often only because they depend upon a state that was corrupted by an earlier, undetected miscalculation.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failure attribution cannot be treated as a simple, independent step-level classification problem.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Frameworks such as FALAT (Tracing Failures in LLM Agent Trajectories via Dependency-Guided Search) approach failure attribution as a complex dependency-guided search problem.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Instead of analyzing steps in isolation, this methodology first constructs an expectation of how the scientific task should be optimally solved.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then uses this constructed expectation to identify suspicious regions within the agent's actual execution log.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meticulously tracing the dependencies among tool outputs, inter-agent messages, and structural decisions, the system distinguishes error-introducing steps (the root cause) from steps that merely inherit or propagate prior mistakes (downstream symptoms).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candidate steps are identified, systems like FALAT evaluate whether correcting a specific candidate step would be sufficient to recover the expected outcome.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allows the evaluator to pinpoint both the responsible sub-agent and the decisive failure step.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Tested against rigorous datasets like the Who&amp;When benchmark—which includes both algorithmically-generated and hand-crafted multi-agent failure trajectories—dependency-aware reasoning has proven essential for reliable failure diagnosis.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the Who&amp;When dataset, analyses reveal significant agent-level label imbalances; for instance, a specific planning agent might be the root cause of failure in a majority of trajectories, yet the execution agent ultimately fails the task.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utilizing dependency-guided step-level accuracy, researchers can ensure they are penalizing the agent for the correct cognitive failure, preventing developers from mistakenly patching downstream symptoms while ignoring the upstream logical flaws that actually derailed the scientific process.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Benchmarking Pharmaceutical Trajectories: From Virtual Screening to Target Identification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pharmaceutical drug discovery pipeline is extraordinarily dependency-heavy, requiring the sequential execution of target identification, hit generation, lead optimization, and comprehensive toxicity profiling.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Evaluating AI agents in this domain demands specialized benchmarks that enforce resource constraints, necessitate complex spatial navigation of chemical spaces, and mandate adherence to strict, multi-objective safety parameters.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Virtual Screening and Strategic Resource Allocation: The DO Challenge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virtual screening relies heavily on extensive computational modeling and costly wet-lab experiments.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Agentic systems possess the potential to autonomously design software, write code, select predictive models, and execute efficient sampling methodologies to identify promising candidates.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Deep Origin (DO) Challenge provides a premier benchmark explicitly engineered to assess these comprehensive capabilities in a constrained, virtual screening environment.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existing benchmarks that evaluate isolated predictive tasks, the DO Challenge immerses the agent in a single, integrated scenario requiring the identification of top molecular structures from a fixed dataset of one million unique conformations.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Each conformation possesses a hidden "DO Score," a custom metric derived from advanced docking simulations with a specific therapeutic target (e.g., 6G3C) and three ADMET-related proteins (e.g., 1W0F, 8YXA, 8ZYQ).</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score is calculated via logistic regression models based on residue-ligand interactions and docking energies, uniquely designed to prioritize high therapeutic affinity while severely penalizing potential toxicological liabilities.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 Challenge rigorously evaluates an agent's strategic planning, adaptability, and process efficiency through enforced resource limitations.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Initially, the massive dataset is provided without DO Score labels.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navigate the chemical space, the agent must write, modify, and execute custom code to request labels.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Crucially, the agent is restricted to labeling a maximum of 100,000 structures—only 10% of the total dataset.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agent must strategically determine which structures to sample, balancing broad exploration of the chemical space with the localized exploitation of high-scoring chemical neighborhoods. This sampling can occur in multiple batches, testing the agent's ability to iteratively update its internal models and sampling strategies based on newly acquired 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agent's ultimate objective is to submit a final selection of 3,000 molecular structures that it believes contain the highest DO Scores.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final performance metric is governed by a strict overlap score, measuring the intersection between the agent's submitted 3,000 structures and the actual top 1,000 structures hidden in the dataset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35865" cy="10071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5865" cy="10071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limiting the agent to only three submission attempts and restricting labeling budgets, the DO Challenge effectively transitions the evaluation from measuring pure predictive accuracy to quantifying strategic resource management, intelligent sampling, and autonomous code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Evaluations of multi-agent systems, such as Deep Origin's Deep Thought framework utilizing models like Claude-3.7-Sonnet and Gemini-2.5-Pro, demonstrate that while AI agents can outperform human teams, their performance remains highly unstable, reinforcing the need for strict trajectory evaluation to ensure consistent strategic reasoning.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Governed Autonomy: Preventing Trajectory Drift via Skill Graphs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complexity of navigating these massive datasets and simulation environments frequently overwhelms unstructured LLMs, leading to a breakdown in analytical progression. To mitigate this, advanced architectures deploy "governed autonomy"—imposing strict operational constraints on the agent's decision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Mozi framework exemplifies this approach, utilizing a formalized dual-layer architecture designed to reconcile generative flexibility with deterministic computational biology.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Mozi addresses the barriers of unconstrained tool use by bifurcating the agent's operations into a Control Plane and a Workflow Plane.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Control Plane (Layer A)</w:t>
      </w:r>
      <w:r w:rsidDel="00000000" w:rsidR="00000000" w:rsidRPr="00000000">
        <w:rPr>
          <w:rFonts w:ascii="Google Sans" w:cs="Google Sans" w:eastAsia="Google Sans" w:hAnsi="Google Sans"/>
          <w:color w:val="1f1f1f"/>
          <w:rtl w:val="0"/>
        </w:rPr>
        <w:t xml:space="preserve"> establishes a governed supervisor-worker hierarchy.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enforces role-based tool isolation, ensuring that specific sub-agents only access tools relevant to their designated function (e.g., a literature retrieval agent cannot initiate a molecular docking simulation).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plane limits execution to constrained action spaces, actively monitors the execution budget, and drives reflection-based replanning if an agent deviates from predefined protocols.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Workflow Plane (Layer B)</w:t>
      </w:r>
      <w:r w:rsidDel="00000000" w:rsidR="00000000" w:rsidRPr="00000000">
        <w:rPr>
          <w:rFonts w:ascii="Google Sans" w:cs="Google Sans" w:eastAsia="Google Sans" w:hAnsi="Google Sans"/>
          <w:color w:val="1f1f1f"/>
          <w:rtl w:val="0"/>
        </w:rPr>
        <w:t xml:space="preserve"> operationalizes canonical drug discovery stages as stateful, composable "Skill Graphs".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allowing the LLM to make independent, unstructured tool calls—which frequently suffer from state-loss or input/output mismatches—Skill Graphs function as directed acyclic graphs (DAGs).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DAGs enforce valid data flow and unyielding logical progression.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grounding the LLM's reasoning within explicit graph-based constraints, Mozi prevents the hallucination of non-existent tools and drastically mitigates trajectory drift.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 trajectory within a framework like Mozi requires assessing the execution against three paramount process criteria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Correctness:</w:t>
      </w:r>
      <w:r w:rsidDel="00000000" w:rsidR="00000000" w:rsidRPr="00000000">
        <w:rPr>
          <w:rFonts w:ascii="Google Sans" w:cs="Google Sans" w:eastAsia="Google Sans" w:hAnsi="Google Sans"/>
          <w:color w:val="1f1f1f"/>
          <w:rtl w:val="0"/>
        </w:rPr>
        <w:t xml:space="preserve"> Final molecular candidates and hypotheses must be irrefutably grounded in valid evidence retrieved from approved literature repositories and validated by designated computational simulators.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Compliance:</w:t>
      </w:r>
      <w:r w:rsidDel="00000000" w:rsidR="00000000" w:rsidRPr="00000000">
        <w:rPr>
          <w:rFonts w:ascii="Google Sans" w:cs="Google Sans" w:eastAsia="Google Sans" w:hAnsi="Google Sans"/>
          <w:color w:val="1f1f1f"/>
          <w:rtl w:val="0"/>
        </w:rPr>
        <w:t xml:space="preserve"> Every discrete action within the trajectory must adhere strictly to predefined governance constraints, encompassing budget limitations, data access permissions, and toxicity safety thresholds.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Reproducibility:</w:t>
      </w:r>
      <w:r w:rsidDel="00000000" w:rsidR="00000000" w:rsidRPr="00000000">
        <w:rPr>
          <w:rFonts w:ascii="Google Sans" w:cs="Google Sans" w:eastAsia="Google Sans" w:hAnsi="Google Sans"/>
          <w:color w:val="1f1f1f"/>
          <w:rtl w:val="0"/>
        </w:rPr>
        <w:t xml:space="preserve"> The sequence of decisions must maintain sufficient determinism to allow human domain experts to audit the intermediate artifacts and chronologically replay the logical deductions that led to the final output.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practical application of these skill graphs is evident in complex stages such as Target Identification (TI) and Hit Identification (HI).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TI graph, the system automates the transition from a generalized disease concept to a valid structural input.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enforces entity normalization against medical subject headings (MeSH) and aggregates intelligence from literature and clinical trials.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Once an LLM scores and ranks the targets, the DAG automatically retrieves the corresponding protein structure from the Protein Data Bank (PDB) and executes an invariant structure preparation protocol—such as utilizing PDBFixer to repair missing side chains and protonate residues—ensuring the artifact is explicitly simulation-ready.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Hit Identification, governed frameworks implement parallel dual-stream strategies to bridge the tension between chemical novelty and synthetic realizability.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generative path utilizes pocket-based models (e.g., DiffSBDD) to construct de novo molecules tailored to the pocket geometry, followed by Tanimoto-based clustering to guarantee structural diversity.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Simultaneously, a screening path executes high-throughput virtual screening (HTVS) against commercial libraries using deep learning-based interaction models (e.g., LigUnity) that predict affinity significantly faster than traditional docking.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framework then autonomously fuses, deduplicates, and re-ranks the results.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Mozi integrates strategic Human-in-the-Loop (HITL) checkpoints at high-uncertainty decision boundaries.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evaluating how effectively an agent pauses its autonomous loop to request human verification before committing to a costly downstream simulation, benchmarkers can quantify the agent's internal confidence calibration and risk-management capabilities.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Expanding Modalities and Multi-Objective Checkpoints: TDC and PharmaBench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virtual screening benchmarks evaluate deep strategic navigation, the Therapeutics Data Commons (TDC) provides the foundational datasets necessary for evaluating agentic versatility across the entirety of the pharmaceutical pipeline.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AI-driven discovery is not limited to small molecules; it increasingly encompasses biologics, peptides, and gene-editing therapies.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Agents optimized solely for SMILES strings, traditional docking scores, and standard synthetic accessibility metrics frequently fail when tasked with evaluating peptide therapeutics, which require fundamentally different computational approaches.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TDC comprises over 66 machine-learning-ready datasets spanning 22 distinct tasks, encompassing more than 15.9 million data points.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is structured hierarchically, utilizing a three-tiered "Problem – ML Task – Dataset" design.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categorizes problems into single-instance predictions (e.g., identifying individual therapeutic targets or predicting antibody paratopes) and multi-instance predictions (e.g., identifying synergistic drug combinations).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process-oriented evaluation, TDC implements a suite of over 17 molecule generation oracles tailored to measure the quality of generated entities across highly specific dimensions.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oracles serve as critical intermediate checkpoints; if an agent generates a de novo molecule, evaluators can query TDC oracles to ensure the intermediate structure adheres to requisite pharmacokinetic constraints before the agent proceeds to simulate clinical efficacy.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requirement for any autonomous pharmaceutical agent is the ability to accurately forecast Absorption, Distribution, Metabolism, Excretion, and Toxicity (ADMET) properties.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 agent that successfully designs a high-affinity ligand has failed its overarching mission if the compound is inherently toxic or metabolically unstable. PharmaBench represents a specialized framework constructed to benchmark these exact parameters.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Compiled using multi-agent data mining systems that parsed experimental conditions from over 14,401 bioassays, PharmaBench offers a curated dataset of over 52,482 entries across eleven ADMET categories.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ADMET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Property Evaluated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Modality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Utility for Agent Checkpoints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Physicochemical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LogD, Water Solubility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Assesses the agent's ability to predict bioavailability constraints based on structural modifications during lead optimization.</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Absorption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Blood-Brain Barrier (BBB) Permeability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Tests agent safety protocols when designing non-neurological therapeutics that must avoid central nervous system penetration.</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Plasma Protein Binding (PPB)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agent's capacity to predict the fraction of unbound, active drug circulating in the bloodstream.</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Metabolism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CYP 2C9, CYP 2D6, CYP 3A4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agent's capacity to predict enzymatic degradation pathways and potential drug-drug interactions.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HLMC, RLMC, MLMC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Assesses agent predictions regarding half-life and hepatic clearance rates across human, rat, and mouse models.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Toxicity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AMES (Mutagenicity)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Serves as a critical safety checkpoint; agents failing to filter AMES-positive compounds are heavily penalized in process evaluations.</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PharmaBench into a trajectory evaluation framework ensures that agents do not merely optimize for target binding affinity but engage in rigorous multi-objective optimization, reflecting the authentic demands of real-world medicinal chemistry.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Benchmarking Materials Science Trajectories: Atomic Simulations and Synthesis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pharmaceutical agents navigate discrete chemical spaces and binding affinities, materials science agents face the continuous, computationally intensive domains of solid-state physics, crystallography, and thermodynamic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Benchmarking agents in this discipline requires environments capable of simulating periodic boundary conditions, plane-wave basis sets, and complex density functional theory (DFT) calculations.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Workflow Orchestration in DFT Automation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Vienna Ab initio Simulation Package (VASP) serves as a preeminent engine for computational materials science, relying on the principles of quantum mechanics to calculate the ground-state electron density of complex materials.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Executing a VASP calculation is a highly iterative, multi-step process that demands continuous manual setup, parameter adjustment, monitoring, and post-processing—making it an ideal testing ground for evaluating the autonomy and trajectory resilience of AI agents.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Both VASP and alternatives like Quantum ESPRESSO compute the same target observables (energies, forces, band structures), but they differ significantly in workflow construction; VASP utilizes a single binary with polished defaults, whereas Quantum ESPRESSO chains specialized codes (e.g., pw.x, ph.x) through shared directories, requiring an agent to navigate different modular environments.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autonomous agent tasked with determining the properties of a novel crystalline structure via VASP must correctly generate, manipulate, and synchronize four foundational input files within a shared directory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POSCAR:</w:t>
      </w:r>
      <w:r w:rsidDel="00000000" w:rsidR="00000000" w:rsidRPr="00000000">
        <w:rPr>
          <w:rFonts w:ascii="Google Sans" w:cs="Google Sans" w:eastAsia="Google Sans" w:hAnsi="Google Sans"/>
          <w:color w:val="1f1f1f"/>
          <w:rtl w:val="0"/>
        </w:rPr>
        <w:t xml:space="preserve"> Defines the lattice parameters, atomic coordinates, and simulation cell geometry (e.g., whether the system is bulk, slab, or a molecule-in-box).</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INCAR:</w:t>
      </w:r>
      <w:r w:rsidDel="00000000" w:rsidR="00000000" w:rsidRPr="00000000">
        <w:rPr>
          <w:rFonts w:ascii="Google Sans" w:cs="Google Sans" w:eastAsia="Google Sans" w:hAnsi="Google Sans"/>
          <w:color w:val="1f1f1f"/>
          <w:rtl w:val="0"/>
        </w:rPr>
        <w:t xml:space="preserve"> Contains the central operational directives, specifying the calculation type (e.g., static energy, geometric relaxation, molecular dynamics), energy cutoffs (ENCUT), convergence criteria (EDIFF, EDIFFG), and smearing methodologies.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KPOINTS:</w:t>
      </w:r>
      <w:r w:rsidDel="00000000" w:rsidR="00000000" w:rsidRPr="00000000">
        <w:rPr>
          <w:rFonts w:ascii="Google Sans" w:cs="Google Sans" w:eastAsia="Google Sans" w:hAnsi="Google Sans"/>
          <w:color w:val="1f1f1f"/>
          <w:rtl w:val="0"/>
        </w:rPr>
        <w:t xml:space="preserve"> Dictates the Brillouin-zone sampling grid (e.g., Monkhorst-Pack scheme), essential for ensuring proper integration across reciprocal space.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POTCAR:</w:t>
      </w:r>
      <w:r w:rsidDel="00000000" w:rsidR="00000000" w:rsidRPr="00000000">
        <w:rPr>
          <w:rFonts w:ascii="Google Sans" w:cs="Google Sans" w:eastAsia="Google Sans" w:hAnsi="Google Sans"/>
          <w:color w:val="1f1f1f"/>
          <w:rtl w:val="0"/>
        </w:rPr>
        <w:t xml:space="preserve"> Provides the requisite pseudopotentials (e.g., Projector Augmented-Wave) detailing the effective potentials of core electrons for each atomic species present in the POSCAR.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an agent within a VASP environment transcends verifying whether it output a valid bandgap; it involves scrutinizing the agent's analytical progression during setup, execution, and, crucially, failure recovery.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Frameworks like VASPilot utilize multi-agent architectures built on frameworks like CrewAI and standardized model context protocols (MCP) to automate these workflows, providing highly granular logs of the agent's behavior.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benchmarking trajectory metrics in materials discovery, evaluators must track how the agent handles convergence failures. If an electronic self-consistent field (SCF) calculation fails to converge within the allotted electronic steps (defined by NELM in the INCAR), a competent agent should not blindly restart the job.</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Instead, the benchmark evaluates whether the agent autonomously parses the OUTCAR and OSZICAR log files, identifies the root cause of the residual charge density instability, and makes targeted, physics-informed adjustments.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might include altering the charge mixing parameters (AMIX, BMIX), increasing the plane-wave cutoff energy (ENCUT), or switching the electronic minimization algorithm (ALGO).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Trajectory Milestone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Agent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Evaluative Process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Generates consistent POSCAR, INCAR, KPOINTS, and POTCAR files based on a natural language prompt.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Validation of syntax, verification that POTCAR elements strictly match the POSCAR species order, appropriate ISIF selection for relaxations.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Monitoring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Submits job to scheduler (e.g., Slurm) and monitors standard output for early termination or memory faults.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Latency to detect failure; appropriate parsing of cluster environment error codes.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Convergence Recovery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Modifies specific INCAR parameters in response to a failed geometric relaxation or electronic SCF step.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Logical soundness of parameter adjustment; avoidance of infinite retry loops; ability to read pre-calculated charge densities (ICHARG=11) for restarts.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Fermi energy, density of states (DOS), or charge density matrices from vasprun.xml or CHGCAR.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Accuracy of data extraction; successful translation of raw matrices into verifiable human-readable reports or plots.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Advanced Hierarchical Workflows: DFT+DMFT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calculations, such as Density-Functional Theory plus Dynamical Mean-Field Theory (DFT+DMFT), introduce additional hierarchical dependencies that rigorously test an agent's long-horizon planning.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DMFT provides a more accurate treatment of strongly correlated materials at finite temperatures compared to standard DFT.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An agent executing this workflow must perform an initial SCF calculation to converge the Kohn-Sham wavefunctions, project those states onto localized orbitals (e.g., Ni-d orbitals for a material like NiO), and extract these projectors.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agent must then interface with external libraries (e.g., TRIQS), convert VASP output into TRIQS input, perform the DMFT calculation to solve the Anderson impurity model, and orchestrate charge-self-consistent (CSC) update loops until the chemical potential converges.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benchmark assessing this process evaluates the agent's capacity to manage multi-software pipelines, monitor the self-consistency condition (e.g., δGimp), and transfer complex binary data accurately between disparate environments.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Open-Ended Synthesis Benchmarking: ALDbench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atomic simulation, materials science agents must assist researchers in physical synthesis planning in wet labs. Traditional multiple-choice tests fail to capture the nuance required for experimental chemistry.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To address this, researchers at the U.S. Department of Energy's Argonne National Laboratory developed ALDbench, the first open-ended benchmark specifically evaluating how AI tools respond to complex materials synthesis inquiries.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Focusing on atomic layer deposition (ALD)—a precision technique for creating ultra-thin films for semiconductors and energy devices—ALDbench evaluates an agent's ability to logically formulate synthesis recipes.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It poses open-ended questions ranging from graduate-level to expert-only difficulty.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evaluating how an agent deduces the required temperature windows, selects appropriate organometallic precursors, and designs purging cycles, ALDbench provides a rigorous mechanism for tracking the analytical progression of an agent as it navigates physical chemical constraints and deposition kinetics, revealing the current limitations in unguided AI experimental planning.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Synthesizing Comprehensive Multi-Disciplinary Benchmarking Ecosystems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systematically quantify the gap between basic tool availability and genuine tool mastery across the physical sciences, researchers have developed comprehensive, multi-disciplinary evaluation suites.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Platforms such as ScienceAgentBench, AstaBench, and SciAgentGym establish standardized protocols that isolate core agentic capabilities from confounding variables, ensuring process metrics are accurately captured.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ScienceAgentBench: Grounding Agents in Peer-Reviewed Reality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flaw in early AI evaluation was the reliance on simulated, artificial, or simplified toy problems that failed to reflect authentic research conditions.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ScienceAgentBench resolves this by extracting 102 highly complex tasks directly from 44 peer-reviewed publications across disciplines including computational chemistry, bioinformatics, geographic information science, and cognitive neuroscience.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tasks demand that the agent write executable Python code to process, analyze, and visualize complex heterogeneous datasets—such as predicting aquatic toxicity of compounds via graph convolutional networks, assessing flooding risk maps, or performing RRV analysis on EEG time series.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measure both technical execution and domain-specific correctness along the trajectory, ScienceAgentBench employs a multi-metric protocol focused on verifiable outcomes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 Execution Rate (VER):</w:t>
      </w:r>
      <w:r w:rsidDel="00000000" w:rsidR="00000000" w:rsidRPr="00000000">
        <w:rPr>
          <w:rFonts w:ascii="Google Sans" w:cs="Google Sans" w:eastAsia="Google Sans" w:hAnsi="Google Sans"/>
          <w:color w:val="1f1f1f"/>
          <w:rtl w:val="0"/>
        </w:rPr>
        <w:t xml:space="preserve"> Measures the fraction of agent-generated programs that execute entirely free of syntax or runtime errors, successfully producing output files using expected, predefined naming conventions.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Success Rate (SR):</w:t>
      </w:r>
      <w:r w:rsidDel="00000000" w:rsidR="00000000" w:rsidRPr="00000000">
        <w:rPr>
          <w:rFonts w:ascii="Google Sans" w:cs="Google Sans" w:eastAsia="Google Sans" w:hAnsi="Google Sans"/>
          <w:color w:val="1f1f1f"/>
          <w:rtl w:val="0"/>
        </w:rPr>
        <w:t xml:space="preserve"> Evaluates the substantive accuracy of the executed program. It determines whether the output satisfies stringent, expert-defined criteria, such as replicating a specific statistical distribution or generating a precise visualization that matches the original publication.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CodeBERTScore (CBS):</w:t>
      </w:r>
      <w:r w:rsidDel="00000000" w:rsidR="00000000" w:rsidRPr="00000000">
        <w:rPr>
          <w:rFonts w:ascii="Google Sans" w:cs="Google Sans" w:eastAsia="Google Sans" w:hAnsi="Google Sans"/>
          <w:color w:val="1f1f1f"/>
          <w:rtl w:val="0"/>
        </w:rPr>
        <w:t xml:space="preserve"> For instances where SR is not perfectly met, CBS computes the semantic similarity between the agent's generated code and the peer-reviewed reference solution using contextual embeddings.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provides a nuanced, partial-credit trajectory metric that rewards logical structural alignment even if minor programmatic errors prevent full execution.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combat data contamination—where an LLM might achieve high scores merely because it memorized the open-source dataset during pre-training—ScienceAgentBench actively modifies the test splits.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 removes data points and replaces supervised task labels with dummy values, forcing the agent to demonstrate dynamic analytical capability and tool use rather than rote memory recall.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AstaBench: Controlling for Cost and Tool Confounds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impediment to comparing different agent architectures is the presence of unmeasured confounding variables.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Some agents achieve high success rates simply by utilizing vastly more expensive, larger-parameter models, or by being hard-coded to access bespoke tools unavailable to baseline competitors.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AstaBench introduces a rigorous evaluation suite comprising over 2,400 problems that span the entire scientific workflow—from literature retrieval to data analysis and end-to-end experimental reproduction.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AstaBench establishes a standardized computational environment featuring production-grade, reproducible search tools.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controlled staging ensures that variations in agent performance are attributable to intrinsic planning and tool-use capabilities rather than discrepancies in external API access.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AstaBench also places significant emphasis on cost-awareness.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strategies like generating twenty distinct code variations and executing a majority vote can artificially inflate benchmark scores while incurring prohibitive API costs, AstaBench normalizes performance metrics against total computational expenditure, providing a realistic assessment of an agent's practical viability.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AstaBench evaluates deep trajectory comprehension through highly specialized sub-benchmarks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LitQA2-FullText:</w:t>
      </w:r>
      <w:r w:rsidDel="00000000" w:rsidR="00000000" w:rsidRPr="00000000">
        <w:rPr>
          <w:rFonts w:ascii="Google Sans" w:cs="Google Sans" w:eastAsia="Google Sans" w:hAnsi="Google Sans"/>
          <w:color w:val="1f1f1f"/>
          <w:rtl w:val="0"/>
        </w:rPr>
        <w:t xml:space="preserve"> Tests the agent's ability to not only retrieve a specific paper from a standard index but also to read and synthesize its full text—not just the abstract—to answer complex scientific queries.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Core-Bench-Hard:</w:t>
      </w:r>
      <w:r w:rsidDel="00000000" w:rsidR="00000000" w:rsidRPr="00000000">
        <w:rPr>
          <w:rFonts w:ascii="Google Sans" w:cs="Google Sans" w:eastAsia="Google Sans" w:hAnsi="Google Sans"/>
          <w:color w:val="1f1f1f"/>
          <w:rtl w:val="0"/>
        </w:rPr>
        <w:t xml:space="preserve"> Measures computational reproducibility by requiring agents to replicate published study results using only a bare-bones README file, with no explicit instructions or Dockerfile provided.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explicitly tracks the agent's trajectory as it iteratively attempts to resolve broken dependencies and missing library configurations.</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SUPER-Expert:</w:t>
      </w:r>
      <w:r w:rsidDel="00000000" w:rsidR="00000000" w:rsidRPr="00000000">
        <w:rPr>
          <w:rFonts w:ascii="Google Sans" w:cs="Google Sans" w:eastAsia="Google Sans" w:hAnsi="Google Sans"/>
          <w:color w:val="1f1f1f"/>
          <w:rtl w:val="0"/>
        </w:rPr>
        <w:t xml:space="preserve"> Tests models on setting up and executing tasks from low-resource research repositories. The "Expert" split is the hardest, requiring full reproductions from scratch without hints or intermediate landmarks.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DS-1000:</w:t>
      </w:r>
      <w:r w:rsidDel="00000000" w:rsidR="00000000" w:rsidRPr="00000000">
        <w:rPr>
          <w:rFonts w:ascii="Google Sans" w:cs="Google Sans" w:eastAsia="Google Sans" w:hAnsi="Google Sans"/>
          <w:color w:val="1f1f1f"/>
          <w:rtl w:val="0"/>
        </w:rPr>
        <w:t xml:space="preserve"> Evaluates agents on 1,000 Python data-science questions, covering diverse, realistic use cases utilizing widely used machine learning libraries.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SciAgentGym and Long-Horizon Execution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scientific tasks scale in complexity, the necessary horizon of agentic actions extends proportionally. SciAgentGym is a scalable interactive environment featuring 1,780 domain-specific tools across four natural science disciplines, designed specifically to stress-test these long-horizon capabilities.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It is supported by an underlying infrastructure containing a centralized filesystem for artifact management, interconnected scientific databases, and sandboxed Python interpreters.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Frameworks like MINT-Bench complement this by evaluating how agents solve tasks utilizing natural language feedback during multi-turn interactions.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Evaluation within SciAgentGym (via the SciAgentBench evaluation suite, spanning 259 tasks and 1,134 sub-questions) reveals a critical bottleneck in contemporary LLMs: while they excel at elementary, single-step actions (L1 complexity), their performance degrades precipitously during extended workflows (L3 complexity).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Fine-grained trajectory analysis exposes a pervasive failure mode wherein weaker models become ensnared in persistent, redundant tool-call loops—repeatedly executing identical failing database queries without altering their search syntax.</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Superior models demonstrate the capacity to interpret execution feedback, dynamically recover from initial errors, and alter their strategic approach.</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limitations of standard training corpora, which lack examples of complex dependency resolution across diverse scientific tools, researchers utilize SciForge—a data synthesis technique associated with SciAgentGym.</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SciForge models the vast tool action space as an interconnected dependency graph rather than a flat collection of APIs.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systematically sampling valid execution paths and synthesizing queries grounded in verified runtime traces, SciForge generates logic-aware training trajectories.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Fine-tuning models on these structured, process-oriented trajectories significantly enhances their capability to manage long-horizon scientific tool use, allowing an 8B parameter model to outperform a 235B parameter model.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proves that robust trajectory mapping is essential not only for evaluation but for fundamental model improvement.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Core Design Principles for Process-Oriented Benchmarking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predictive machine learning to autonomous, multi-step agentic systems represents a watershed moment in the fields of drug discovery and materials science. However, the non-deterministic, long-horizon nature of these agents renders traditional input-output benchmarking obsolete and dangerous. To fully actualize the potential of AI in AI4S, an optimal evaluation architecture must enforce a multi-dimensional assessment matrix focused squarely on trajectory and process metrics: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benchmarks must evaluate tool proficiency and orchestration, rewarding agents that navigate deep tool dependency graphs efficiently while heavily penalizing redundant API loops. Second, the framework must mandate autonomous error recovery, deliberately injecting configurational errors to measure an agent's resilience in parsing complex log files and deploying physics-informed corrections. Third, resource and cost optimization must be tracked, ensuring agents operate under strict computational constraints and effectively manage label budgets during virtual screening. Fourth, in safety-critical domains, the evaluation must ensure unyielding governance and protocol compliance, guaranteeing that toxicity filters and data normalization steps are flawlessly executed before synthesis recommendations are made. Finally, the evaluation infrastructure must deploy dependency-guided search algorithms to isolate foundational error steps, preventing the misattribution of failures to downstream execution modules when the root cause was an upstream planning hallucination.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embracing frameworks that systematically log execution traces, evaluate intermediate structural checkpoints, and demand stringent compliance with domain-specific skill graphs, the scientific community can accurately measure true agentic capability. The integration of robust trajectory evaluation ensures that future AI scientists are not only capable of generating novel materials and therapeutics but do so through verifiable, efficient, and scientifically sound processes.</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Agentic Intelligence for Materials Science - arXiv, accessed June 8, 2026, </w:t>
      </w:r>
      <w:hyperlink r:id="rId7">
        <w:r w:rsidDel="00000000" w:rsidR="00000000" w:rsidRPr="00000000">
          <w:rPr>
            <w:rFonts w:ascii="Google Sans" w:cs="Google Sans" w:eastAsia="Google Sans" w:hAnsi="Google Sans"/>
            <w:color w:val="0000ee"/>
            <w:sz w:val="24"/>
            <w:szCs w:val="24"/>
            <w:u w:val="single"/>
            <w:rtl w:val="0"/>
          </w:rPr>
          <w:t xml:space="preserve">https://arxiv.org/html/2602.00169v2</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Scientific Discovery: A Survey of Progress, Challenges, and Future Directions, accessed June 8, 2026, </w:t>
      </w:r>
      <w:hyperlink r:id="rId8">
        <w:r w:rsidDel="00000000" w:rsidR="00000000" w:rsidRPr="00000000">
          <w:rPr>
            <w:rFonts w:ascii="Google Sans" w:cs="Google Sans" w:eastAsia="Google Sans" w:hAnsi="Google Sans"/>
            <w:color w:val="0000ee"/>
            <w:sz w:val="24"/>
            <w:szCs w:val="24"/>
            <w:u w:val="single"/>
            <w:rtl w:val="0"/>
          </w:rPr>
          <w:t xml:space="preserve">https://arxiv.org/html/2503.08979v1</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K-Dense-AI/scientific-agent-skills - GitHub, accessed June 8, 2026, </w:t>
      </w:r>
      <w:hyperlink r:id="rId9">
        <w:r w:rsidDel="00000000" w:rsidR="00000000" w:rsidRPr="00000000">
          <w:rPr>
            <w:rFonts w:ascii="Google Sans" w:cs="Google Sans" w:eastAsia="Google Sans" w:hAnsi="Google Sans"/>
            <w:color w:val="0000ee"/>
            <w:sz w:val="24"/>
            <w:szCs w:val="24"/>
            <w:u w:val="single"/>
            <w:rtl w:val="0"/>
          </w:rPr>
          <w:t xml:space="preserve">https://github.com/k-dense-ai/scientific-agent-skills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Evaluation-Driven Development of LLM Agents: A Process Model and Reference Architecture - arXiv, accessed June 8, 2026, </w:t>
      </w:r>
      <w:hyperlink r:id="rId10">
        <w:r w:rsidDel="00000000" w:rsidR="00000000" w:rsidRPr="00000000">
          <w:rPr>
            <w:rFonts w:ascii="Google Sans" w:cs="Google Sans" w:eastAsia="Google Sans" w:hAnsi="Google Sans"/>
            <w:color w:val="0000ee"/>
            <w:sz w:val="24"/>
            <w:szCs w:val="24"/>
            <w:u w:val="single"/>
            <w:rtl w:val="0"/>
          </w:rPr>
          <w:t xml:space="preserve">https://arxiv.org/html/2411.13768v2</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Mozi Governed Autonomy for Drug Discovery LLM Agents - arXiv, accessed June 8, 2026, </w:t>
      </w:r>
      <w:hyperlink r:id="rId11">
        <w:r w:rsidDel="00000000" w:rsidR="00000000" w:rsidRPr="00000000">
          <w:rPr>
            <w:rFonts w:ascii="Google Sans" w:cs="Google Sans" w:eastAsia="Google Sans" w:hAnsi="Google Sans"/>
            <w:color w:val="0000ee"/>
            <w:sz w:val="24"/>
            <w:szCs w:val="24"/>
            <w:u w:val="single"/>
            <w:rtl w:val="0"/>
          </w:rPr>
          <w:t xml:space="preserve">https://arxiv.org/html/2603.03655v1</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Evaluation - How to Evaluate LLM Agents (Metrics, Strategies &amp; Examples) - Langfuse, accessed June 8, 2026, </w:t>
      </w:r>
      <w:hyperlink r:id="rId12">
        <w:r w:rsidDel="00000000" w:rsidR="00000000" w:rsidRPr="00000000">
          <w:rPr>
            <w:rFonts w:ascii="Google Sans" w:cs="Google Sans" w:eastAsia="Google Sans" w:hAnsi="Google Sans"/>
            <w:color w:val="0000ee"/>
            <w:sz w:val="24"/>
            <w:szCs w:val="24"/>
            <w:u w:val="single"/>
            <w:rtl w:val="0"/>
          </w:rPr>
          <w:t xml:space="preserve">https://langfuse.com/guides/cookbook/example_pydantic_ai_mcp_agent_evaluation</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and Agent Evaluation | MLflow AI Platform, accessed June 8, 2026, </w:t>
      </w:r>
      <w:hyperlink r:id="rId13">
        <w:r w:rsidDel="00000000" w:rsidR="00000000" w:rsidRPr="00000000">
          <w:rPr>
            <w:rFonts w:ascii="Google Sans" w:cs="Google Sans" w:eastAsia="Google Sans" w:hAnsi="Google Sans"/>
            <w:color w:val="0000ee"/>
            <w:sz w:val="24"/>
            <w:szCs w:val="24"/>
            <w:u w:val="single"/>
            <w:rtl w:val="0"/>
          </w:rPr>
          <w:t xml:space="preserve">https://mlflow.org/llm-evaluation/</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8: Agent Evaluation for LLMs: How to Test Tools, Trajectories, and LLM-as-Judge, accessed June 8, 2026, </w:t>
      </w:r>
      <w:hyperlink r:id="rId14">
        <w:r w:rsidDel="00000000" w:rsidR="00000000" w:rsidRPr="00000000">
          <w:rPr>
            <w:rFonts w:ascii="Google Sans" w:cs="Google Sans" w:eastAsia="Google Sans" w:hAnsi="Google Sans"/>
            <w:color w:val="0000ee"/>
            <w:sz w:val="24"/>
            <w:szCs w:val="24"/>
            <w:u w:val="single"/>
            <w:rtl w:val="0"/>
          </w:rPr>
          <w:t xml:space="preserve">https://medium.com/@vinodkrane/chapter-8-agent-evaluation-for-llms-how-to-test-tools-trajectories-and-llm-as-judge-788f6f3e0d52</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 Evaluation Metrics in 2026: Tool Calling, Task Completion, Reasoning, and Trace-Based Evals - Confident AI, accessed June 8, 2026, </w:t>
      </w:r>
      <w:hyperlink r:id="rId15">
        <w:r w:rsidDel="00000000" w:rsidR="00000000" w:rsidRPr="00000000">
          <w:rPr>
            <w:rFonts w:ascii="Google Sans" w:cs="Google Sans" w:eastAsia="Google Sans" w:hAnsi="Google Sans"/>
            <w:color w:val="0000ee"/>
            <w:sz w:val="24"/>
            <w:szCs w:val="24"/>
            <w:u w:val="single"/>
            <w:rtl w:val="0"/>
          </w:rPr>
          <w:t xml:space="preserve">https://www.confident-ai.com/blog/llm-agent-evaluation-complete-guide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Framework: Trajectories vs. Outputs - LangChain, accessed June 8, 2026, </w:t>
      </w:r>
      <w:hyperlink r:id="rId16">
        <w:r w:rsidDel="00000000" w:rsidR="00000000" w:rsidRPr="00000000">
          <w:rPr>
            <w:rFonts w:ascii="Google Sans" w:cs="Google Sans" w:eastAsia="Google Sans" w:hAnsi="Google Sans"/>
            <w:color w:val="0000ee"/>
            <w:sz w:val="24"/>
            <w:szCs w:val="24"/>
            <w:u w:val="single"/>
            <w:rtl w:val="0"/>
          </w:rPr>
          <w:t xml:space="preserve">https://www.langchain.com/articles/llm-evaluation-framework</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[2502.10325] Process Reward Models for LLM Agents: Practical Framework and Directions, accessed June 8, 2026, </w:t>
      </w:r>
      <w:hyperlink r:id="rId17">
        <w:r w:rsidDel="00000000" w:rsidR="00000000" w:rsidRPr="00000000">
          <w:rPr>
            <w:rFonts w:ascii="Google Sans" w:cs="Google Sans" w:eastAsia="Google Sans" w:hAnsi="Google Sans"/>
            <w:color w:val="0000ee"/>
            <w:sz w:val="24"/>
            <w:szCs w:val="24"/>
            <w:u w:val="single"/>
            <w:rtl w:val="0"/>
          </w:rPr>
          <w:t xml:space="preserve">https://arxiv.org/abs/2502.10325</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FALAT: Tracing Failures in LLM Agent Trajectories via Dependency-Guided Search - arXiv, accessed June 8, 2026, </w:t>
      </w:r>
      <w:hyperlink r:id="rId18">
        <w:r w:rsidDel="00000000" w:rsidR="00000000" w:rsidRPr="00000000">
          <w:rPr>
            <w:rFonts w:ascii="Google Sans" w:cs="Google Sans" w:eastAsia="Google Sans" w:hAnsi="Google Sans"/>
            <w:color w:val="0000ee"/>
            <w:sz w:val="24"/>
            <w:szCs w:val="24"/>
            <w:u w:val="single"/>
            <w:rtl w:val="0"/>
          </w:rPr>
          <w:t xml:space="preserve">https://arxiv.org/abs/2606.00765</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RAFFLES: Reasoning-based Attribution of Faults for LLM Systems - ACL Anthology, accessed June 8, 2026, </w:t>
      </w:r>
      <w:hyperlink r:id="rId19">
        <w:r w:rsidDel="00000000" w:rsidR="00000000" w:rsidRPr="00000000">
          <w:rPr>
            <w:rFonts w:ascii="Google Sans" w:cs="Google Sans" w:eastAsia="Google Sans" w:hAnsi="Google Sans"/>
            <w:color w:val="0000ee"/>
            <w:sz w:val="24"/>
            <w:szCs w:val="24"/>
            <w:u w:val="single"/>
            <w:rtl w:val="0"/>
          </w:rPr>
          <w:t xml:space="preserve">https://aclanthology.org/2026.eacl-long.359.pdf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and Development of AI-Based Agentic Systems for ..., accessed June 8, 2026, </w:t>
      </w:r>
      <w:hyperlink r:id="rId20">
        <w:r w:rsidDel="00000000" w:rsidR="00000000" w:rsidRPr="00000000">
          <w:rPr>
            <w:rFonts w:ascii="Google Sans" w:cs="Google Sans" w:eastAsia="Google Sans" w:hAnsi="Google Sans"/>
            <w:color w:val="0000ee"/>
            <w:sz w:val="24"/>
            <w:szCs w:val="24"/>
            <w:u w:val="single"/>
            <w:rtl w:val="0"/>
          </w:rPr>
          <w:t xml:space="preserve">https://deeporigin.com/blog/benchmarking-and-development-of-ai-based-agentic-systems-for-autonomous-drug-discovery</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AI Agents Design and Implement Drug Discovery Pipelines? - Deep Origin, accessed June 8, 2026, </w:t>
      </w:r>
      <w:hyperlink r:id="rId21">
        <w:r w:rsidDel="00000000" w:rsidR="00000000" w:rsidRPr="00000000">
          <w:rPr>
            <w:rFonts w:ascii="Google Sans" w:cs="Google Sans" w:eastAsia="Google Sans" w:hAnsi="Google Sans"/>
            <w:color w:val="0000ee"/>
            <w:sz w:val="24"/>
            <w:szCs w:val="24"/>
            <w:u w:val="single"/>
            <w:rtl w:val="0"/>
          </w:rPr>
          <w:t xml:space="preserve">https://deeporigin.com/papers/can-ai-agents-design-and-implement-drug-discovery-pipelines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Challenge benchmark for evaluating AI agents' capabilities in drug discovery - Zenodo, accessed June 8, 2026, </w:t>
      </w:r>
      <w:hyperlink r:id="rId22">
        <w:r w:rsidDel="00000000" w:rsidR="00000000" w:rsidRPr="00000000">
          <w:rPr>
            <w:rFonts w:ascii="Google Sans" w:cs="Google Sans" w:eastAsia="Google Sans" w:hAnsi="Google Sans"/>
            <w:color w:val="0000ee"/>
            <w:sz w:val="24"/>
            <w:szCs w:val="24"/>
            <w:u w:val="single"/>
            <w:rtl w:val="0"/>
          </w:rPr>
          <w:t xml:space="preserve">https://zenodo.org/records/15296510</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Governed Autonomy For Drug Discovery LLM Agents | PDF - Scribd, accessed June 8,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https://www.scribd.com/document/1008212072/2603-03655v1</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[2603.03655] Mozi: Governed Autonomy for Drug Discovery LLM Agents - arXiv, accessed June 8, 2026, </w:t>
      </w:r>
      <w:hyperlink r:id="rId24">
        <w:r w:rsidDel="00000000" w:rsidR="00000000" w:rsidRPr="00000000">
          <w:rPr>
            <w:rFonts w:ascii="Google Sans" w:cs="Google Sans" w:eastAsia="Google Sans" w:hAnsi="Google Sans"/>
            <w:color w:val="0000ee"/>
            <w:sz w:val="24"/>
            <w:szCs w:val="24"/>
            <w:u w:val="single"/>
            <w:rtl w:val="0"/>
          </w:rPr>
          <w:t xml:space="preserve">https://arxiv.org/abs/2603.03655</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page - Mozi: Governed Autonomy for Drug Discovery LLM Agents - Hugging Face, accessed June 8, 2026, </w:t>
      </w:r>
      <w:hyperlink r:id="rId25">
        <w:r w:rsidDel="00000000" w:rsidR="00000000" w:rsidRPr="00000000">
          <w:rPr>
            <w:rFonts w:ascii="Google Sans" w:cs="Google Sans" w:eastAsia="Google Sans" w:hAnsi="Google Sans"/>
            <w:color w:val="0000ee"/>
            <w:sz w:val="24"/>
            <w:szCs w:val="24"/>
            <w:u w:val="single"/>
            <w:rtl w:val="0"/>
          </w:rPr>
          <w:t xml:space="preserve">https://huggingface.co/papers/2603.03655</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 TDC - Therapeutics Data Commons, accessed June 8, 2026, </w:t>
      </w:r>
      <w:hyperlink r:id="rId26">
        <w:r w:rsidDel="00000000" w:rsidR="00000000" w:rsidRPr="00000000">
          <w:rPr>
            <w:rFonts w:ascii="Google Sans" w:cs="Google Sans" w:eastAsia="Google Sans" w:hAnsi="Google Sans"/>
            <w:color w:val="0000ee"/>
            <w:sz w:val="24"/>
            <w:szCs w:val="24"/>
            <w:u w:val="single"/>
            <w:rtl w:val="0"/>
          </w:rPr>
          <w:t xml:space="preserve">https://tdcommons.ai/start/</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foundation for therapeutic science - PMC - NIH, accessed June 8,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https://pmc.ncbi.nlm.nih.gov/articles/PMC9529840/</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SMILES: Evaluating Agentic Systems for Drug Discovery - arXiv, accessed June 8, 2026, </w:t>
      </w:r>
      <w:hyperlink r:id="rId28">
        <w:r w:rsidDel="00000000" w:rsidR="00000000" w:rsidRPr="00000000">
          <w:rPr>
            <w:rFonts w:ascii="Google Sans" w:cs="Google Sans" w:eastAsia="Google Sans" w:hAnsi="Google Sans"/>
            <w:color w:val="0000ee"/>
            <w:sz w:val="24"/>
            <w:szCs w:val="24"/>
            <w:u w:val="single"/>
            <w:rtl w:val="0"/>
          </w:rPr>
          <w:t xml:space="preserve">https://arxiv.org/html/2602.10163v1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Therapeutics Data Commons: Machine Learning Datasets and Tasks for Drug Discovery and Development - NeurIPS 2026, accessed June 8, 2026, </w:t>
      </w:r>
      <w:hyperlink r:id="rId29">
        <w:r w:rsidDel="00000000" w:rsidR="00000000" w:rsidRPr="00000000">
          <w:rPr>
            <w:rFonts w:ascii="Google Sans" w:cs="Google Sans" w:eastAsia="Google Sans" w:hAnsi="Google Sans"/>
            <w:color w:val="0000ee"/>
            <w:sz w:val="24"/>
            <w:szCs w:val="24"/>
            <w:u w:val="single"/>
            <w:rtl w:val="0"/>
          </w:rPr>
          <w:t xml:space="preserve">https://neurips.cc/virtual/2021/22769</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PharmaBench: Enhancing ADMET benchmarks with large language models - PMC, accessed June 8,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https://pmc.ncbi.nlm.nih.gov/articles/PMC11387650/</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mindrank-ai/PharmaBench - GitHub, accessed June 8, 2026, </w:t>
      </w:r>
      <w:hyperlink r:id="rId31">
        <w:r w:rsidDel="00000000" w:rsidR="00000000" w:rsidRPr="00000000">
          <w:rPr>
            <w:rFonts w:ascii="Google Sans" w:cs="Google Sans" w:eastAsia="Google Sans" w:hAnsi="Google Sans"/>
            <w:color w:val="0000ee"/>
            <w:sz w:val="24"/>
            <w:szCs w:val="24"/>
            <w:u w:val="single"/>
            <w:rtl w:val="0"/>
          </w:rPr>
          <w:t xml:space="preserve">https://github.com/mindrank-ai/PharmaBench</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 in materials science - ChemRxiv, accessed June 8, 2026, </w:t>
      </w:r>
      <w:hyperlink r:id="rId32">
        <w:r w:rsidDel="00000000" w:rsidR="00000000" w:rsidRPr="00000000">
          <w:rPr>
            <w:rFonts w:ascii="Google Sans" w:cs="Google Sans" w:eastAsia="Google Sans" w:hAnsi="Google Sans"/>
            <w:color w:val="0000ee"/>
            <w:sz w:val="24"/>
            <w:szCs w:val="24"/>
            <w:u w:val="single"/>
            <w:rtl w:val="0"/>
          </w:rPr>
          <w:t xml:space="preserve">https://chemrxiv.org/doi/pdf/10.26434/chemrxiv-2025-zr8xv</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VASP vs Quantum ESPRESSO: Performance, Licensing, and When to Use Each in 2026, accessed June 8, 2026, </w:t>
      </w:r>
      <w:hyperlink r:id="rId33">
        <w:r w:rsidDel="00000000" w:rsidR="00000000" w:rsidRPr="00000000">
          <w:rPr>
            <w:rFonts w:ascii="Google Sans" w:cs="Google Sans" w:eastAsia="Google Sans" w:hAnsi="Google Sans"/>
            <w:color w:val="0000ee"/>
            <w:sz w:val="24"/>
            <w:szCs w:val="24"/>
            <w:u w:val="single"/>
            <w:rtl w:val="0"/>
          </w:rPr>
          <w:t xml:space="preserve">https://www.bohrium.com/en/blog/tutorials/vasp-vs-quantum-espresso/</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VASPilot: MCP-Facilitated Multi-Agent Intelligence for Autonomous VASP Simulations - arXiv, accessed June 8,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https://arxiv.org/html/2508.07035v1</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VASP - SCM, accessed June 8, 2026, </w:t>
      </w:r>
      <w:hyperlink r:id="rId35">
        <w:r w:rsidDel="00000000" w:rsidR="00000000" w:rsidRPr="00000000">
          <w:rPr>
            <w:rFonts w:ascii="Google Sans" w:cs="Google Sans" w:eastAsia="Google Sans" w:hAnsi="Google Sans"/>
            <w:color w:val="0000ee"/>
            <w:sz w:val="24"/>
            <w:szCs w:val="24"/>
            <w:u w:val="single"/>
            <w:rtl w:val="0"/>
          </w:rPr>
          <w:t xml:space="preserve">https://www.scm.com/tools/vasp/</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vasp-workflows | Skills Marketplace - LobeHub, accessed June 8, 2026, </w:t>
      </w:r>
      <w:hyperlink r:id="rId36">
        <w:r w:rsidDel="00000000" w:rsidR="00000000" w:rsidRPr="00000000">
          <w:rPr>
            <w:rFonts w:ascii="Google Sans" w:cs="Google Sans" w:eastAsia="Google Sans" w:hAnsi="Google Sans"/>
            <w:color w:val="0000ee"/>
            <w:sz w:val="24"/>
            <w:szCs w:val="24"/>
            <w:u w:val="single"/>
            <w:rtl w:val="0"/>
          </w:rPr>
          <w:t xml:space="preserve">https://lobehub.com/skills/chatmaterials-vasp-workflows</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Tutorials — VASPKIT 1.5 documentation, accessed June 8, 2026, </w:t>
      </w:r>
      <w:hyperlink r:id="rId37">
        <w:r w:rsidDel="00000000" w:rsidR="00000000" w:rsidRPr="00000000">
          <w:rPr>
            <w:rFonts w:ascii="Google Sans" w:cs="Google Sans" w:eastAsia="Google Sans" w:hAnsi="Google Sans"/>
            <w:color w:val="0000ee"/>
            <w:sz w:val="24"/>
            <w:szCs w:val="24"/>
            <w:u w:val="single"/>
            <w:rtl w:val="0"/>
          </w:rPr>
          <w:t xml:space="preserve">https://vaspkit.com/tutorials.html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VASP tutorial, accessed June 8, 2026, </w:t>
      </w:r>
      <w:hyperlink r:id="rId38">
        <w:r w:rsidDel="00000000" w:rsidR="00000000" w:rsidRPr="00000000">
          <w:rPr>
            <w:rFonts w:ascii="Google Sans" w:cs="Google Sans" w:eastAsia="Google Sans" w:hAnsi="Google Sans"/>
            <w:color w:val="0000ee"/>
            <w:sz w:val="24"/>
            <w:szCs w:val="24"/>
            <w:u w:val="single"/>
            <w:rtl w:val="0"/>
          </w:rPr>
          <w:t xml:space="preserve">https://www.nmt.edu/academics/mtls/faculty/dchoudhuri/VASP%20tutorial.pdf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Tutorial (INCAR, POSCAR, POTCAR, KPOINTS) | #vasp #DFT - YouTube, accessed June 8,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https://www.youtube.com/watch?v=98BF3sFaQko</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Introduction to VASP, accessed June 8, 2026, </w:t>
      </w:r>
      <w:hyperlink r:id="rId40">
        <w:r w:rsidDel="00000000" w:rsidR="00000000" w:rsidRPr="00000000">
          <w:rPr>
            <w:rFonts w:ascii="Google Sans" w:cs="Google Sans" w:eastAsia="Google Sans" w:hAnsi="Google Sans"/>
            <w:color w:val="0000ee"/>
            <w:sz w:val="24"/>
            <w:szCs w:val="24"/>
            <w:u w:val="single"/>
            <w:rtl w:val="0"/>
          </w:rPr>
          <w:t xml:space="preserve">https://www.vasp.at/tutorials/latest/molecules/part1/</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DFT+DMFT calculations - VASP Wiki, accessed June 8, 2026, </w:t>
      </w:r>
      <w:hyperlink r:id="rId41">
        <w:r w:rsidDel="00000000" w:rsidR="00000000" w:rsidRPr="00000000">
          <w:rPr>
            <w:rFonts w:ascii="Google Sans" w:cs="Google Sans" w:eastAsia="Google Sans" w:hAnsi="Google Sans"/>
            <w:color w:val="0000ee"/>
            <w:sz w:val="24"/>
            <w:szCs w:val="24"/>
            <w:u w:val="single"/>
            <w:rtl w:val="0"/>
          </w:rPr>
          <w:t xml:space="preserve">https://vasp.at/wiki/DFT%2BDMFT_calculations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Benchmark for Materials Science Research - Argonne National Laboratory, accessed June 8, 2026, </w:t>
      </w:r>
      <w:hyperlink r:id="rId42">
        <w:r w:rsidDel="00000000" w:rsidR="00000000" w:rsidRPr="00000000">
          <w:rPr>
            <w:rFonts w:ascii="Google Sans" w:cs="Google Sans" w:eastAsia="Google Sans" w:hAnsi="Google Sans"/>
            <w:color w:val="0000ee"/>
            <w:sz w:val="24"/>
            <w:szCs w:val="24"/>
            <w:u w:val="single"/>
            <w:rtl w:val="0"/>
          </w:rPr>
          <w:t xml:space="preserve">https://www.anl.gov/aet/ai-benchmark-for-materials-science-research</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aldsim/aldbench: LLM benchmark for materials synthesis focused on atomic layer deposition - GitHub, accessed June 8, 2026, </w:t>
      </w:r>
      <w:hyperlink r:id="rId43">
        <w:r w:rsidDel="00000000" w:rsidR="00000000" w:rsidRPr="00000000">
          <w:rPr>
            <w:rFonts w:ascii="Google Sans" w:cs="Google Sans" w:eastAsia="Google Sans" w:hAnsi="Google Sans"/>
            <w:color w:val="0000ee"/>
            <w:sz w:val="24"/>
            <w:szCs w:val="24"/>
            <w:u w:val="single"/>
            <w:rtl w:val="0"/>
          </w:rPr>
          <w:t xml:space="preserve">https://github.com/aldsim/aldbench</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SciAgentGym: Benchmarking Multi-Step Scientific Tool-use in LLM Agents - arXiv, accessed June 8, 2026, </w:t>
      </w:r>
      <w:hyperlink r:id="rId44">
        <w:r w:rsidDel="00000000" w:rsidR="00000000" w:rsidRPr="00000000">
          <w:rPr>
            <w:rFonts w:ascii="Google Sans" w:cs="Google Sans" w:eastAsia="Google Sans" w:hAnsi="Google Sans"/>
            <w:color w:val="0000ee"/>
            <w:sz w:val="24"/>
            <w:szCs w:val="24"/>
            <w:u w:val="single"/>
            <w:rtl w:val="0"/>
          </w:rPr>
          <w:t xml:space="preserve">https://arxiv.org/html/2602.12984v1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ScienceAgentBench: LLM Scientific Benchmark - Emergent Mind, accessed June 8, 2026, </w:t>
      </w:r>
      <w:hyperlink r:id="rId45">
        <w:r w:rsidDel="00000000" w:rsidR="00000000" w:rsidRPr="00000000">
          <w:rPr>
            <w:rFonts w:ascii="Google Sans" w:cs="Google Sans" w:eastAsia="Google Sans" w:hAnsi="Google Sans"/>
            <w:color w:val="0000ee"/>
            <w:sz w:val="24"/>
            <w:szCs w:val="24"/>
            <w:u w:val="single"/>
            <w:rtl w:val="0"/>
          </w:rPr>
          <w:t xml:space="preserve">https://www.emergentmind.com/topics/scienceagentbench</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AstaBench: Rigorous Benchmarking of AI Agents with a Scientific Research Suite - arXiv, accessed June 8, 2026, </w:t>
      </w:r>
      <w:hyperlink r:id="rId46">
        <w:r w:rsidDel="00000000" w:rsidR="00000000" w:rsidRPr="00000000">
          <w:rPr>
            <w:rFonts w:ascii="Google Sans" w:cs="Google Sans" w:eastAsia="Google Sans" w:hAnsi="Google Sans"/>
            <w:color w:val="0000ee"/>
            <w:sz w:val="24"/>
            <w:szCs w:val="24"/>
            <w:u w:val="single"/>
            <w:rtl w:val="0"/>
          </w:rPr>
          <w:t xml:space="preserve">https://arxiv.org/pdf/2510.21652</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[2602.12984] SciAgentGym: Benchmarking Multi-Step Scientific Tool-use in LLM Agents, accessed June 8, 2026, </w:t>
      </w:r>
      <w:hyperlink r:id="rId47">
        <w:r w:rsidDel="00000000" w:rsidR="00000000" w:rsidRPr="00000000">
          <w:rPr>
            <w:rFonts w:ascii="Google Sans" w:cs="Google Sans" w:eastAsia="Google Sans" w:hAnsi="Google Sans"/>
            <w:color w:val="0000ee"/>
            <w:sz w:val="24"/>
            <w:szCs w:val="24"/>
            <w:u w:val="single"/>
            <w:rtl w:val="0"/>
          </w:rPr>
          <w:t xml:space="preserve">https://arxiv.org/abs/2602.12984</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ScienceAgentBench - Holistic Agent Leaderboard, accessed June 8, 2026, </w:t>
      </w:r>
      <w:hyperlink r:id="rId48">
        <w:r w:rsidDel="00000000" w:rsidR="00000000" w:rsidRPr="00000000">
          <w:rPr>
            <w:rFonts w:ascii="Google Sans" w:cs="Google Sans" w:eastAsia="Google Sans" w:hAnsi="Google Sans"/>
            <w:color w:val="0000ee"/>
            <w:sz w:val="24"/>
            <w:szCs w:val="24"/>
            <w:u w:val="single"/>
            <w:rtl w:val="0"/>
          </w:rPr>
          <w:t xml:space="preserve">https://hal.cs.princeton.edu/scienceagentbench</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ScienceAgentBench: Toward Rigorous Assessment of Language Agents for Data-Driven Scientific Discovery, accessed June 8, 2026, </w:t>
      </w:r>
      <w:hyperlink r:id="rId49">
        <w:r w:rsidDel="00000000" w:rsidR="00000000" w:rsidRPr="00000000">
          <w:rPr>
            <w:rFonts w:ascii="Google Sans" w:cs="Google Sans" w:eastAsia="Google Sans" w:hAnsi="Google Sans"/>
            <w:color w:val="0000ee"/>
            <w:sz w:val="24"/>
            <w:szCs w:val="24"/>
            <w:u w:val="single"/>
            <w:rtl w:val="0"/>
          </w:rPr>
          <w:t xml:space="preserve">https://osu-nlp-group.github.io/ScienceAgentBench/</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AstaBench: Benchmarking AI Agents for Science - Allen Institute for Artificial Intelligence, accessed June 8, 2026, </w:t>
      </w:r>
      <w:hyperlink r:id="rId50">
        <w:r w:rsidDel="00000000" w:rsidR="00000000" w:rsidRPr="00000000">
          <w:rPr>
            <w:rFonts w:ascii="Google Sans" w:cs="Google Sans" w:eastAsia="Google Sans" w:hAnsi="Google Sans"/>
            <w:color w:val="0000ee"/>
            <w:sz w:val="24"/>
            <w:szCs w:val="24"/>
            <w:u w:val="single"/>
            <w:rtl w:val="0"/>
          </w:rPr>
          <w:t xml:space="preserve">https://allenai.org/asta/bench</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AstaBench: Rigorous Benchmarking of AI Agents with a Scientific Research Suite - arXiv, accessed June 8, 2026, </w:t>
      </w:r>
      <w:hyperlink r:id="rId51">
        <w:r w:rsidDel="00000000" w:rsidR="00000000" w:rsidRPr="00000000">
          <w:rPr>
            <w:rFonts w:ascii="Google Sans" w:cs="Google Sans" w:eastAsia="Google Sans" w:hAnsi="Google Sans"/>
            <w:color w:val="0000ee"/>
            <w:sz w:val="24"/>
            <w:szCs w:val="24"/>
            <w:u w:val="single"/>
            <w:rtl w:val="0"/>
          </w:rPr>
          <w:t xml:space="preserve">https://arxiv.org/abs/2510.21652</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SciAgentGym: Benchmarking Multi-Step Scientific Tool-use in LLM Agents - arXiv, accessed June 8, 2026, </w:t>
      </w:r>
      <w:hyperlink r:id="rId52">
        <w:r w:rsidDel="00000000" w:rsidR="00000000" w:rsidRPr="00000000">
          <w:rPr>
            <w:rFonts w:ascii="Google Sans" w:cs="Google Sans" w:eastAsia="Google Sans" w:hAnsi="Google Sans"/>
            <w:color w:val="0000ee"/>
            <w:sz w:val="24"/>
            <w:szCs w:val="24"/>
            <w:u w:val="single"/>
            <w:rtl w:val="0"/>
          </w:rPr>
          <w:t xml:space="preserve">https://arxiv.org/pdf/2602.12984</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MINT-Bench: A Comprehensive Multilingual Benchmark for Instruction-Following Text-to-Speech - arXiv, accessed June 8, 2026, </w:t>
      </w:r>
      <w:hyperlink r:id="rId53">
        <w:r w:rsidDel="00000000" w:rsidR="00000000" w:rsidRPr="00000000">
          <w:rPr>
            <w:rFonts w:ascii="Google Sans" w:cs="Google Sans" w:eastAsia="Google Sans" w:hAnsi="Google Sans"/>
            <w:color w:val="0000ee"/>
            <w:sz w:val="24"/>
            <w:szCs w:val="24"/>
            <w:u w:val="single"/>
            <w:rtl w:val="0"/>
          </w:rPr>
          <w:t xml:space="preserve">https://arxiv.org/html/2604.17958v1</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 Evaluating LLMs in Multi-turn Interaction with Tools and Language Feedback - GitHub, accessed June 8, 2026, </w:t>
      </w:r>
      <w:hyperlink r:id="rId54">
        <w:r w:rsidDel="00000000" w:rsidR="00000000" w:rsidRPr="00000000">
          <w:rPr>
            <w:rFonts w:ascii="Google Sans" w:cs="Google Sans" w:eastAsia="Google Sans" w:hAnsi="Google Sans"/>
            <w:color w:val="0000ee"/>
            <w:sz w:val="24"/>
            <w:szCs w:val="24"/>
            <w:u w:val="single"/>
            <w:rtl w:val="0"/>
          </w:rPr>
          <w:t xml:space="preserve">https://github.com/xingyaoww/mint-bench</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SciAgentGym: Benchmarking Multi-Step Scientific Tool-use in LLM Agents - Huayu Sha, accessed June 8, 2026, </w:t>
      </w:r>
      <w:hyperlink r:id="rId55">
        <w:r w:rsidDel="00000000" w:rsidR="00000000" w:rsidRPr="00000000">
          <w:rPr>
            <w:rFonts w:ascii="Google Sans" w:cs="Google Sans" w:eastAsia="Google Sans" w:hAnsi="Google Sans"/>
            <w:color w:val="0000ee"/>
            <w:sz w:val="24"/>
            <w:szCs w:val="24"/>
            <w:u w:val="single"/>
            <w:rtl w:val="0"/>
          </w:rPr>
          <w:t xml:space="preserve">https://www.huayusha.org/publication/SciAgentGym/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asp.at/tutorials/latest/molecules/part1/" TargetMode="External"/><Relationship Id="rId42" Type="http://schemas.openxmlformats.org/officeDocument/2006/relationships/hyperlink" Target="https://www.anl.gov/aet/ai-benchmark-for-materials-science-research" TargetMode="External"/><Relationship Id="rId41" Type="http://schemas.openxmlformats.org/officeDocument/2006/relationships/hyperlink" Target="https://vasp.at/wiki/DFT%2BDMFT_calculations" TargetMode="External"/><Relationship Id="rId44" Type="http://schemas.openxmlformats.org/officeDocument/2006/relationships/hyperlink" Target="https://arxiv.org/html/2602.12984v1" TargetMode="External"/><Relationship Id="rId43" Type="http://schemas.openxmlformats.org/officeDocument/2006/relationships/hyperlink" Target="https://github.com/aldsim/aldbench" TargetMode="External"/><Relationship Id="rId46" Type="http://schemas.openxmlformats.org/officeDocument/2006/relationships/hyperlink" Target="https://arxiv.org/pdf/2510.21652" TargetMode="External"/><Relationship Id="rId45" Type="http://schemas.openxmlformats.org/officeDocument/2006/relationships/hyperlink" Target="https://www.emergentmind.com/topics/scienceagentben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dense-ai/scientific-agent-skills" TargetMode="External"/><Relationship Id="rId48" Type="http://schemas.openxmlformats.org/officeDocument/2006/relationships/hyperlink" Target="https://hal.cs.princeton.edu/scienceagentbench" TargetMode="External"/><Relationship Id="rId47" Type="http://schemas.openxmlformats.org/officeDocument/2006/relationships/hyperlink" Target="https://arxiv.org/abs/2602.12984" TargetMode="External"/><Relationship Id="rId49" Type="http://schemas.openxmlformats.org/officeDocument/2006/relationships/hyperlink" Target="https://osu-nlp-group.github.io/ScienceAgentBen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html/2602.00169v2" TargetMode="External"/><Relationship Id="rId8" Type="http://schemas.openxmlformats.org/officeDocument/2006/relationships/hyperlink" Target="https://arxiv.org/html/2503.08979v1" TargetMode="External"/><Relationship Id="rId31" Type="http://schemas.openxmlformats.org/officeDocument/2006/relationships/hyperlink" Target="https://github.com/mindrank-ai/PharmaBench" TargetMode="External"/><Relationship Id="rId30" Type="http://schemas.openxmlformats.org/officeDocument/2006/relationships/hyperlink" Target="https://pmc.ncbi.nlm.nih.gov/articles/PMC11387650/" TargetMode="External"/><Relationship Id="rId33" Type="http://schemas.openxmlformats.org/officeDocument/2006/relationships/hyperlink" Target="https://www.bohrium.com/en/blog/tutorials/vasp-vs-quantum-espresso/" TargetMode="External"/><Relationship Id="rId32" Type="http://schemas.openxmlformats.org/officeDocument/2006/relationships/hyperlink" Target="https://chemrxiv.org/doi/pdf/10.26434/chemrxiv-2025-zr8xv" TargetMode="External"/><Relationship Id="rId35" Type="http://schemas.openxmlformats.org/officeDocument/2006/relationships/hyperlink" Target="https://www.scm.com/tools/vasp/" TargetMode="External"/><Relationship Id="rId34" Type="http://schemas.openxmlformats.org/officeDocument/2006/relationships/hyperlink" Target="https://arxiv.org/html/2508.07035v1" TargetMode="External"/><Relationship Id="rId37" Type="http://schemas.openxmlformats.org/officeDocument/2006/relationships/hyperlink" Target="https://vaspkit.com/tutorials.html" TargetMode="External"/><Relationship Id="rId36" Type="http://schemas.openxmlformats.org/officeDocument/2006/relationships/hyperlink" Target="https://lobehub.com/skills/chatmaterials-vasp-workflows" TargetMode="External"/><Relationship Id="rId39" Type="http://schemas.openxmlformats.org/officeDocument/2006/relationships/hyperlink" Target="https://www.youtube.com/watch?v=98BF3sFaQko" TargetMode="External"/><Relationship Id="rId38" Type="http://schemas.openxmlformats.org/officeDocument/2006/relationships/hyperlink" Target="https://www.nmt.edu/academics/mtls/faculty/dchoudhuri/VASP%20tutorial.pdf" TargetMode="External"/><Relationship Id="rId20" Type="http://schemas.openxmlformats.org/officeDocument/2006/relationships/hyperlink" Target="https://deeporigin.com/blog/benchmarking-and-development-of-ai-based-agentic-systems-for-autonomous-drug-discovery" TargetMode="External"/><Relationship Id="rId22" Type="http://schemas.openxmlformats.org/officeDocument/2006/relationships/hyperlink" Target="https://zenodo.org/records/15296510" TargetMode="External"/><Relationship Id="rId21" Type="http://schemas.openxmlformats.org/officeDocument/2006/relationships/hyperlink" Target="https://deeporigin.com/papers/can-ai-agents-design-and-implement-drug-discovery-pipelines" TargetMode="External"/><Relationship Id="rId24" Type="http://schemas.openxmlformats.org/officeDocument/2006/relationships/hyperlink" Target="https://arxiv.org/abs/2603.03655" TargetMode="External"/><Relationship Id="rId23" Type="http://schemas.openxmlformats.org/officeDocument/2006/relationships/hyperlink" Target="https://www.scribd.com/document/1008212072/2603-03655v1" TargetMode="External"/><Relationship Id="rId26" Type="http://schemas.openxmlformats.org/officeDocument/2006/relationships/hyperlink" Target="https://tdcommons.ai/start/" TargetMode="External"/><Relationship Id="rId25" Type="http://schemas.openxmlformats.org/officeDocument/2006/relationships/hyperlink" Target="https://huggingface.co/papers/2603.03655" TargetMode="External"/><Relationship Id="rId28" Type="http://schemas.openxmlformats.org/officeDocument/2006/relationships/hyperlink" Target="https://arxiv.org/html/2602.10163v1" TargetMode="External"/><Relationship Id="rId27" Type="http://schemas.openxmlformats.org/officeDocument/2006/relationships/hyperlink" Target="https://pmc.ncbi.nlm.nih.gov/articles/PMC9529840/" TargetMode="External"/><Relationship Id="rId29" Type="http://schemas.openxmlformats.org/officeDocument/2006/relationships/hyperlink" Target="https://neurips.cc/virtual/2021/22769" TargetMode="External"/><Relationship Id="rId51" Type="http://schemas.openxmlformats.org/officeDocument/2006/relationships/hyperlink" Target="https://arxiv.org/abs/2510.21652" TargetMode="External"/><Relationship Id="rId50" Type="http://schemas.openxmlformats.org/officeDocument/2006/relationships/hyperlink" Target="https://allenai.org/asta/bench" TargetMode="External"/><Relationship Id="rId53" Type="http://schemas.openxmlformats.org/officeDocument/2006/relationships/hyperlink" Target="https://arxiv.org/html/2604.17958v1" TargetMode="External"/><Relationship Id="rId52" Type="http://schemas.openxmlformats.org/officeDocument/2006/relationships/hyperlink" Target="https://arxiv.org/pdf/2602.12984" TargetMode="External"/><Relationship Id="rId11" Type="http://schemas.openxmlformats.org/officeDocument/2006/relationships/hyperlink" Target="https://arxiv.org/html/2603.03655v1" TargetMode="External"/><Relationship Id="rId55" Type="http://schemas.openxmlformats.org/officeDocument/2006/relationships/hyperlink" Target="https://www.huayusha.org/publication/SciAgentGym/" TargetMode="External"/><Relationship Id="rId10" Type="http://schemas.openxmlformats.org/officeDocument/2006/relationships/hyperlink" Target="https://arxiv.org/html/2411.13768v2" TargetMode="External"/><Relationship Id="rId54" Type="http://schemas.openxmlformats.org/officeDocument/2006/relationships/hyperlink" Target="https://github.com/xingyaoww/mint-bench" TargetMode="External"/><Relationship Id="rId13" Type="http://schemas.openxmlformats.org/officeDocument/2006/relationships/hyperlink" Target="https://mlflow.org/llm-evaluation/" TargetMode="External"/><Relationship Id="rId12" Type="http://schemas.openxmlformats.org/officeDocument/2006/relationships/hyperlink" Target="https://langfuse.com/guides/cookbook/example_pydantic_ai_mcp_agent_evaluation" TargetMode="External"/><Relationship Id="rId15" Type="http://schemas.openxmlformats.org/officeDocument/2006/relationships/hyperlink" Target="https://www.confident-ai.com/blog/llm-agent-evaluation-complete-guide" TargetMode="External"/><Relationship Id="rId14" Type="http://schemas.openxmlformats.org/officeDocument/2006/relationships/hyperlink" Target="https://medium.com/@vinodkrane/chapter-8-agent-evaluation-for-llms-how-to-test-tools-trajectories-and-llm-as-judge-788f6f3e0d52" TargetMode="External"/><Relationship Id="rId17" Type="http://schemas.openxmlformats.org/officeDocument/2006/relationships/hyperlink" Target="https://arxiv.org/abs/2502.10325" TargetMode="External"/><Relationship Id="rId16" Type="http://schemas.openxmlformats.org/officeDocument/2006/relationships/hyperlink" Target="https://www.langchain.com/articles/llm-evaluation-framework" TargetMode="External"/><Relationship Id="rId19" Type="http://schemas.openxmlformats.org/officeDocument/2006/relationships/hyperlink" Target="https://aclanthology.org/2026.eacl-long.359.pdf" TargetMode="External"/><Relationship Id="rId18" Type="http://schemas.openxmlformats.org/officeDocument/2006/relationships/hyperlink" Target="https://arxiv.org/abs/2606.007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