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  <w:widowControl w:val="1"/>
      </w:pPr>
      <w:r>
        <w:rPr>
          <w:rFonts w:ascii="Times New Roman" w:hAnsi="Times New Roman" w:eastAsia="华文楷体" w:cs="Times New Roman"/>
          <w:b/>
          <w:i w:val="0"/>
          <w:sz w:val="36"/>
        </w:rPr>
        <w:t>SLE 单细胞基础模型评测：四个生物学域、PAS 与基因集冻结</w:t>
      </w:r>
    </w:p>
    <w:p>
      <w:pPr>
        <w:spacing w:after="240"/>
        <w:jc w:val="center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0"/>
        </w:rPr>
        <w:t>Implementation protocol · Version 2.0  |  Freeze date: 2026-08-24  |  Analysis unit: donor × cell context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本文件用于冻结 Figure 3 生物学保真度评测的先验定义与实施规则。预先确定 4 个 biological domains，并保留 5 个主 PAS 对象（D1、D2a、D2b、D3、D4）。D1 在 cM、B 和 T8 三个细胞环境中分别计算，因此主分析共形成 7 个 PAS 输出。D2a 与 D2b 分别代表 B 细胞激活/滤泡外倾向和 ASC 分化状态，主分析分别报告，不进行未预注册的合并或加权。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Version 2.0 相对于前一版本不改变四个 domain 或主 PAS 定义，仅统一校正敏感性集合的可评分规范基因数及覆盖门槛：DC.M1.2 按 24 个规范基因评分，最低覆盖 17 个；DC.M3.6 按 44 个可评分规范基因评分，最低覆盖 31 个。Sentinel registry 同时记录主 PAS、敏感性集合及 membership class；sentinel 仅用于解释，不改变 PAS 成员资格。</w:t>
      </w:r>
    </w:p>
    <w:p>
      <w:pPr>
        <w:keepNext/>
        <w:spacing w:before="16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6"/>
        </w:rPr>
        <w:t>1. 冻结定义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680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域</w:t>
            </w:r>
          </w:p>
        </w:tc>
        <w:tc>
          <w:tcPr>
            <w:tcW w:type="dxa" w:w="2268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冻结定义</w:t>
            </w:r>
          </w:p>
        </w:tc>
        <w:tc>
          <w:tcPr>
            <w:tcW w:type="dxa" w:w="3118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主 PAS</w:t>
            </w:r>
          </w:p>
        </w:tc>
        <w:tc>
          <w:tcPr>
            <w:tcW w:type="dxa" w:w="1871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主细胞环境</w:t>
            </w:r>
          </w:p>
        </w:tc>
        <w:tc>
          <w:tcPr>
            <w:tcW w:type="dxa" w:w="850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主输出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D1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Type-I IFN / 核酸应答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HALLMARK_INTERFERON_ALPHA_RESPONSE（97）</w:t>
            </w:r>
          </w:p>
        </w:tc>
        <w:tc>
          <w:tcPr>
            <w:tcW w:type="dxa" w:w="187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cM、B、T8 分别计算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3 列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D2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B 细胞激活 → 滤泡外/ASC 分化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D2a DN2/ABC-like core（8）；D2b DC.M4.11 resolved（6）</w:t>
            </w:r>
          </w:p>
        </w:tc>
        <w:tc>
          <w:tcPr>
            <w:tcW w:type="dxa" w:w="187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B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2 列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D3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非 IFN 髓系炎症激活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HALLMARK_TNFA_SIGNALING_VIA_NFKB（200；operational proxy）</w:t>
            </w:r>
          </w:p>
        </w:tc>
        <w:tc>
          <w:tcPr>
            <w:tcW w:type="dxa" w:w="187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cM；ncM 仅敏感性分析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1 列</w:t>
            </w:r>
          </w:p>
        </w:tc>
      </w:tr>
      <w:tr>
        <w:tc>
          <w:tcPr>
            <w:tcW w:type="dxa" w:w="680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D4</w:t>
            </w:r>
          </w:p>
        </w:tc>
        <w:tc>
          <w:tcPr>
            <w:tcW w:type="dxa" w:w="2268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CD8 主导细胞毒效应状态</w:t>
            </w:r>
          </w:p>
        </w:tc>
        <w:tc>
          <w:tcPr>
            <w:tcW w:type="dxa" w:w="3118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Xiong cytotoxicity score（8）</w:t>
            </w:r>
          </w:p>
        </w:tc>
        <w:tc>
          <w:tcPr>
            <w:tcW w:type="dxa" w:w="1871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T8/CD8；NK 单独敏感性分析</w:t>
            </w:r>
          </w:p>
        </w:tc>
        <w:tc>
          <w:tcPr>
            <w:tcW w:type="dxa" w:w="850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1 列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0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3"/>
        </w:rPr>
        <w:t>1.1 主 PAS 的精确基因定义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D1（97）与 D3（200）的完整逐基因清单、版本信息及符号映射以 F3_Complete_Gene_Lists_v2.0.xlsx 为唯一机器可读来源。本文件不重复长基因清单，以避免文档与实施文件之间的版本漂移。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268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PAS</w:t>
            </w:r>
          </w:p>
        </w:tc>
        <w:tc>
          <w:tcPr>
            <w:tcW w:type="dxa" w:w="5669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基因（均按正向贡献计分）</w:t>
            </w:r>
          </w:p>
        </w:tc>
        <w:tc>
          <w:tcPr>
            <w:tcW w:type="dxa" w:w="1134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覆盖门槛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D2a DN2/ABC-like core（8）</w:t>
            </w:r>
          </w:p>
        </w:tc>
        <w:tc>
          <w:tcPr>
            <w:tcW w:type="dxa" w:w="566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ITGAX, TBX21, FCRL5, CD86, FCGR2B, IL21R, TLR7, ZEB2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≥6/8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D2b DC.M4.11 resolved（6）</w:t>
            </w:r>
          </w:p>
        </w:tc>
        <w:tc>
          <w:tcPr>
            <w:tcW w:type="dxa" w:w="566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TXNDC5, TNFRSF17, GLDC, CD38, JCHAIN, CAMK1G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≥5/6</w:t>
            </w:r>
          </w:p>
        </w:tc>
      </w:tr>
      <w:tr>
        <w:tc>
          <w:tcPr>
            <w:tcW w:type="dxa" w:w="2268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D4 Xiong cytotoxicity（8）</w:t>
            </w:r>
          </w:p>
        </w:tc>
        <w:tc>
          <w:tcPr>
            <w:tcW w:type="dxa" w:w="5669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PRF1, IFNG, GNLY, NKG7, GZMB, GZMA, CST7, TNFSF10</w:t>
            </w:r>
          </w:p>
        </w:tc>
        <w:tc>
          <w:tcPr>
            <w:tcW w:type="dxa" w:w="1134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≥6/8</w:t>
            </w:r>
          </w:p>
        </w:tc>
      </w:tr>
    </w:tbl>
    <w:p>
      <w:pPr>
        <w:spacing w:after="0"/>
        <w:widowControl w:val="1"/>
      </w:pP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D2b 符号映射。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原始 DC.M4.11 含 18 个探针时代标识。完整来源成员保留用于溯源；IGJ 确定性映射为 JCHAIN；12 个退休 LOC 标识不进入实施评分。原始标识、映射状态与是否进入评分均记录于完整基因表。</w:t>
      </w:r>
    </w:p>
    <w:p>
      <w:pPr>
        <w:keepNext/>
        <w:spacing w:before="16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6"/>
        </w:rPr>
        <w:t>2. 候选集合的统一资格标准与裁决规则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所有候选集合首先通过统一资格门槛，再按同一 7 维量表评分。评分仅用于同一预冻结 domain 内的候选裁决；A=GSE174188 与 B=GSE135779 的模型表现、聚类外观、疾病活动关联或统计显著性均不得用于重新选择 domain、PAS 或基因。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567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1304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标准</w:t>
            </w:r>
          </w:p>
        </w:tc>
        <w:tc>
          <w:tcPr>
            <w:tcW w:type="dxa" w:w="5499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统一操作定义</w:t>
            </w:r>
          </w:p>
        </w:tc>
        <w:tc>
          <w:tcPr>
            <w:tcW w:type="dxa" w:w="1304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主 PAS 规则</w:t>
            </w:r>
          </w:p>
        </w:tc>
      </w:tr>
      <w:tr>
        <w:tc>
          <w:tcPr>
            <w:tcW w:type="dxa" w:w="56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H1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冻结域匹配</w:t>
            </w:r>
          </w:p>
        </w:tc>
        <w:tc>
          <w:tcPr>
            <w:tcW w:type="dxa" w:w="549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符合预先定义的生物学范围及排除边界。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必过</w:t>
            </w:r>
          </w:p>
        </w:tc>
      </w:tr>
      <w:tr>
        <w:tc>
          <w:tcPr>
            <w:tcW w:type="dxa" w:w="56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H2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人类证据</w:t>
            </w:r>
          </w:p>
        </w:tc>
        <w:tc>
          <w:tcPr>
            <w:tcW w:type="dxa" w:w="549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至少 1 篇同行评议的人类研究；主集合须有直接人类 SLE 支持，或版本化通路集并有独立 SLE 证据。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必过</w:t>
            </w:r>
          </w:p>
        </w:tc>
      </w:tr>
      <w:tr>
        <w:tc>
          <w:tcPr>
            <w:tcW w:type="dxa" w:w="56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H3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派生独立</w:t>
            </w:r>
          </w:p>
        </w:tc>
        <w:tc>
          <w:tcPr>
            <w:tcW w:type="dxa" w:w="549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不得从 A=GSE174188 或 B=GSE135779 派生；与 A/B 重叠的研究仅用于佐证。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必过</w:t>
            </w:r>
          </w:p>
        </w:tc>
      </w:tr>
      <w:tr>
        <w:tc>
          <w:tcPr>
            <w:tcW w:type="dxa" w:w="56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H4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精确溯源</w:t>
            </w:r>
          </w:p>
        </w:tc>
        <w:tc>
          <w:tcPr>
            <w:tcW w:type="dxa" w:w="549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完整成员、版本/来源、符号映射与访问日期均可追溯和复现。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必过</w:t>
            </w:r>
          </w:p>
        </w:tc>
      </w:tr>
      <w:tr>
        <w:tc>
          <w:tcPr>
            <w:tcW w:type="dxa" w:w="56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H5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donor-context 可计算</w:t>
            </w:r>
          </w:p>
        </w:tc>
        <w:tc>
          <w:tcPr>
            <w:tcW w:type="dxa" w:w="549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可在预先指定的 donor × cell context 内计算，且不使用结局标签。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必过</w:t>
            </w:r>
          </w:p>
        </w:tc>
      </w:tr>
      <w:tr>
        <w:tc>
          <w:tcPr>
            <w:tcW w:type="dxa" w:w="56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H6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状态优先</w:t>
            </w:r>
          </w:p>
        </w:tc>
        <w:tc>
          <w:tcPr>
            <w:tcW w:type="dxa" w:w="549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在指定谱系内表征细胞状态/程序，而非细胞丰度或另一谱系的替代指标。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必过</w:t>
            </w:r>
          </w:p>
        </w:tc>
      </w:tr>
      <w:tr>
        <w:tc>
          <w:tcPr>
            <w:tcW w:type="dxa" w:w="56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H7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正交边界</w:t>
            </w:r>
          </w:p>
        </w:tc>
        <w:tc>
          <w:tcPr>
            <w:tcW w:type="dxa" w:w="549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量化已知重叠，并预先规定 D1/D3、D2a/D2b、CD8/NK、GZMK/GZMH 的处理边界。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必过</w:t>
            </w:r>
          </w:p>
        </w:tc>
      </w:tr>
      <w:tr>
        <w:tc>
          <w:tcPr>
            <w:tcW w:type="dxa" w:w="56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H8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跨平台可移植</w:t>
            </w:r>
          </w:p>
        </w:tc>
        <w:tc>
          <w:tcPr>
            <w:tcW w:type="dxa" w:w="549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无数据集特异拟合权重；采用秩评分和确定性符号统一。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必过</w:t>
            </w:r>
          </w:p>
        </w:tc>
      </w:tr>
      <w:tr>
        <w:tc>
          <w:tcPr>
            <w:tcW w:type="dxa" w:w="56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H9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统一覆盖</w:t>
            </w:r>
          </w:p>
        </w:tc>
        <w:tc>
          <w:tcPr>
            <w:tcW w:type="dxa" w:w="549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检测到的规范基因数 ≥ max(5, ceil(0.70×Nset))。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每个 PAS 同规则</w:t>
            </w:r>
          </w:p>
        </w:tc>
      </w:tr>
      <w:tr>
        <w:tc>
          <w:tcPr>
            <w:tcW w:type="dxa" w:w="567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H10</w:t>
            </w:r>
          </w:p>
        </w:tc>
        <w:tc>
          <w:tcPr>
            <w:tcW w:type="dxa" w:w="1304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禁止结果导向</w:t>
            </w:r>
          </w:p>
        </w:tc>
        <w:tc>
          <w:tcPr>
            <w:tcW w:type="dxa" w:w="5499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模型排序、UMAP、Ridge 指标、SLEDAI/结局关联及 p 值不得参与 PAS 或基因选择。</w:t>
            </w:r>
          </w:p>
        </w:tc>
        <w:tc>
          <w:tcPr>
            <w:tcW w:type="dxa" w:w="1304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必过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0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3"/>
        </w:rPr>
        <w:t>2.1 7 维评分与裁决阈值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（1）评分维度为人类 SLE 特异性、A/B 独立性、精确溯源、细胞环境可行性、状态特异性、正交性和跨平台可移植性；每项计 0、1 或 2 分，总分 14 分。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（2）主 PAS 须通过 H1–H10，7 个评分维度均不得为 0，且总分 ≥12。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（3）“主代理（operational proxy）”指满足主 PAS 阈值，但其覆盖的 domain 仅为经预先声明的操作性代理；本版本仅 D3 使用该标签。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（4）敏感性 PAS 不得失败 H1、H3、H5、H8 和 H10，总分 ≥10；其适用限制须在分析前记录。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（5）分解/注释基因仅用于解释亚状态，不替代主 PAS，也不得依据其下游表现反向修改主集合。</w:t>
      </w:r>
    </w:p>
    <w:p>
      <w:pPr>
        <w:keepNext/>
        <w:spacing w:before="16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6"/>
        </w:rPr>
        <w:t>3. 统一计算规范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分析单位。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首先按 donor × cell context 聚合为 pseudobulk。主分析要求该 donor-context 至少包含 20 个细胞；四个 domain 使用相同的细胞数门槛。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（1）在每个数据集内，对每个 donor × cell context 汇总 raw counts 并计算 pseudobulk 表达。规范化方法固定为项目级统一方案；当前推荐 log1p(CPM)，实际实施后须在 provenance 中记录。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（2）将聚合计数 &gt;0 的基因定义为该 donor-context 的 detectable genes。对规范化表达进行样本内 percentile ranking，并列值采用平均秩。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（3）依据 HGNC 确定性映射后的规范基因集检查覆盖。若检测到的集合成员数 k &lt; max(5, ceil(0.70×Nset))，则该 PAS 记为缺失（NA），不得缩短冻结集合后重新评分。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（4）对检测到的集合成员取平均 percentile rank，并计算 PAS = 2 × (mean percentile rank − 0.5)。理论范围约为 [−1, 1]，数值越高表示相应转录程序越强。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（5）主分析保留原始秩分数。仅在跨数据集展示或预先定义的标准化步骤中按 dataset × context 处理；任何需要拟合参数的变换均不得使用 held-out donor 信息。</w:t>
      </w:r>
    </w:p>
    <w:p>
      <w:pPr>
        <w:spacing w:before="40" w:after="100" w:line="240" w:lineRule="auto"/>
        <w:ind w:left="420"/>
        <w:widowControl w:val="1"/>
      </w:pPr>
      <w:r>
        <w:rPr>
          <w:rFonts w:ascii="Courier New" w:hAnsi="Courier New" w:eastAsia="Courier New" w:cs="Courier New"/>
          <w:sz w:val="18"/>
        </w:rPr>
        <w:t>coverage_min = max(5, ceil(0.70 * N_canonical))</w:t>
        <w:br/>
      </w:r>
      <w:r>
        <w:rPr>
          <w:rFonts w:ascii="Courier New" w:hAnsi="Courier New" w:eastAsia="Courier New" w:cs="Courier New"/>
          <w:sz w:val="18"/>
        </w:rPr>
        <w:t>if n_cells &lt; 20 or n_detected_members &lt; coverage_min: PAS = NA</w:t>
        <w:br/>
      </w:r>
      <w:r>
        <w:rPr>
          <w:rFonts w:ascii="Courier New" w:hAnsi="Courier New" w:eastAsia="Courier New" w:cs="Courier New"/>
          <w:sz w:val="18"/>
        </w:rPr>
        <w:t>else: PAS = 2 * (mean(percentile_rank[detected_members]) - 0.5)</w:t>
      </w:r>
    </w:p>
    <w:p>
      <w:pPr>
        <w:keepNext/>
        <w:spacing w:before="10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3"/>
        </w:rPr>
        <w:t>3.1 主分析输出字段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81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字段</w:t>
            </w:r>
          </w:p>
        </w:tc>
        <w:tc>
          <w:tcPr>
            <w:tcW w:type="dxa" w:w="2381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PAS</w:t>
            </w:r>
          </w:p>
        </w:tc>
        <w:tc>
          <w:tcPr>
            <w:tcW w:type="dxa" w:w="1247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细胞环境</w:t>
            </w:r>
          </w:p>
        </w:tc>
        <w:tc>
          <w:tcPr>
            <w:tcW w:type="dxa" w:w="2835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分析地位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pas_d1_ifna_cm</w:t>
            </w:r>
          </w:p>
        </w:tc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D1 IFNA97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cM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主分析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pas_d1_ifna_b</w:t>
            </w:r>
          </w:p>
        </w:tc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D1 IFNA97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B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主分析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pas_d1_ifna_t8</w:t>
            </w:r>
          </w:p>
        </w:tc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D1 IFNA97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T8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主分析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pas_d2a_dn2_b</w:t>
            </w:r>
          </w:p>
        </w:tc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D2a DN2 core 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B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主分析；与 D2b 分别报告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pas_d2b_asc_b</w:t>
            </w:r>
          </w:p>
        </w:tc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D2b M4.11 resolved 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B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主分析；与 D2a 分别报告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pas_d3_myeloid_cm</w:t>
            </w:r>
          </w:p>
        </w:tc>
        <w:tc>
          <w:tcPr>
            <w:tcW w:type="dxa" w:w="238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D3 TNFA/NFKB200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cM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主分析采用 raw score</w:t>
            </w:r>
          </w:p>
        </w:tc>
      </w:tr>
      <w:tr>
        <w:tc>
          <w:tcPr>
            <w:tcW w:type="dxa" w:w="2381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pas_d4_cyto_t8</w:t>
            </w:r>
          </w:p>
        </w:tc>
        <w:tc>
          <w:tcPr>
            <w:tcW w:type="dxa" w:w="2381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D4 Xiong cytotoxicity 8</w:t>
            </w:r>
          </w:p>
        </w:tc>
        <w:tc>
          <w:tcPr>
            <w:tcW w:type="dxa" w:w="1247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T8/CD8</w:t>
            </w:r>
          </w:p>
        </w:tc>
        <w:tc>
          <w:tcPr>
            <w:tcW w:type="dxa" w:w="2835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主分析；RNA state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0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3"/>
        </w:rPr>
        <w:t>3.2 预注册敏感性输出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835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字段</w:t>
            </w:r>
          </w:p>
        </w:tc>
        <w:tc>
          <w:tcPr>
            <w:tcW w:type="dxa" w:w="3969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规则</w:t>
            </w:r>
          </w:p>
        </w:tc>
        <w:tc>
          <w:tcPr>
            <w:tcW w:type="dxa" w:w="2268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分析地位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pas_d1_ifna_xlin_median</w:t>
            </w:r>
          </w:p>
        </w:tc>
        <w:tc>
          <w:tcPr>
            <w:tcW w:type="dxa" w:w="396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仅在 cM、B、T8 三个 PAS 均合格时取中位数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次要汇总；不替代分谱系主结果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pas_d3_myeloid_cm_d1resid</w:t>
            </w:r>
          </w:p>
        </w:tc>
        <w:tc>
          <w:tcPr>
            <w:tcW w:type="dxa" w:w="396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仅在训练 donor 内拟合 D3 ~ D1_cM，并将参数应用于 held-out donor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敏感性分析；禁止全数据残差化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pas_d3_myeloid_ncm</w:t>
            </w:r>
          </w:p>
        </w:tc>
        <w:tc>
          <w:tcPr>
            <w:tcW w:type="dxa" w:w="396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同一 D3 集合在 ncM 中计算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细胞环境敏感性</w:t>
            </w:r>
          </w:p>
        </w:tc>
      </w:tr>
      <w:tr>
        <w:tc>
          <w:tcPr>
            <w:tcW w:type="dxa" w:w="2835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pas_d4_cyto_nk</w:t>
            </w:r>
          </w:p>
        </w:tc>
        <w:tc>
          <w:tcPr>
            <w:tcW w:type="dxa" w:w="3969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同一 D4 集合在 NK 中计算</w:t>
            </w:r>
          </w:p>
        </w:tc>
        <w:tc>
          <w:tcPr>
            <w:tcW w:type="dxa" w:w="2268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谱系敏感性；不并入 CD8 主分数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0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3"/>
        </w:rPr>
        <w:t>3.3 敏感性集合的覆盖口径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3402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敏感性集合</w:t>
            </w:r>
          </w:p>
        </w:tc>
        <w:tc>
          <w:tcPr>
            <w:tcW w:type="dxa" w:w="1701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来源成员数</w:t>
            </w:r>
          </w:p>
        </w:tc>
        <w:tc>
          <w:tcPr>
            <w:tcW w:type="dxa" w:w="2268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可评分规范基因数</w:t>
            </w:r>
          </w:p>
        </w:tc>
        <w:tc>
          <w:tcPr>
            <w:tcW w:type="dxa" w:w="2268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统一覆盖门槛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S_D1_DCM12_27 / DC.M1.2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ceil(0.70×24) = 17</w:t>
            </w:r>
          </w:p>
        </w:tc>
      </w:tr>
      <w:tr>
        <w:tc>
          <w:tcPr>
            <w:tcW w:type="dxa" w:w="3402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S_D4_DCM36_47 / DC.M3.6</w:t>
            </w:r>
          </w:p>
        </w:tc>
        <w:tc>
          <w:tcPr>
            <w:tcW w:type="dxa" w:w="1701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47</w:t>
            </w:r>
          </w:p>
        </w:tc>
        <w:tc>
          <w:tcPr>
            <w:tcW w:type="dxa" w:w="2268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44</w:t>
            </w:r>
          </w:p>
        </w:tc>
        <w:tc>
          <w:tcPr>
            <w:tcW w:type="dxa" w:w="2268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ceil(0.70×44) = 31</w:t>
            </w:r>
          </w:p>
        </w:tc>
      </w:tr>
    </w:tbl>
    <w:p>
      <w:pPr>
        <w:spacing w:after="0"/>
        <w:widowControl w:val="1"/>
      </w:pP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覆盖口径。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所有覆盖门槛均以 N_canonical 为分母。退休或无法确定映射的来源标识仅用于溯源，不纳入评分分母。</w:t>
      </w:r>
    </w:p>
    <w:p>
      <w:pPr>
        <w:keepNext/>
        <w:spacing w:before="16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6"/>
        </w:rPr>
        <w:t>4. 各 domain 的预先裁决与解释边界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Sentinel registry 对每个基因分别记录 Primary PAS set(s)、Sensitivity set(s) 和 Membership class。Primary only、Sensitivity only、Both 与 Interpretive only 四类须保持区分；sentinel 身份本身不构成主 PAS 成员资格。</w:t>
      </w:r>
    </w:p>
    <w:p>
      <w:pPr>
        <w:keepNext/>
        <w:spacing w:before="10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3"/>
        </w:rPr>
        <w:t>4.1 D1 — Type-I IFN / 核酸应答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主定义。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采用 MSigDB v2026.1.Hs 的 HALLMARK_INTERFERON_ALPHA_RESPONSE（97 genes），在 cM、B 和 T8 中分别评分。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证据依据。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该集合成员与版本信息明确、均按正向程序评分，且不从评测数据 A/B 派生；Chaussabel、Chiche 与 Banchereau 等研究提供 SLE 中 IFN 模块的疾病相关和阈值边界证据。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解释边界。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pDC 丰度不作为该状态分数的替代指标；DC.M3.4/M5.12 覆盖更广 IFN 反应，不作为 Type-I 主定义；DC.M1.2 仅用于预注册敏感性分析。</w:t>
      </w:r>
    </w:p>
    <w:p>
      <w:pPr>
        <w:keepNext/>
        <w:spacing w:before="10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3"/>
        </w:rPr>
        <w:t>4.2 D2 — B 细胞激活至滤泡外/ASC 分化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D2a 主定义。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采用 8-gene DN2/ABC-like core。该核心来自人类 SLE DN2/CD11chiT-bet+ B 细胞多研究证据的确定性裁决，并预先排除 IFN 与终末分泌程序基因，以强调激活/命运倾向。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D2b 主定义。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采用 DC.M4.11 的 6-gene resolved implementation；原始 18 个来源成员保留作溯源。纵向与独立 SLE 队列支持其 plasma-cell/plasmablast 模块属性。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解释边界。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D2a 与 D2b 表征生物学相邻但不等价的状态，主分析分别报告；任何二维汇总仅可作为明确标注的展示，不作为主终点。</w:t>
      </w:r>
    </w:p>
    <w:p>
      <w:pPr>
        <w:keepNext/>
        <w:spacing w:before="10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3"/>
        </w:rPr>
        <w:t>4.3 D3 — 非 IFN 髓系炎症激活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主定义。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于 cM 中计算 HALLMARK_TNFA_SIGNALING_VIA_NFKB（200 genes），作为 non-IFN myeloid inflammation 的 operational proxy；ncM 仅用于预注册敏感性分析。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证据依据。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当前缺乏被广泛接受、完整版本化且专用于 SLE cM 的紧凑 non-IFN gene set；因此采用来源明确、跨平台可移植的 Hallmark 集合，并以人类 SLE 单核细胞的转录与表观遗传研究作为疾病层面的支持证据。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解释边界。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domain 名称保持“非 IFN 髓系炎症激活”；不得将其因果性重命名为纯 TNF/NF-κB 程序。主分析使用 raw D3；D1-adjusted D3 仅在训练折内拟合，作为敏感性分析。</w:t>
      </w:r>
    </w:p>
    <w:p>
      <w:pPr>
        <w:keepNext/>
        <w:spacing w:before="10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3"/>
        </w:rPr>
        <w:t>4.4 D4 — CD8 主导细胞毒效应状态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主定义。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采用 Xiong et al. 2023 精确发表的 8-gene cytotoxicity score，以 T8/CD8 为主细胞环境。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谱系边界。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NK 使用同一集合单独评分，仅用于敏感性分析；GZMK 与 GZMH 仅用于亚状态解释，不参与主 PAS 的定义或修改。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解释限制。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该 PAS 反映 RNA-level cytotoxic effector state，不等同于靶细胞杀伤、脱颗粒或组织损伤等功能测定。</w:t>
      </w:r>
    </w:p>
    <w:p>
      <w:pPr>
        <w:keepNext/>
        <w:spacing w:before="16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6"/>
        </w:rPr>
        <w:t>5. 正交性审计与反循环规则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984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比较</w:t>
            </w:r>
          </w:p>
        </w:tc>
        <w:tc>
          <w:tcPr>
            <w:tcW w:type="dxa" w:w="3402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共享基因/关系</w:t>
            </w:r>
          </w:p>
        </w:tc>
        <w:tc>
          <w:tcPr>
            <w:tcW w:type="dxa" w:w="1984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量化结果</w:t>
            </w:r>
          </w:p>
        </w:tc>
        <w:tc>
          <w:tcPr>
            <w:tcW w:type="dxa" w:w="2268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冻结动作</w:t>
            </w:r>
          </w:p>
        </w:tc>
      </w:tr>
      <w:tr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D1 IFNA97 vs D3 TNFA/NFKB200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CCRL2, CSF1, CXCL10, CXCL11, IFIH1, IFIT2, IRF1, RIPK2, TAP1</w:t>
            </w:r>
          </w:p>
        </w:tc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9 shared genes；Jaccard 0.03125；overlap coefficient 0.09278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保留原集合；D3 raw 为主，训练折内 D1-adjusted D3 仅敏感性</w:t>
            </w:r>
          </w:p>
        </w:tc>
      </w:tr>
      <w:tr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其余主集合两两比较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0 shared genes</w:t>
            </w:r>
          </w:p>
        </w:tc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Jaccard 0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D2a vs D2b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0 shared genes</w:t>
            </w:r>
          </w:p>
        </w:tc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生物学相邻但基因不重叠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分别报告，不进行未预注册合并</w:t>
            </w:r>
          </w:p>
        </w:tc>
      </w:tr>
      <w:tr>
        <w:tc>
          <w:tcPr>
            <w:tcW w:type="dxa" w:w="1984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D4 vs NK</w:t>
            </w:r>
          </w:p>
        </w:tc>
        <w:tc>
          <w:tcPr>
            <w:tcW w:type="dxa" w:w="3402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同一效应程序可跨谱系出现</w:t>
            </w:r>
          </w:p>
        </w:tc>
        <w:tc>
          <w:tcPr>
            <w:tcW w:type="dxa" w:w="1984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谱系边界问题</w:t>
            </w:r>
          </w:p>
        </w:tc>
        <w:tc>
          <w:tcPr>
            <w:tcW w:type="dxa" w:w="2268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CD8 为主；NK 独立敏感性</w:t>
            </w:r>
          </w:p>
        </w:tc>
      </w:tr>
    </w:tbl>
    <w:p>
      <w:pPr>
        <w:spacing w:after="0"/>
        <w:widowControl w:val="1"/>
      </w:pP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/>
          <w:i w:val="0"/>
          <w:sz w:val="22"/>
        </w:rPr>
        <w:t>反循环规则。</w:t>
      </w:r>
      <w:r>
        <w:rPr>
          <w:rFonts w:ascii="Times New Roman" w:hAnsi="Times New Roman" w:eastAsia="华文楷体" w:cs="Times New Roman"/>
          <w:b w:val="0"/>
          <w:i w:val="0"/>
          <w:sz w:val="22"/>
        </w:rPr>
        <w:t>不得依据 A/B 上的 PAS 分布、模型预测性能、聚类外观、SLEDAI/结局关联或 p 值删加基因。15,183-gene 交集仅可在冻结后用于覆盖审计，不得作为预先修剪候选集合的依据。</w:t>
      </w:r>
    </w:p>
    <w:p>
      <w:pPr>
        <w:keepNext/>
        <w:spacing w:before="16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6"/>
        </w:rPr>
        <w:t>6. Held-out donor 实施顺序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（1）冻结数据集角色、donor ID、cell-context 映射和细胞数门槛，并确认 A/B 仅用于评测。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（2）从完整基因清单读取冻结集合，执行 HGNC 确定性映射，并输出每个 donor-context 的覆盖计数及缺失原因。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（3）计算 7 个主 PAS 列，保留原始秩分数，不在主评测前进行跨数据集拟合式归一化。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（4）任何需要拟合的标准化、D1 残差化或 Ridge/线性解码器均仅在训练 donor 内拟合，参数固定后应用于 held-out donor。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（5）每个 PAS 报告 donor 数、合格率、覆盖分布、Spearman ρ、R² 及预先规定的辅助指标；同时保留 dataset-specific 结果，不以 pooled 指标替代。</w:t>
      </w:r>
    </w:p>
    <w:p>
      <w:pPr>
        <w:spacing w:before="0" w:after="80" w:line="300" w:lineRule="auto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（6）先完成主分析，再运行预注册敏感性分析；敏感性结果不得反向替换主 PAS 或主分析定义。</w:t>
      </w:r>
    </w:p>
    <w:p>
      <w:pPr>
        <w:keepNext/>
        <w:spacing w:before="10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3"/>
        </w:rPr>
        <w:t>6.1 最小质量控制要求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84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检查项</w:t>
            </w:r>
          </w:p>
        </w:tc>
        <w:tc>
          <w:tcPr>
            <w:tcW w:type="dxa" w:w="3288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通过条件</w:t>
            </w:r>
          </w:p>
        </w:tc>
        <w:tc>
          <w:tcPr>
            <w:tcW w:type="dxa" w:w="4365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失败处理</w:t>
            </w:r>
          </w:p>
        </w:tc>
      </w:tr>
      <w:tr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donor-context 细胞数</w:t>
            </w:r>
          </w:p>
        </w:tc>
        <w:tc>
          <w:tcPr>
            <w:tcW w:type="dxa" w:w="328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≥20</w:t>
            </w:r>
          </w:p>
        </w:tc>
        <w:tc>
          <w:tcPr>
            <w:tcW w:type="dxa" w:w="436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PAS=NA，并记录原因</w:t>
            </w:r>
          </w:p>
        </w:tc>
      </w:tr>
      <w:tr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基因覆盖</w:t>
            </w:r>
          </w:p>
        </w:tc>
        <w:tc>
          <w:tcPr>
            <w:tcW w:type="dxa" w:w="328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≥max(5, ceil(0.70×Nset))</w:t>
            </w:r>
          </w:p>
        </w:tc>
        <w:tc>
          <w:tcPr>
            <w:tcW w:type="dxa" w:w="436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PAS=NA；不得缩短冻结集合</w:t>
            </w:r>
          </w:p>
        </w:tc>
      </w:tr>
      <w:tr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符号映射</w:t>
            </w:r>
          </w:p>
        </w:tc>
        <w:tc>
          <w:tcPr>
            <w:tcW w:type="dxa" w:w="328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确定性映射且保留完整日志</w:t>
            </w:r>
          </w:p>
        </w:tc>
        <w:tc>
          <w:tcPr>
            <w:tcW w:type="dxa" w:w="436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人工审阅；不得猜测 LOC 或歧义符号</w:t>
            </w:r>
          </w:p>
        </w:tc>
      </w:tr>
      <w:tr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数据泄漏</w:t>
            </w:r>
          </w:p>
        </w:tc>
        <w:tc>
          <w:tcPr>
            <w:tcW w:type="dxa" w:w="328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所有拟合步骤均仅使用训练 donor</w:t>
            </w:r>
          </w:p>
        </w:tc>
        <w:tc>
          <w:tcPr>
            <w:tcW w:type="dxa" w:w="436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若发生泄漏，相关分析整次重跑</w:t>
            </w:r>
          </w:p>
        </w:tc>
      </w:tr>
      <w:tr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D2 输出</w:t>
            </w:r>
          </w:p>
        </w:tc>
        <w:tc>
          <w:tcPr>
            <w:tcW w:type="dxa" w:w="328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D2a 与 D2b 两列均保留</w:t>
            </w:r>
          </w:p>
        </w:tc>
        <w:tc>
          <w:tcPr>
            <w:tcW w:type="dxa" w:w="436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拒绝未预注册的单一汇总</w:t>
            </w:r>
          </w:p>
        </w:tc>
      </w:tr>
      <w:tr>
        <w:tc>
          <w:tcPr>
            <w:tcW w:type="dxa" w:w="198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D3 标注</w:t>
            </w:r>
          </w:p>
        </w:tc>
        <w:tc>
          <w:tcPr>
            <w:tcW w:type="dxa" w:w="328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使用“non-IFN myeloid inflammation proxy”</w:t>
            </w:r>
          </w:p>
        </w:tc>
        <w:tc>
          <w:tcPr>
            <w:tcW w:type="dxa" w:w="4365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仅修正文案，不改变集合</w:t>
            </w:r>
          </w:p>
        </w:tc>
      </w:tr>
      <w:tr>
        <w:tc>
          <w:tcPr>
            <w:tcW w:type="dxa" w:w="1984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D4 解释</w:t>
            </w:r>
          </w:p>
        </w:tc>
        <w:tc>
          <w:tcPr>
            <w:tcW w:type="dxa" w:w="3288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RNA state；NK 单独分析</w:t>
            </w:r>
          </w:p>
        </w:tc>
        <w:tc>
          <w:tcPr>
            <w:tcW w:type="dxa" w:w="4365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不得外推为功能性杀伤结论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6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6"/>
        </w:rPr>
        <w:t>7. 文献依据与证据角色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438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来源</w:t>
            </w:r>
          </w:p>
        </w:tc>
        <w:tc>
          <w:tcPr>
            <w:tcW w:type="dxa" w:w="4082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本轮证据角色</w:t>
            </w:r>
          </w:p>
        </w:tc>
        <w:tc>
          <w:tcPr>
            <w:tcW w:type="dxa" w:w="3118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标识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Liberzon et al., 2015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Hallmark gene-set construction and provenance.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26771021 · doi:10.1016/j.cels.2015.12.004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Chaussabel et al., 2008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Original blood modular framework applied to SLE.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18631455 · doi:10.1016/j.immuni.2008.05.012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Chiche et al., 2014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Adult SLE distinguishes lower-threshold M1.2 from broader IFN modules.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24644022 · doi:10.1002/art.38628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Banchereau et al., 2016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Longitudinal pediatric SLE immune modules, including plasma-cell programs.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27040498 · doi:10.1016/j.cell.2016.03.008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Jenks et al., 2018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Human SLE DN2 phenotype, TLR7/IL-21 biology and ASC fate.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30314758 · doi:10.1016/j.immuni.2018.08.015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Wang et al., 2018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Independent human SLE CD11chiT-bet+ B-cell validation.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29717110 · doi:10.1038/s41467-018-03750-7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Scharer et al., 2019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Transcriptomic/epigenetic support for pathogenic extrafollicular B states.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31263277 · doi:10.1038/s41590-019-0419-9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Kotliarov et al., 2020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Independent lupus cohort supports plasma-cell module M4.11.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32094927 · doi:10.1038/s41591-020-0769-8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Grasseau et al., 2021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Cross-platform human plasmablast meta-analysis; sensitivity-core support.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34041745 · doi:10.1111/imm.13344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Ferreté-Bonastre et al., 2024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Human SLE monocyte subset state and activity-linked reprogramming.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38413168 · doi:10.1136/ard-2023-225433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Nikolakis et al., 2023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Independent SLE monocyte transcriptome implicates NF-κB-related inflammation.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37072752 · doi:10.1186/s12864-023-09275-8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Xiong et al., 2023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Exact 8-gene cytotoxicity score with human SLE validation.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36893588 · doi:10.1016/j.ebiom.2023.104507</w:t>
            </w:r>
          </w:p>
        </w:tc>
      </w:tr>
      <w:tr>
        <w:tc>
          <w:tcPr>
            <w:tcW w:type="dxa" w:w="243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Perez et al., 2022</w:t>
            </w:r>
          </w:p>
        </w:tc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Corroboration only; overlaps benchmark dataset A.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35389781 · doi:10.1126/science.abf1970</w:t>
            </w:r>
          </w:p>
        </w:tc>
      </w:tr>
      <w:tr>
        <w:tc>
          <w:tcPr>
            <w:tcW w:type="dxa" w:w="2438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Nehar-Belaid et al., 2020</w:t>
            </w:r>
          </w:p>
        </w:tc>
        <w:tc>
          <w:tcPr>
            <w:tcW w:type="dxa" w:w="4082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Corroboration only; overlaps benchmark dataset B.</w:t>
            </w:r>
          </w:p>
        </w:tc>
        <w:tc>
          <w:tcPr>
            <w:tcW w:type="dxa" w:w="3118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 32747814 · doi:10.1038/s41590-020-0743-0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6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6"/>
        </w:rPr>
        <w:t>8. 配套冻结文件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082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文件</w:t>
            </w:r>
          </w:p>
        </w:tc>
        <w:tc>
          <w:tcPr>
            <w:tcW w:type="dxa" w:w="5556"/>
            <w:tcBorders>
              <w:top w:val="single" w:sz="12" w:color="000000"/>
              <w:bottom w:val="single" w:sz="8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F3_Complete_Gene_Lists_v2.0.xlsx</w:t>
            </w:r>
          </w:p>
        </w:tc>
        <w:tc>
          <w:tcPr>
            <w:tcW w:type="dxa" w:w="5556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主/敏感性集合的完整原始成员、规范符号、评分使用状态与覆盖门槛。</w:t>
            </w:r>
          </w:p>
        </w:tc>
      </w:tr>
      <w:tr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F3_Domain_Evidence_Matrix_v2.0.xlsx</w:t>
            </w:r>
          </w:p>
        </w:tc>
        <w:tc>
          <w:tcPr>
            <w:tcW w:type="dxa" w:w="5556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四个 domain 的冻结表及逐条 claim–evidence–limitation 矩阵。</w:t>
            </w:r>
          </w:p>
        </w:tc>
      </w:tr>
      <w:tr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F3_Geneset_Candidate_Registry_v2.0.xlsx</w:t>
            </w:r>
          </w:p>
        </w:tc>
        <w:tc>
          <w:tcPr>
            <w:tcW w:type="dxa" w:w="5556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统一 7 维评分、候选裁决与排除理由。</w:t>
            </w:r>
          </w:p>
        </w:tc>
      </w:tr>
      <w:tr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F3_Geneset_Orthogonality_Audit_v2.0.xlsx</w:t>
            </w:r>
          </w:p>
        </w:tc>
        <w:tc>
          <w:tcPr>
            <w:tcW w:type="dxa" w:w="5556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主集合两两重叠、正交性量化及预先规定的边界动作。</w:t>
            </w:r>
          </w:p>
        </w:tc>
      </w:tr>
      <w:tr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F3_Sentinel_Gene_Registry_v2.0.xlsx</w:t>
            </w:r>
          </w:p>
        </w:tc>
        <w:tc>
          <w:tcPr>
            <w:tcW w:type="dxa" w:w="5556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解释性 sentinel 及其主 PAS/敏感性集合来源与 membership class。</w:t>
            </w:r>
          </w:p>
        </w:tc>
      </w:tr>
      <w:tr>
        <w:tc>
          <w:tcPr>
            <w:tcW w:type="dxa" w:w="40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F3_Citation_and_Provenance_Check_v2.0.xlsx</w:t>
            </w:r>
          </w:p>
        </w:tc>
        <w:tc>
          <w:tcPr>
            <w:tcW w:type="dxa" w:w="5556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PMID/DOI、证据角色、模块版本、来源与 commit 记录。</w:t>
            </w:r>
          </w:p>
        </w:tc>
      </w:tr>
      <w:tr>
        <w:tc>
          <w:tcPr>
            <w:tcW w:type="dxa" w:w="4082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F3_PAS_Search_Log_v2.0.xlsx</w:t>
            </w:r>
          </w:p>
        </w:tc>
        <w:tc>
          <w:tcPr>
            <w:tcW w:type="dxa" w:w="5556"/>
            <w:tcBorders>
              <w:top w:val="nil"/>
              <w:bottom w:val="single" w:sz="12" w:color="000000"/>
              <w:left w:val="nil"/>
              <w:right w:val="nil"/>
              <w:insideH w:val="nil"/>
              <w:insideV w:val="nil"/>
            </w:tcBorders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华文楷体" w:cs="Times New Roman"/>
                <w:b w:val="0"/>
                <w:i w:val="0"/>
                <w:sz w:val="18"/>
              </w:rPr>
              <w:t>检索轨迹、H1–H10 资格标准及 Version 2.0 修订记录。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60" w:after="80"/>
        <w:widowControl w:val="1"/>
      </w:pPr>
      <w:r>
        <w:rPr>
          <w:rFonts w:ascii="Times New Roman" w:hAnsi="Times New Roman" w:eastAsia="华文楷体" w:cs="Times New Roman"/>
          <w:b/>
          <w:i w:val="0"/>
          <w:sz w:val="26"/>
        </w:rPr>
        <w:t>9. 版本与冻结状态</w:t>
      </w:r>
    </w:p>
    <w:p>
      <w:pPr>
        <w:spacing w:before="0" w:after="80" w:line="300" w:lineRule="auto"/>
        <w:ind w:firstLine="420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2"/>
        </w:rPr>
        <w:t>当前协议版本为 Version 2.0，冻结日期为 2026-08-24。该版本作为 Figure 3 主分析的实施依据。任何后续改动均须生成新版本并记录变更原因、是否重开科学裁决、受影响分析及新旧文件 SHA256；不得覆盖已冻结版本。</w:t>
      </w:r>
    </w:p>
    <w:p>
      <w:pPr>
        <w:spacing w:before="0" w:after="80" w:line="300" w:lineRule="auto"/>
        <w:jc w:val="center"/>
        <w:widowControl w:val="1"/>
      </w:pPr>
      <w:r>
        <w:rPr>
          <w:rFonts w:ascii="Times New Roman" w:hAnsi="Times New Roman" w:eastAsia="华文楷体" w:cs="Times New Roman"/>
          <w:b w:val="0"/>
          <w:i w:val="0"/>
          <w:sz w:val="20"/>
        </w:rPr>
        <w:t>Freeze status: FROZEN FOR IMPLEMENTATION.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华文楷体" w:cs="Times New Roman"/>
        <w:b w:val="0"/>
        <w:i w:val="0"/>
        <w:sz w:val="17"/>
      </w:rPr>
      <w:t xml:space="preserve">F3 Biological Benchmark Implementation · Version 2.0  |  </w:t>
    </w:r>
    <w:r>
      <w:rPr>
        <w:rFonts w:ascii="Times New Roman" w:hAnsi="Times New Roman" w:eastAsia="华文楷体" w:cs="Times New Roman"/>
        <w:b w:val="0"/>
        <w:i w:val="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eastAsia="华文楷体" w:cs="Times New Roman"/>
        <w:b w:val="0"/>
        <w:i w:val="0"/>
        <w:sz w:val="17"/>
      </w:rPr>
      <w:t>F3 / BIOLOGICAL BENCHMARK FREEZE IMPLEMENTATION MEMO · Version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华文楷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