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22F56"/>
          <w:sz w:val="48"/>
        </w:rPr>
        <w:t>PsyLens</w:t>
      </w:r>
    </w:p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多平台游戏社区反馈洞察工作流</w:t>
        <w:br/>
        <w:t>项目说明与执行材料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5"/>
        </w:rPr>
        <w:t>以《英雄联盟》海克斯大乱斗模式为例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7D4E3"/>
          <w:left w:val="single" w:sz="8" w:space="0" w:color="C7D4E3"/>
          <w:bottom w:val="single" w:sz="8" w:space="0" w:color="C7D4E3"/>
          <w:right w:val="single" w:sz="8" w:space="0" w:color="C7D4E3"/>
          <w:insideH w:val="single" w:sz="8" w:space="0" w:color="C7D4E3"/>
          <w:insideV w:val="single" w:sz="8" w:space="0" w:color="C7D4E3"/>
        </w:tblBorders>
      </w:tblPr>
      <w:tblGrid>
        <w:gridCol w:w="3969"/>
        <w:gridCol w:w="4819"/>
      </w:tblGrid>
      <w:tr>
        <w:tc>
          <w:tcPr>
            <w:tcW w:type="dxa" w:w="4819"/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项目类型</w:t>
              <w:br/>
            </w:r>
            <w:r>
              <w:rPr>
                <w:rFonts w:ascii="Noto Sans CJK SC" w:hAnsi="Noto Sans CJK SC" w:eastAsia="Noto Sans CJK SC"/>
                <w:sz w:val="20"/>
              </w:rPr>
              <w:t>游戏用户研究、社区研究、数据与人工智能工作流案例</w:t>
            </w:r>
          </w:p>
        </w:tc>
        <w:tc>
          <w:tcPr>
            <w:tcW w:type="dxa" w:w="4819"/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研究范围</w:t>
              <w:br/>
            </w:r>
            <w:r>
              <w:rPr>
                <w:rFonts w:ascii="Noto Sans CJK SC" w:hAnsi="Noto Sans CJK SC" w:eastAsia="Noto Sans CJK SC"/>
                <w:sz w:val="20"/>
              </w:rPr>
              <w:t>NGA、贴吧、B站三平台；360 条整洁版样本；697 个证据单元；19 条通过验证的洞察</w:t>
            </w:r>
          </w:p>
        </w:tc>
      </w:tr>
      <w:tr>
        <w:tc>
          <w:tcPr>
            <w:tcW w:type="dxa" w:w="4819"/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核心结论</w:t>
              <w:br/>
            </w:r>
            <w:r>
              <w:rPr>
                <w:rFonts w:ascii="Noto Sans CJK SC" w:hAnsi="Noto Sans CJK SC" w:eastAsia="Noto Sans CJK SC"/>
                <w:sz w:val="20"/>
              </w:rPr>
              <w:t>高频争议更稳定地指向胜任受挫；公平威胁是重要但次级的补充机制</w:t>
            </w:r>
          </w:p>
        </w:tc>
        <w:tc>
          <w:tcPr>
            <w:tcW w:type="dxa" w:w="4819"/>
            <w:shd w:fill="F4F7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288" w:lineRule="auto"/>
            </w:pPr>
            <w:r/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作者承担工作</w:t>
              <w:br/>
            </w:r>
            <w:r>
              <w:rPr>
                <w:rFonts w:ascii="Noto Sans CJK SC" w:hAnsi="Noto Sans CJK SC" w:eastAsia="Noto Sans CJK SC"/>
                <w:sz w:val="20"/>
              </w:rPr>
              <w:t>项目定义、数据流程搭建、脚本调试、结果复核、文档成稿与展示包装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i/>
          <w:color w:val="646464"/>
          <w:sz w:val="19"/>
        </w:rPr>
        <w:t>企业投递附件版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22F56"/>
          <w:sz w:val="32"/>
        </w:rPr>
        <w:t>目录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• 一、项目概览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• 二、研究对象与业务问题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• 三、数据来源与样本构成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• 四、执行路径与方法设计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• 五、关键调试与质量控制</w:t>
      </w:r>
    </w:p>
    <w:p>
      <w:pPr>
        <w:ind w:left="227"/>
      </w:pPr>
      <w:r>
        <w:t>• 六、结果分析、代表性证据与跨平台比较</w:t>
      </w:r>
    </w:p>
    <w:p>
      <w:pPr>
        <w:ind w:left="227"/>
      </w:pPr>
      <w:r>
        <w:t>• 七、行动建议矩阵与落地路径</w:t>
      </w:r>
    </w:p>
    <w:p>
      <w:pPr>
        <w:ind w:left="227"/>
      </w:pPr>
      <w:r>
        <w:rPr>
          <w:rFonts w:ascii="Noto Sans CJK SC" w:hAnsi="Noto Sans CJK SC" w:eastAsia="Noto Sans CJK SC"/>
          <w:sz w:val="21"/>
        </w:rPr>
        <w:t>• 八、项目交付包与核查文件索引</w:t>
      </w:r>
    </w:p>
    <w:p>
      <w:pPr>
        <w:ind w:left="227"/>
      </w:pPr>
      <w:r>
        <w:t>• 九、项目价值、项目边界与后续扩展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22F56"/>
          <w:sz w:val="32"/>
        </w:rPr>
        <w:t>一、项目概览</w:t>
      </w:r>
    </w:p>
    <w:p>
      <w:pPr>
        <w:spacing w:line="324" w:lineRule="auto"/>
        <w:ind w:firstLine="420"/>
      </w:pPr>
      <w:r>
        <w:t>PsyLens 是一个围绕公开游戏社区反馈搭建的研究与数据工作流项目。本轮案例以《英雄联盟》海克斯大乱斗模式为研究对象，围绕“玩家的高频争议究竟更稳定地指向哪类心理机制”这一核心问题，整合三平台公开反馈，完成候选采集、正文抓取、预清洗、人工智能精修、三平台标准化合并、证据单元拆分、验证洞察生成与行动建议整理。</w:t>
      </w:r>
    </w:p>
    <w:p>
      <w:pPr>
        <w:spacing w:line="324" w:lineRule="auto"/>
        <w:ind w:firstLine="420"/>
      </w:pPr>
      <w:r>
        <w:t>本项目最终形成三平台整洁版输入 360 条，其中 NGA、贴吧、B站各 120 条；在此基础上拆分出 697 个证据单元，并形成 19 条通过验证的高频洞察。交付材料除项目说明、关键脚本与结果文件外，还补充了代表性验证洞察、代表性证据单元、建议落地路径与后续观察重点，便于直接核查“从公开文本到建议输出”的完整链路。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814"/>
        <w:gridCol w:w="2891"/>
        <w:gridCol w:w="1814"/>
        <w:gridCol w:w="2891"/>
      </w:tblGrid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研究对象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《英雄联盟》海克斯大乱斗公开社群反馈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研究窗口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w1：2026-03-01 至 2026-03-31；w2：更早历史窗口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平台覆盖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NGA、贴吧、B站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样本规模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360 条整洁版输入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证据拆分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697 个证据单元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验证洞察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19 条通过验证的高频洞察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主题主轴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玩法/机制、队友互动、英雄体验、规则归因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机制标签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胜任受挫、公平威胁、信任/沟通缺口、归属感下降、规范/安全风险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主要输出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证据表、验证洞察、行动建议矩阵、项目说明文件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1F8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22F56"/>
                <w:sz w:val="20"/>
              </w:rPr>
              <w:t>交付形式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文档、图表、脚本、结果文件、展示素材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22F56"/>
          <w:sz w:val="32"/>
        </w:rPr>
        <w:t>二、研究对象与业务问题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海克斯大乱斗的社区讨论通常信息量大、情绪浓度高、平台差异明显。直接阅读评论可以快速感受到玩家不满，但很难稳定回答以下问题：玩家到底在争什么；这些争议更像公平问题、理解问题还是社交问题；如果需要转化为研究与决策材料，应该如何组织证据并形成可执行建议。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本项目围绕四个研究问题展开。第一，近期海克斯大乱斗公开讨论中最集中的争议主题是什么。第二，这些争议更稳定地与哪类心理机制共现，重点比较胜任受挫、公平威胁以及其他补充机制。第三，当玩家把问题归因为装备、海克斯、英雄机制或玩法理解时，这更像个体层面的挫败，还是社区层面的负向共识。第四，如果需要从产品设计、模式沟通与社群运营角度回应，这些问题分别适合怎样层级的行动建议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22F56"/>
          <w:sz w:val="32"/>
        </w:rPr>
        <w:t>三、数据来源与样本构成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项目采用三平台平衡输入的方式组织样本。三平台整洁版输入共 360 条，NGA、贴吧、B站各保留 120 条。平台间做了规模平衡控制，以避免单一平台的语境、噪声结构或帖子长度对全部结论形成支配。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同时，项目保留了近期窗口与历史对照窗口，用于避免结论完全被单一时间点的舆情波动主导。最终整洁版样本中，w1 为 260 条，w2 为 100 条。文本形态上，recent_reply 为 318 条，op_context 为 42 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223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2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图 1  三平台样本量与时间窗分布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247"/>
        <w:gridCol w:w="1304"/>
        <w:gridCol w:w="3402"/>
        <w:gridCol w:w="3118"/>
      </w:tblGrid>
      <w:tr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平台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保留样本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主要作用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本轮贡献重点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NGA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120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主平台，提供最强的玩法/机制争议信号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玩法/机制讨论密度高，胜任受挫信号最强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贴吧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120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补充队友互动与历史窗口表达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补足社交摩擦与历史窗口，增强平台差异比较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B站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120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补充视频语境下的英雄体验与队友互动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补足视频评论场景，自动筛入相关热评与最新评论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22F56"/>
          <w:sz w:val="32"/>
        </w:rPr>
        <w:t>四、执行路径与方法设计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项目采用“候选采集—正文抓取—预清洗—人工智能精修—三平台标准化合并—证据单元拆分—验证洞察—建议输出”的链式流程。与单次提示词总结不同，这条链路强调输入的标准化、过程的可追踪，以及输出口径的可复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1607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0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图 2  PsyLens 工作流总览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4.1 候选采集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先在三平台筛选与海克斯大乱斗相关的公开讨论作为候选，再按主题与时间窗进行清洗和配额筛选。该阶段输出各平台 selected 清单，用于后续正文抓取。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4.2 正文抓取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NGA 以帖子正文与楼层回复为主；贴吧以线程页面正文与回复为主；B站以视频标题、简介、热评和最新评论为主。B站阶段额外增加与玩法理解、英雄体验、队友互动、规则归因相关的文本筛选。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4.3 预清洗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对空文本、噪声文本和明显无关文本做基础剔除，统一字段名称与文本格式，为后续人工智能精修准备可解析输入。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4.4 人工智能精修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对每条文本补充主题桶、机制先验、信息强度和剔除理由，保留 keep_ai 字段用于后续合并与核查。该阶段不直接生成结论，而是先整理结构化中间结果。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4.5 三平台合并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将三平台结果映射到统一字段体系，补齐平台来源、时间窗、文本类型与主题标签，再形成整洁版输入，用于后续证据拆分与验证洞察生成。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4.6 结果验证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在整洁版输入基础上拆分证据单元，按主题与机制共现生成高频洞察，再由人工对项目主线进行压口径，避免被单一机制叙事带偏。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417"/>
        <w:gridCol w:w="2041"/>
        <w:gridCol w:w="2778"/>
        <w:gridCol w:w="2835"/>
      </w:tblGrid>
      <w:tr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阶段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关键脚本/文件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主要输入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主要输出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候选采集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phase2_seed_registry_*_selected.csv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清洗后的候选清单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各平台正式候选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正文抓取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build_feedback_registry_nga_auto.py</w:t>
              <w:br/>
              <w:t>crawl_tieba_selected.py</w:t>
              <w:br/>
              <w:t>crawl_bili_selected_auto.py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候选链接/视频标识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feedback_registry_*.csv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预清洗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preclean_feedback_registry.py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feedback_registry_*.csv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feedback_registry_*_preclean.csv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人工智能精修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ai_curate_feedback.py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preclean 结果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feedback_registry_*_ai.csv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标准化合并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merge_phase2_inputs.py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三平台 ai 结果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input_feedback_phase2_multiplatform_clean.csv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证据拆分与验证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run_pipeline.py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整洁版输入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final_evidence_table.csv / 04_validated_insights.jsonl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22F56"/>
          <w:sz w:val="32"/>
        </w:rPr>
        <w:t>五、关键调试与质量控制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本项目的关键难点不在于单次脚本执行，而在于把不同平台、不同格式和不同风险控制条件下的文本，最终组织成可比、可核查、可复用的统一输入。以下三个处理环节是本轮项目中最关键的工程节点。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贴吧抓取：从整批空结果到可用正文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贴吧阶段最初出现页面可访问但正文抓取结果为零的情况。后续在脚本中补充安全验证识别、调试页面留存、本地回退与更稳的正文选择器后，贴吧正文阶段最终得到 164 条记录；预清洗后保留 164 条，人工智能精修后 keep_ai 保留 140 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B站评论：从无评论返回到自动筛入相关热评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B站阶段最初只拿到了视频标题与简介，评论列表没有进入结果。后续改为使用带签名的评论接口，并同时抓取热评与最新评论，再加入与玩法理解、英雄体验、队友互动、规则归因相关的文本筛选。最终 B站得到 133 条记录，人工智能精修后 keep_ai 保留 132 条。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三平台标准化：从字段缺口到整洁版合并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B站结果在首次合并时出现 platform_source、window_tag、reply_type 等字段缺失，导致三平台输入虽然能跑通，但无法做规范的平台与时间窗比较。后续通过字段标准化脚本补齐平台来源、文本类型、标题与时间窗，最终得到 360 条三平台整洁版输入，且 raw_text 空值为 0。</w:t>
      </w:r>
    </w:p>
    <w:p>
      <w:pPr>
        <w:pStyle w:val="Heading1"/>
      </w:pPr>
      <w:r>
        <w:t>六、结果分析、代表性证据与跨平台比较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从主题桶分布看，玩法/机制相关反馈占比最高，共 236 条；队友互动 60 条；英雄体验 58 条；规则归因 6 条。仅从主题桶分布就可以看出，本项目的主要矛盾并不集中在抽象的规则争辩，而是更集中在模式如何被理解、如何被操作、以及不同角色和互动关系如何影响体验。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26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26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图 3  主题桶分布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从机制标签分布看，剔除 uncertain 后，胜任受挫为 268 个证据单元，公平威胁为 72 个，信任/沟通缺口为 10 个，归属感下降为 8 个，规范/安全风险为 3 个。三平台结果共同指向的主机制不是单纯的公平抱怨，而是更具体的胜任受挫：玩家反复表达的是“玩法理解成本高、英雄/海克斯适配不清、努力与结果不匹配、个人操作感被削弱”。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0335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33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图 4  机制标签分布（去除 uncertain）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6.1 核心发现</w:t>
      </w:r>
    </w:p>
    <w:p>
      <w:pPr>
        <w:ind w:left="85"/>
      </w:pPr>
      <w:r>
        <w:rPr>
          <w:rFonts w:ascii="Noto Sans CJK SC" w:hAnsi="Noto Sans CJK SC" w:eastAsia="Noto Sans CJK SC"/>
          <w:b/>
          <w:sz w:val="21"/>
        </w:rPr>
        <w:t>发现一：玩法/机制争议是最稳定的主轴，且首先指向胜任受挫。</w:t>
      </w:r>
    </w:p>
    <w:p>
      <w:pPr>
        <w:ind w:left="397" w:firstLine="420"/>
      </w:pPr>
      <w:r>
        <w:rPr>
          <w:rFonts w:ascii="Noto Sans CJK SC" w:hAnsi="Noto Sans CJK SC" w:eastAsia="Noto Sans CJK SC"/>
          <w:sz w:val="21"/>
        </w:rPr>
        <w:t>跨平台结果显示，玩法/机制相关反馈最常与胜任受挫共现。玩家更常表达的不是单纯“系统不公平”，而是更具体的体验：玩法理解成本高、英雄/海克斯适配不清、努力与结果不匹配、个人操作感被削弱。</w:t>
      </w:r>
    </w:p>
    <w:p>
      <w:pPr>
        <w:ind w:left="85"/>
      </w:pPr>
      <w:r>
        <w:rPr>
          <w:rFonts w:ascii="Noto Sans CJK SC" w:hAnsi="Noto Sans CJK SC" w:eastAsia="Noto Sans CJK SC"/>
          <w:b/>
          <w:sz w:val="21"/>
        </w:rPr>
        <w:t>发现二：公平威胁存在，但主要集中在匹配与奖励等特定节点。</w:t>
      </w:r>
    </w:p>
    <w:p>
      <w:pPr>
        <w:ind w:left="397" w:firstLine="420"/>
      </w:pPr>
      <w:r>
        <w:rPr>
          <w:rFonts w:ascii="Noto Sans CJK SC" w:hAnsi="Noto Sans CJK SC" w:eastAsia="Noto Sans CJK SC"/>
          <w:sz w:val="21"/>
        </w:rPr>
        <w:t>公平威胁并非缺席，但其高频出现更集中在匹配与奖励相关反馈中。这意味着“公平”更像是某些具体机制节点上的次级问题，而不是整个模式讨论的唯一核心。</w:t>
      </w:r>
    </w:p>
    <w:p>
      <w:pPr>
        <w:ind w:left="85"/>
      </w:pPr>
      <w:r>
        <w:rPr>
          <w:rFonts w:ascii="Noto Sans CJK SC" w:hAnsi="Noto Sans CJK SC" w:eastAsia="Noto Sans CJK SC"/>
          <w:b/>
          <w:sz w:val="21"/>
        </w:rPr>
        <w:t>发现三：社区冲突是负面体验的放大器，而不是唯一中心。</w:t>
      </w:r>
    </w:p>
    <w:p>
      <w:pPr>
        <w:ind w:left="397" w:firstLine="420"/>
      </w:pPr>
      <w:r>
        <w:rPr>
          <w:rFonts w:ascii="Noto Sans CJK SC" w:hAnsi="Noto Sans CJK SC" w:eastAsia="Noto Sans CJK SC"/>
          <w:sz w:val="21"/>
        </w:rPr>
        <w:t>贴吧与 B站补充了更多队友互动和社区摩擦语境。它们提示：队友互动、沟通风格、输赢归因方式会放大原本已经存在的挫败体验，并进一步带出信任/沟通缺口或归属感下降。</w:t>
      </w:r>
    </w:p>
    <w:p>
      <w:pPr>
        <w:ind w:left="85"/>
      </w:pPr>
      <w:r>
        <w:rPr>
          <w:rFonts w:ascii="Noto Sans CJK SC" w:hAnsi="Noto Sans CJK SC" w:eastAsia="Noto Sans CJK SC"/>
          <w:b/>
          <w:sz w:val="21"/>
        </w:rPr>
        <w:t>发现四：三个平台在表述风格上存在差异，但在主机制上并不冲突。</w:t>
      </w:r>
    </w:p>
    <w:p>
      <w:pPr>
        <w:ind w:left="397" w:firstLine="420"/>
      </w:pPr>
      <w:r>
        <w:rPr>
          <w:rFonts w:ascii="Noto Sans CJK SC" w:hAnsi="Noto Sans CJK SC" w:eastAsia="Noto Sans CJK SC"/>
          <w:sz w:val="21"/>
        </w:rPr>
        <w:t>NGA 提供最强的玩法/机制争议信号；贴吧补足队友互动和历史窗口；B站补足视频语境下的英雄体验与队友互动。三平台共同支持“胜任受挫是主轴”的结论。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6.2 代表性验证洞察</w:t>
      </w:r>
    </w:p>
    <w:p>
      <w:pPr/>
      <w:r>
        <w:t>下表选取了最能代表当前结论的高频洞察。它们覆盖玩法/机制、匹配机制、队友互动与英雄体验四个关键场景，重点展示主题与机制如何稳定共现。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381"/>
        <w:gridCol w:w="1701"/>
        <w:gridCol w:w="1191"/>
        <w:gridCol w:w="3969"/>
      </w:tblGrid>
      <w:tr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主题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机制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置信度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代表性表述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玩法/机制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胜任受挫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高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玩家最常提到“看不懂、打不出、理解成本高、努力与结果不匹配”，对应的是掌控感和胜任感的持续受阻。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玩法/机制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公平威胁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中高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一部分平衡讨论会进一步转化为“某些选择具有不成比例优势”的归因，但这类表达通常依附于具体机制节点。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匹配机制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胜任受挫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高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匹配差距会直接削弱模式中的操作感与可控感，让玩家更难形成有效策略。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匹配机制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公平威胁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高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不合理的对局配对常被解读为系统层面的不公平，并迅速放大负向归因。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队友互动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信任/沟通缺口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高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输赢归因和沟通风格会放大原本已存在的挫败，负面体验更容易外溢到对队友和系统的双重抱怨。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队友互动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归属感下降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中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重复出现的指责、甩锅和冷嘲会削弱玩家对模式与社区的投入感。</w:t>
            </w:r>
          </w:p>
        </w:tc>
      </w:tr>
      <w:tr>
        <w:tc>
          <w:tcPr>
            <w:tcW w:type="dxa" w:w="2381"/>
          </w:tcPr>
          <w:p>
            <w:r>
              <w:t>英雄体验</w:t>
            </w:r>
          </w:p>
        </w:tc>
        <w:tc>
          <w:tcPr>
            <w:tcW w:type="dxa" w:w="1701"/>
          </w:tcPr>
          <w:p>
            <w:r>
              <w:t>胜任受挫</w:t>
            </w:r>
          </w:p>
        </w:tc>
        <w:tc>
          <w:tcPr>
            <w:tcW w:type="dxa" w:w="1191"/>
          </w:tcPr>
          <w:p>
            <w:r>
              <w:t>中高</w:t>
            </w:r>
          </w:p>
        </w:tc>
        <w:tc>
          <w:tcPr>
            <w:tcW w:type="dxa" w:w="3969"/>
          </w:tcPr>
          <w:p>
            <w:r>
              <w:t>当英雄与海克斯、阵容节奏之间的关系难以理解时，英雄体验会迅速滑向“手感被削弱”的挫败表达。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6.3 代表性证据单元</w:t>
      </w:r>
    </w:p>
    <w:p>
      <w:pPr/>
      <w:r>
        <w:t>为避免洞察停留在抽象概括，本节保留若干代表性证据单元示例。它们不追求覆盖全部样本，而是用来展示玩家原始语言与机制解释之间的实际连接方式。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531"/>
        <w:gridCol w:w="1814"/>
        <w:gridCol w:w="1077"/>
        <w:gridCol w:w="4989"/>
      </w:tblGrid>
      <w:tr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主题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机制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强度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证据表述示例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玩法/机制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胜任受挫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高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“还要让 3000 的经济去出个……一整把都不一定能做完任务的心之钢。”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玩法/机制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公平威胁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中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“最弱智的就是为了叠什么然后选个……又出个心之钢。”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队友互动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信任/沟通缺口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高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“队友根本不理解模式节奏，输掉以后全怪系统。”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匹配机制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公平威胁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高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“对面阵容和我们完全不是一个级别，打起来像送分局。”</w:t>
            </w:r>
          </w:p>
        </w:tc>
      </w:tr>
      <w:tr>
        <w:tc>
          <w:tcPr>
            <w:tcW w:type="dxa" w:w="1531"/>
          </w:tcPr>
          <w:p>
            <w:r>
              <w:t>英雄体验</w:t>
            </w:r>
          </w:p>
        </w:tc>
        <w:tc>
          <w:tcPr>
            <w:tcW w:type="dxa" w:w="1814"/>
          </w:tcPr>
          <w:p>
            <w:r>
              <w:t>胜任受挫</w:t>
            </w:r>
          </w:p>
        </w:tc>
        <w:tc>
          <w:tcPr>
            <w:tcW w:type="dxa" w:w="1077"/>
          </w:tcPr>
          <w:p>
            <w:r>
              <w:t>中高</w:t>
            </w:r>
          </w:p>
        </w:tc>
        <w:tc>
          <w:tcPr>
            <w:tcW w:type="dxa" w:w="4989"/>
          </w:tcPr>
          <w:p>
            <w:r>
              <w:t>“这英雄看起来能玩，真进局以后完全打不出该有的节奏。”</w:t>
            </w:r>
          </w:p>
        </w:tc>
      </w:tr>
      <w:tr>
        <w:tc>
          <w:tcPr>
            <w:tcW w:type="dxa" w:w="1531"/>
          </w:tcPr>
          <w:p>
            <w:r>
              <w:t>奖励/规则归因</w:t>
            </w:r>
          </w:p>
        </w:tc>
        <w:tc>
          <w:tcPr>
            <w:tcW w:type="dxa" w:w="1814"/>
          </w:tcPr>
          <w:p>
            <w:r>
              <w:t>公平威胁</w:t>
            </w:r>
          </w:p>
        </w:tc>
        <w:tc>
          <w:tcPr>
            <w:tcW w:type="dxa" w:w="1077"/>
          </w:tcPr>
          <w:p>
            <w:r>
              <w:t>中高</w:t>
            </w:r>
          </w:p>
        </w:tc>
        <w:tc>
          <w:tcPr>
            <w:tcW w:type="dxa" w:w="4989"/>
          </w:tcPr>
          <w:p>
            <w:r>
              <w:t>“奖励给得轻飘飘，前面一整局的投入像没有被看见一样。”</w:t>
            </w:r>
          </w:p>
        </w:tc>
      </w:tr>
    </w:tbl>
    <w:p>
      <w:pPr>
        <w:pStyle w:val="Heading2"/>
      </w:pPr>
      <w:r>
        <w:t>6.4 证据、洞察与建议的对应关系</w:t>
      </w:r>
    </w:p>
    <w:p>
      <w:pPr/>
      <w:r>
        <w:t>从本轮结果看，文本并不是直接跳到建议。页面中高频出现的表达，先在证据单元层被拆分为可比、可追踪的结构，再被压缩为验证洞察，最后才进入建议矩阵。这样处理的意义，在于让建议与证据之间始终保持可回溯关系：为什么建议补玩法说明、为什么要单独处理匹配与奖励、为什么社区沟通只适合作为第二层动作，都可以回到证据表中找到对应依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高频证据结构</w:t>
            </w:r>
          </w:p>
        </w:tc>
        <w:tc>
          <w:tcPr>
            <w:tcW w:type="dxa" w:w="2409"/>
          </w:tcPr>
          <w:p>
            <w:r>
              <w:t>代表性洞察</w:t>
            </w:r>
          </w:p>
        </w:tc>
        <w:tc>
          <w:tcPr>
            <w:tcW w:type="dxa" w:w="2409"/>
          </w:tcPr>
          <w:p>
            <w:r>
              <w:t>建议方向</w:t>
            </w:r>
          </w:p>
        </w:tc>
        <w:tc>
          <w:tcPr>
            <w:tcW w:type="dxa" w:w="2409"/>
          </w:tcPr>
          <w:p>
            <w:r>
              <w:t>优先级</w:t>
            </w:r>
          </w:p>
        </w:tc>
      </w:tr>
      <w:tr>
        <w:tc>
          <w:tcPr>
            <w:tcW w:type="dxa" w:w="2409"/>
          </w:tcPr>
          <w:p>
            <w:r>
              <w:t>玩法理解成本高、策略入口不清</w:t>
            </w:r>
          </w:p>
        </w:tc>
        <w:tc>
          <w:tcPr>
            <w:tcW w:type="dxa" w:w="2409"/>
          </w:tcPr>
          <w:p>
            <w:r>
              <w:t>主问题落在胜任受挫</w:t>
            </w:r>
          </w:p>
        </w:tc>
        <w:tc>
          <w:tcPr>
            <w:tcW w:type="dxa" w:w="2409"/>
          </w:tcPr>
          <w:p>
            <w:r>
              <w:t>补齐玩法理解入口与示例说明</w:t>
            </w:r>
          </w:p>
        </w:tc>
        <w:tc>
          <w:tcPr>
            <w:tcW w:type="dxa" w:w="2409"/>
          </w:tcPr>
          <w:p>
            <w:r>
              <w:t>高</w:t>
            </w:r>
          </w:p>
        </w:tc>
      </w:tr>
      <w:tr>
        <w:tc>
          <w:tcPr>
            <w:tcW w:type="dxa" w:w="2409"/>
          </w:tcPr>
          <w:p>
            <w:r>
              <w:t>努力与结果脱节、反馈不可感知</w:t>
            </w:r>
          </w:p>
        </w:tc>
        <w:tc>
          <w:tcPr>
            <w:tcW w:type="dxa" w:w="2409"/>
          </w:tcPr>
          <w:p>
            <w:r>
              <w:t>操作回报弱化会放大挫败</w:t>
            </w:r>
          </w:p>
        </w:tc>
        <w:tc>
          <w:tcPr>
            <w:tcW w:type="dxa" w:w="2409"/>
          </w:tcPr>
          <w:p>
            <w:r>
              <w:t>强化关键节点反馈</w:t>
            </w:r>
          </w:p>
        </w:tc>
        <w:tc>
          <w:tcPr>
            <w:tcW w:type="dxa" w:w="2409"/>
          </w:tcPr>
          <w:p>
            <w:r>
              <w:t>高</w:t>
            </w:r>
          </w:p>
        </w:tc>
      </w:tr>
      <w:tr>
        <w:tc>
          <w:tcPr>
            <w:tcW w:type="dxa" w:w="2409"/>
          </w:tcPr>
          <w:p>
            <w:r>
              <w:t>匹配差距与奖励抱怨集中</w:t>
            </w:r>
          </w:p>
        </w:tc>
        <w:tc>
          <w:tcPr>
            <w:tcW w:type="dxa" w:w="2409"/>
          </w:tcPr>
          <w:p>
            <w:r>
              <w:t>公平威胁主要集中在特定节点</w:t>
            </w:r>
          </w:p>
        </w:tc>
        <w:tc>
          <w:tcPr>
            <w:tcW w:type="dxa" w:w="2409"/>
          </w:tcPr>
          <w:p>
            <w:r>
              <w:t>改善匹配体验与反馈透明度</w:t>
            </w:r>
          </w:p>
        </w:tc>
        <w:tc>
          <w:tcPr>
            <w:tcW w:type="dxa" w:w="2409"/>
          </w:tcPr>
          <w:p>
            <w:r>
              <w:t>中高</w:t>
            </w:r>
          </w:p>
        </w:tc>
      </w:tr>
      <w:tr>
        <w:tc>
          <w:tcPr>
            <w:tcW w:type="dxa" w:w="2409"/>
          </w:tcPr>
          <w:p>
            <w:r>
              <w:t>队友冲突与甩锅扩散</w:t>
            </w:r>
          </w:p>
        </w:tc>
        <w:tc>
          <w:tcPr>
            <w:tcW w:type="dxa" w:w="2409"/>
          </w:tcPr>
          <w:p>
            <w:r>
              <w:t>社交摩擦会放大原有挫败</w:t>
            </w:r>
          </w:p>
        </w:tc>
        <w:tc>
          <w:tcPr>
            <w:tcW w:type="dxa" w:w="2409"/>
          </w:tcPr>
          <w:p>
            <w:r>
              <w:t>降低队友互动中的负向放大效应</w:t>
            </w:r>
          </w:p>
        </w:tc>
        <w:tc>
          <w:tcPr>
            <w:tcW w:type="dxa" w:w="2409"/>
          </w:tcPr>
          <w:p>
            <w:r>
              <w:t>中</w:t>
            </w:r>
          </w:p>
        </w:tc>
      </w:tr>
    </w:tbl>
    <w:p>
      <w:pPr>
        <w:pStyle w:val="Heading1"/>
      </w:pPr>
      <w:r>
        <w:t>七、行动建议矩阵与落地路径</w:t>
      </w:r>
    </w:p>
    <w:p>
      <w:pPr>
        <w:spacing w:line="324" w:lineRule="auto"/>
        <w:ind w:firstLine="420"/>
      </w:pPr>
      <w:r>
        <w:t>结合三平台整洁版结果，建议的重心围绕“先解决理解与操作感，再处理匹配与沟通”来组织。项目在自动生成建议的基础上进行了人工压口径处理：保留不同层级的行动方向，同时把建议继续写到能够进入说明、运营与内容沟通的具体动作。下表为人工修订版建议矩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1304"/>
        <w:gridCol w:w="2438"/>
        <w:gridCol w:w="3628"/>
        <w:gridCol w:w="2154"/>
      </w:tblGrid>
      <w:tr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层级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建议方向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建议内容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主要对应问题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稳妥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补齐玩法理解入口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在模式说明、版本说明和示例内容中集中解释高频海克斯、常见阵容适配逻辑、任务型装备的使用门槛与误区，让玩家更快知道“这局该怎么赢”。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理解成本高；努力与结果不匹配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稳妥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强化关键节点反馈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把对局中最容易引发困惑的奖励、成长和节奏节点做成更可感知的提示或结算反馈，减少“操作做了却没回音”的感觉。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操作感弱；回报不可感知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平衡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改善匹配体验与反馈透明度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围绕匹配差距、重开/投降体验、奖励反馈等节点补充更可解释的说明，降低玩家把失利直接归为系统偏向的概率。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t>匹配相关公平威胁；奖励节点负向归因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平衡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降低队友互动中的负向放大效应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在社区内容、模式沟通和局外说明中强化协作预期与输赢归因边界，减少玩家把挫败立即转化为对队友和系统的双重攻击。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t>队友互动摩擦；信任与沟通缺口</w:t>
            </w:r>
          </w:p>
        </w:tc>
      </w:tr>
      <w:tr>
        <w:tc>
          <w:tcPr>
            <w:tcW w:type="dxa" w:w="1304"/>
          </w:tcPr>
          <w:p>
            <w:r>
              <w:t>进阶</w:t>
            </w:r>
          </w:p>
        </w:tc>
        <w:tc>
          <w:tcPr>
            <w:tcW w:type="dxa" w:w="2438"/>
          </w:tcPr>
          <w:p>
            <w:r>
              <w:t>把模式运营从“修平衡”推进到“修可理解性”</w:t>
            </w:r>
          </w:p>
        </w:tc>
        <w:tc>
          <w:tcPr>
            <w:tcW w:type="dxa" w:w="3628"/>
          </w:tcPr>
          <w:p>
            <w:r>
              <w:t>模式更新与活动传播不只回应强弱与数值，还要解释设计逻辑、策略入口和玩家应如何形成有效玩法，逐步把“听说这个模式难懂”改写成“这个模式是可以被学会的”。</w:t>
            </w:r>
          </w:p>
        </w:tc>
        <w:tc>
          <w:tcPr>
            <w:tcW w:type="dxa" w:w="2154"/>
          </w:tcPr>
          <w:p>
            <w:r>
              <w:t>主机制是胜任受挫，而非单纯公平抱怨</w:t>
            </w:r>
          </w:p>
        </w:tc>
      </w:tr>
    </w:tbl>
    <w:p>
      <w:pPr>
        <w:pStyle w:val="Heading2"/>
      </w:pPr>
      <w:r>
        <w:t>7.1 建议落地优先级与后续观察</w:t>
      </w:r>
    </w:p>
    <w:p>
      <w:pPr/>
      <w:r>
        <w:t>为避免建议停留在抽象方向层，本项目进一步把行动建议按阶段拆分为“短期可补、中期可调、持续可运营”三类，并补充后续观察重点，便于把文本研究结果转化为模式说明、社区内容或节点优化的实际动作。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建议阶段</w:t>
            </w:r>
          </w:p>
        </w:tc>
        <w:tc>
          <w:tcPr>
            <w:tcW w:type="dxa" w:w="2409"/>
          </w:tcPr>
          <w:p>
            <w:r>
              <w:t>优先处理事项</w:t>
            </w:r>
          </w:p>
        </w:tc>
        <w:tc>
          <w:tcPr>
            <w:tcW w:type="dxa" w:w="2409"/>
          </w:tcPr>
          <w:p>
            <w:r>
              <w:t>建议落地动作</w:t>
            </w:r>
          </w:p>
        </w:tc>
        <w:tc>
          <w:tcPr>
            <w:tcW w:type="dxa" w:w="2409"/>
          </w:tcPr>
          <w:p>
            <w:r>
              <w:t>建议后续观察</w:t>
            </w:r>
          </w:p>
        </w:tc>
      </w:tr>
      <w:tr>
        <w:tc>
          <w:tcPr>
            <w:tcW w:type="dxa" w:w="2409"/>
          </w:tcPr>
          <w:p>
            <w:r>
              <w:t>短期</w:t>
            </w:r>
          </w:p>
        </w:tc>
        <w:tc>
          <w:tcPr>
            <w:tcW w:type="dxa" w:w="2409"/>
          </w:tcPr>
          <w:p>
            <w:r>
              <w:t>玩法理解入口</w:t>
            </w:r>
          </w:p>
        </w:tc>
        <w:tc>
          <w:tcPr>
            <w:tcW w:type="dxa" w:w="2409"/>
          </w:tcPr>
          <w:p>
            <w:r>
              <w:t>优先补齐高频误解点、海克斯/阵容基础说明与案例化示例内容。</w:t>
            </w:r>
          </w:p>
        </w:tc>
        <w:tc>
          <w:tcPr>
            <w:tcW w:type="dxa" w:w="2409"/>
          </w:tcPr>
          <w:p>
            <w:r>
              <w:t>相关抱怨频率、说明内容完读与复用情况</w:t>
            </w:r>
          </w:p>
        </w:tc>
      </w:tr>
      <w:tr>
        <w:tc>
          <w:tcPr>
            <w:tcW w:type="dxa" w:w="2409"/>
          </w:tcPr>
          <w:p>
            <w:r>
              <w:t>短期</w:t>
            </w:r>
          </w:p>
        </w:tc>
        <w:tc>
          <w:tcPr>
            <w:tcW w:type="dxa" w:w="2409"/>
          </w:tcPr>
          <w:p>
            <w:r>
              <w:t>关键反馈节点</w:t>
            </w:r>
          </w:p>
        </w:tc>
        <w:tc>
          <w:tcPr>
            <w:tcW w:type="dxa" w:w="2409"/>
          </w:tcPr>
          <w:p>
            <w:r>
              <w:t>围绕奖励、任务、结算和成长节点补充更清楚的反馈说明。</w:t>
            </w:r>
          </w:p>
        </w:tc>
        <w:tc>
          <w:tcPr>
            <w:tcW w:type="dxa" w:w="2409"/>
          </w:tcPr>
          <w:p>
            <w:r>
              <w:t>“做了没反馈”“回报看不见”类表述是否下降</w:t>
            </w:r>
          </w:p>
        </w:tc>
      </w:tr>
      <w:tr>
        <w:tc>
          <w:tcPr>
            <w:tcW w:type="dxa" w:w="2409"/>
          </w:tcPr>
          <w:p>
            <w:r>
              <w:t>中期</w:t>
            </w:r>
          </w:p>
        </w:tc>
        <w:tc>
          <w:tcPr>
            <w:tcW w:type="dxa" w:w="2409"/>
          </w:tcPr>
          <w:p>
            <w:r>
              <w:t>匹配与协作预期</w:t>
            </w:r>
          </w:p>
        </w:tc>
        <w:tc>
          <w:tcPr>
            <w:tcW w:type="dxa" w:w="2409"/>
          </w:tcPr>
          <w:p>
            <w:r>
              <w:t>结合模式节奏与匹配体验，明确协作预期和输赢归因边界。</w:t>
            </w:r>
          </w:p>
        </w:tc>
        <w:tc>
          <w:tcPr>
            <w:tcW w:type="dxa" w:w="2409"/>
          </w:tcPr>
          <w:p>
            <w:r>
              <w:t>匹配不公、甩锅和沟通冲突类表述是否收敛</w:t>
            </w:r>
          </w:p>
        </w:tc>
      </w:tr>
      <w:tr>
        <w:tc>
          <w:tcPr>
            <w:tcW w:type="dxa" w:w="2409"/>
          </w:tcPr>
          <w:p>
            <w:r>
              <w:t>持续</w:t>
            </w:r>
          </w:p>
        </w:tc>
        <w:tc>
          <w:tcPr>
            <w:tcW w:type="dxa" w:w="2409"/>
          </w:tcPr>
          <w:p>
            <w:r>
              <w:t>模式可理解性运营</w:t>
            </w:r>
          </w:p>
        </w:tc>
        <w:tc>
          <w:tcPr>
            <w:tcW w:type="dxa" w:w="2409"/>
          </w:tcPr>
          <w:p>
            <w:r>
              <w:t>把设计逻辑、玩法入口和策略形成路径纳入常态化运营内容。</w:t>
            </w:r>
          </w:p>
        </w:tc>
        <w:tc>
          <w:tcPr>
            <w:tcW w:type="dxa" w:w="2409"/>
          </w:tcPr>
          <w:p>
            <w:r>
              <w:t>胜任受挫相关证据是否逐步弱化，公平威胁是否局限在更少节点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/>
          <w:color w:val="122F56"/>
          <w:sz w:val="32"/>
        </w:rPr>
        <w:t>八、项目交付包与核查文件索引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配套项目包提供文档、图表、关键结果文件与关键脚本。项目阅读者可以直接按照下列索引查阅项目结构、关键输入、核心输出与代表性脚本。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8.1 项目包结构</w:t>
      </w:r>
    </w:p>
    <w:p>
      <w:pPr>
        <w:ind w:left="227"/>
      </w:pPr>
      <w:r>
        <w:rPr>
          <w:rFonts w:ascii="DejaVu Sans Mono" w:hAnsi="DejaVu Sans Mono" w:eastAsia="DejaVu Sans Mono"/>
          <w:sz w:val="17"/>
        </w:rPr>
        <w:t>PsyLens_项目说明与核查材料/</w:t>
        <w:br/>
      </w:r>
      <w:r>
        <w:rPr>
          <w:rFonts w:ascii="DejaVu Sans Mono" w:hAnsi="DejaVu Sans Mono" w:eastAsia="DejaVu Sans Mono"/>
          <w:sz w:val="17"/>
        </w:rPr>
        <w:t>├─ 00_项目说明/</w:t>
        <w:br/>
      </w:r>
      <w:r>
        <w:rPr>
          <w:rFonts w:ascii="DejaVu Sans Mono" w:hAnsi="DejaVu Sans Mono" w:eastAsia="DejaVu Sans Mono"/>
          <w:sz w:val="17"/>
        </w:rPr>
        <w:t>│  └─ PsyLens_企业投递版项目说明_v3.docx</w:t>
        <w:br/>
      </w:r>
      <w:r>
        <w:rPr>
          <w:rFonts w:ascii="DejaVu Sans Mono" w:hAnsi="DejaVu Sans Mono" w:eastAsia="DejaVu Sans Mono"/>
          <w:sz w:val="17"/>
        </w:rPr>
        <w:t>├─ 01_图表/</w:t>
        <w:br/>
      </w:r>
      <w:r>
        <w:rPr>
          <w:rFonts w:ascii="DejaVu Sans Mono" w:hAnsi="DejaVu Sans Mono" w:eastAsia="DejaVu Sans Mono"/>
          <w:sz w:val="17"/>
        </w:rPr>
        <w:t>│  ├─ workflow_overview.png</w:t>
        <w:br/>
      </w:r>
      <w:r>
        <w:rPr>
          <w:rFonts w:ascii="DejaVu Sans Mono" w:hAnsi="DejaVu Sans Mono" w:eastAsia="DejaVu Sans Mono"/>
          <w:sz w:val="17"/>
        </w:rPr>
        <w:t>│  ├─ data_overview.png</w:t>
        <w:br/>
      </w:r>
      <w:r>
        <w:rPr>
          <w:rFonts w:ascii="DejaVu Sans Mono" w:hAnsi="DejaVu Sans Mono" w:eastAsia="DejaVu Sans Mono"/>
          <w:sz w:val="17"/>
        </w:rPr>
        <w:t>│  ├─ theme_distribution.png</w:t>
        <w:br/>
      </w:r>
      <w:r>
        <w:rPr>
          <w:rFonts w:ascii="DejaVu Sans Mono" w:hAnsi="DejaVu Sans Mono" w:eastAsia="DejaVu Sans Mono"/>
          <w:sz w:val="17"/>
        </w:rPr>
        <w:t>│  └─ mechanism_distribution.png</w:t>
        <w:br/>
      </w:r>
      <w:r>
        <w:rPr>
          <w:rFonts w:ascii="DejaVu Sans Mono" w:hAnsi="DejaVu Sans Mono" w:eastAsia="DejaVu Sans Mono"/>
          <w:sz w:val="17"/>
        </w:rPr>
        <w:t>├─ 02_关键结果/</w:t>
        <w:br/>
      </w:r>
      <w:r>
        <w:rPr>
          <w:rFonts w:ascii="DejaVu Sans Mono" w:hAnsi="DejaVu Sans Mono" w:eastAsia="DejaVu Sans Mono"/>
          <w:sz w:val="17"/>
        </w:rPr>
        <w:t>│  ├─ input_feedback_phase2_multiplatform_clean.csv</w:t>
        <w:br/>
      </w:r>
      <w:r>
        <w:rPr>
          <w:rFonts w:ascii="DejaVu Sans Mono" w:hAnsi="DejaVu Sans Mono" w:eastAsia="DejaVu Sans Mono"/>
          <w:sz w:val="17"/>
        </w:rPr>
        <w:t>│  ├─ final_evidence_table.csv</w:t>
        <w:br/>
      </w:r>
      <w:r>
        <w:rPr>
          <w:rFonts w:ascii="DejaVu Sans Mono" w:hAnsi="DejaVu Sans Mono" w:eastAsia="DejaVu Sans Mono"/>
          <w:sz w:val="17"/>
        </w:rPr>
        <w:t>│  ├─ 04_validated_insights.jsonl</w:t>
        <w:br/>
      </w:r>
      <w:r>
        <w:rPr>
          <w:rFonts w:ascii="DejaVu Sans Mono" w:hAnsi="DejaVu Sans Mono" w:eastAsia="DejaVu Sans Mono"/>
          <w:sz w:val="17"/>
        </w:rPr>
        <w:t>│  └─ 05_action_matrix.json</w:t>
        <w:br/>
      </w:r>
      <w:r>
        <w:rPr>
          <w:rFonts w:ascii="DejaVu Sans Mono" w:hAnsi="DejaVu Sans Mono" w:eastAsia="DejaVu Sans Mono"/>
          <w:sz w:val="17"/>
        </w:rPr>
        <w:t>├─ 03_关键脚本/</w:t>
        <w:br/>
      </w:r>
      <w:r>
        <w:rPr>
          <w:rFonts w:ascii="DejaVu Sans Mono" w:hAnsi="DejaVu Sans Mono" w:eastAsia="DejaVu Sans Mono"/>
          <w:sz w:val="17"/>
        </w:rPr>
        <w:t>│  ├─ run_pipeline.py</w:t>
        <w:br/>
      </w:r>
      <w:r>
        <w:rPr>
          <w:rFonts w:ascii="DejaVu Sans Mono" w:hAnsi="DejaVu Sans Mono" w:eastAsia="DejaVu Sans Mono"/>
          <w:sz w:val="17"/>
        </w:rPr>
        <w:t>│  ├─ merge_phase2_inputs.py</w:t>
        <w:br/>
      </w:r>
      <w:r>
        <w:rPr>
          <w:rFonts w:ascii="DejaVu Sans Mono" w:hAnsi="DejaVu Sans Mono" w:eastAsia="DejaVu Sans Mono"/>
          <w:sz w:val="17"/>
        </w:rPr>
        <w:t>│  ├─ preclean_feedback_registry.py</w:t>
        <w:br/>
      </w:r>
      <w:r>
        <w:rPr>
          <w:rFonts w:ascii="DejaVu Sans Mono" w:hAnsi="DejaVu Sans Mono" w:eastAsia="DejaVu Sans Mono"/>
          <w:sz w:val="17"/>
        </w:rPr>
        <w:t>│  ├─ ai_curate_feedback.py</w:t>
        <w:br/>
      </w:r>
      <w:r>
        <w:rPr>
          <w:rFonts w:ascii="DejaVu Sans Mono" w:hAnsi="DejaVu Sans Mono" w:eastAsia="DejaVu Sans Mono"/>
          <w:sz w:val="17"/>
        </w:rPr>
        <w:t>│  ├─ build_feedback_registry_nga_auto.py</w:t>
        <w:br/>
      </w:r>
      <w:r>
        <w:rPr>
          <w:rFonts w:ascii="DejaVu Sans Mono" w:hAnsi="DejaVu Sans Mono" w:eastAsia="DejaVu Sans Mono"/>
          <w:sz w:val="17"/>
        </w:rPr>
        <w:t>│  ├─ crawl_tieba_selected.py</w:t>
        <w:br/>
      </w:r>
      <w:r>
        <w:rPr>
          <w:rFonts w:ascii="DejaVu Sans Mono" w:hAnsi="DejaVu Sans Mono" w:eastAsia="DejaVu Sans Mono"/>
          <w:sz w:val="17"/>
        </w:rPr>
        <w:t>│  ├─ crawl_bili_selected_auto.py</w:t>
        <w:br/>
      </w:r>
      <w:r>
        <w:rPr>
          <w:rFonts w:ascii="DejaVu Sans Mono" w:hAnsi="DejaVu Sans Mono" w:eastAsia="DejaVu Sans Mono"/>
          <w:sz w:val="17"/>
        </w:rPr>
        <w:t>│  └─ standardize_phase2_time_and_window.py</w:t>
        <w:br/>
      </w:r>
      <w:r>
        <w:rPr>
          <w:rFonts w:ascii="DejaVu Sans Mono" w:hAnsi="DejaVu Sans Mono" w:eastAsia="DejaVu Sans Mono"/>
          <w:sz w:val="17"/>
        </w:rPr>
        <w:t>└─ 04_项目结构/</w:t>
        <w:br/>
      </w:r>
      <w:r>
        <w:rPr>
          <w:rFonts w:ascii="DejaVu Sans Mono" w:hAnsi="DejaVu Sans Mono" w:eastAsia="DejaVu Sans Mono"/>
          <w:sz w:val="17"/>
        </w:rPr>
        <w:t xml:space="preserve">   └─ project_tree.txt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8.2 关键结果文件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721"/>
        <w:gridCol w:w="1814"/>
        <w:gridCol w:w="2948"/>
        <w:gridCol w:w="1928"/>
      </w:tblGrid>
      <w:tr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文件名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类型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主要内容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建议查看重点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input_feedback_phase2_multiplatform_clean.csv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表格数据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三平台整洁版输入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平台、时间窗、reply_type、主题桶字段是否完整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final_evidence_table.csv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表格数据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697 个证据单元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surface_topic、mechanism_label、confidence、evidence_phrase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04_validated_insights.jsonl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结构化文本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19 条通过验证的高频洞察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高频主题—机制共现是否稳定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05_action_matrix.json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结构化文本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自动生成的建议矩阵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与文档中的人工修订版建议矩阵对照查看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8.3 关键脚本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EE8"/>
          <w:left w:val="single" w:sz="6" w:space="0" w:color="D5DEE8"/>
          <w:bottom w:val="single" w:sz="6" w:space="0" w:color="D5DEE8"/>
          <w:right w:val="single" w:sz="6" w:space="0" w:color="D5DEE8"/>
          <w:insideH w:val="single" w:sz="6" w:space="0" w:color="D5DEE8"/>
          <w:insideV w:val="single" w:sz="6" w:space="0" w:color="D5DEE8"/>
        </w:tblBorders>
      </w:tblPr>
      <w:tblGrid>
        <w:gridCol w:w="2778"/>
        <w:gridCol w:w="2551"/>
        <w:gridCol w:w="2494"/>
        <w:gridCol w:w="1757"/>
      </w:tblGrid>
      <w:tr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脚本文件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主要作用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典型输入/输出</w:t>
            </w:r>
          </w:p>
        </w:tc>
        <w:tc>
          <w:tcPr>
            <w:tcW w:type="dxa" w:w="2409"/>
            <w:shd w:fill="1230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核查重点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run_pipeline.py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驱动证据拆分、洞察生成与建议输出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整洁版输入 → 证据表/验证洞察/建议矩阵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是否把原始文本压缩为结构化中间结果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merge_phase2_inputs.py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合并三平台结果并平衡样本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三平台 ai 结果 → clean 输入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字段是否对齐，平台与时间窗是否完整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preclean_feedback_registry.py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做基础预清洗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registry → preclean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空文本、噪声文本、字段格式处理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ai_curate_feedback.py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补充主题桶、机制先验与剔除理由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preclean → ai 结果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keep_ai、theme_bucket、mechanism_prior 质量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build_feedback_registry_nga_auto.py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自动整理 NGA 正文到统一表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NGA 原始抓取 → registry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NGA 文本抽取与表头标准化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crawl_tieba_selected.py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抓取贴吧 selected 正文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selected 清单 → 贴吧 registry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403 处理、安全验证识别与回退策略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crawl_bili_selected_auto.py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抓取 B站视频信息与相关评论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selected 清单 → B站 registry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8FAFD"/>
          </w:tcPr>
          <w:p>
            <w:r>
              <w:rPr>
                <w:rFonts w:ascii="Noto Sans CJK SC" w:hAnsi="Noto Sans CJK SC" w:eastAsia="Noto Sans CJK SC"/>
                <w:sz w:val="20"/>
              </w:rPr>
              <w:t>热评/最新评论筛选与相关性过滤</w:t>
            </w:r>
          </w:p>
        </w:tc>
      </w:tr>
      <w:tr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standardize_phase2_time_and_window.py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统一时间窗字段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平台原始时间 → w1/w2</w:t>
            </w:r>
          </w:p>
        </w:tc>
        <w:tc>
          <w:tcPr>
            <w:tcW w:type="dxa" w:w="2409"/>
            <w:tcMar>
              <w:top w:w="80" w:type="dxa"/>
              <w:start w:w="100" w:type="dxa"/>
              <w:bottom w:w="80" w:type="dxa"/>
              <w:end w:w="100" w:type="dxa"/>
            </w:tcMar>
            <w:shd w:fill="F2F6FA"/>
          </w:tcPr>
          <w:p>
            <w:r>
              <w:rPr>
                <w:rFonts w:ascii="Noto Sans CJK SC" w:hAnsi="Noto Sans CJK SC" w:eastAsia="Noto Sans CJK SC"/>
                <w:sz w:val="20"/>
              </w:rPr>
              <w:t>时间窗口径是否一致</w:t>
            </w:r>
          </w:p>
        </w:tc>
      </w:tr>
    </w:tbl>
    <w:p>
      <w:pPr>
        <w:pStyle w:val="Heading2"/>
      </w:pPr>
      <w:r>
        <w:rPr>
          <w:rFonts w:ascii="Noto Sans CJK SC" w:hAnsi="Noto Sans CJK SC" w:eastAsia="Noto Sans CJK SC"/>
          <w:b/>
          <w:color w:val="122F56"/>
          <w:sz w:val="25"/>
        </w:rPr>
        <w:t>8.4 图表与展示素材</w:t>
      </w:r>
    </w:p>
    <w:p>
      <w:pPr>
        <w:spacing w:line="324" w:lineRule="auto"/>
        <w:ind w:firstLine="420"/>
      </w:pPr>
      <w:r>
        <w:t>图表目录提供工作流总览、数据覆盖概况、主题桶分布、机制标签分布等基础展示图，用于说明项目方法链、样本范围与结果结构。配合关键结果文件与代表性脚本，可以较完整地核查项目从输入、处理中间层到最终输出的整体质量。</w:t>
      </w:r>
    </w:p>
    <w:p>
      <w:pPr>
        <w:pStyle w:val="Heading1"/>
      </w:pPr>
      <w:r>
        <w:t>九、项目价值、项目边界与后续扩展</w:t>
      </w:r>
    </w:p>
    <w:p>
      <w:pPr>
        <w:pStyle w:val="Heading2"/>
      </w:pPr>
      <w:r>
        <w:t>9.1 项目价值</w:t>
      </w:r>
    </w:p>
    <w:p>
      <w:pPr/>
      <w:r>
        <w:t>本项目的价值不只停留在给出一个关于海克斯大乱斗的结论，更在于把公开社区反馈转化为结构化研究材料，并把结果继续推进到建议层。对业务侧来说，这类材料可以进入模式复盘、玩家沟通和社区运营讨论；对方法侧来说，它也展示了一条可继续迁移到其他游戏模式、社区议题和产品反馈场景的工作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价值维度</w:t>
            </w:r>
          </w:p>
        </w:tc>
        <w:tc>
          <w:tcPr>
            <w:tcW w:type="dxa" w:w="4819"/>
          </w:tcPr>
          <w:p>
            <w:r>
              <w:t>项目价值说明</w:t>
            </w:r>
          </w:p>
        </w:tc>
      </w:tr>
      <w:tr>
        <w:tc>
          <w:tcPr>
            <w:tcW w:type="dxa" w:w="4819"/>
          </w:tcPr>
          <w:p>
            <w:r>
              <w:t>游戏研究</w:t>
            </w:r>
          </w:p>
        </w:tc>
        <w:tc>
          <w:tcPr>
            <w:tcW w:type="dxa" w:w="4819"/>
          </w:tcPr>
          <w:p>
            <w:r>
              <w:t>把公开玩家反馈从零散抱怨压缩为主题、机制与证据链，便于模式复盘、社区研究和问题梳理。</w:t>
            </w:r>
          </w:p>
        </w:tc>
      </w:tr>
      <w:tr>
        <w:tc>
          <w:tcPr>
            <w:tcW w:type="dxa" w:w="4819"/>
          </w:tcPr>
          <w:p>
            <w:r>
              <w:t>方法设计</w:t>
            </w:r>
          </w:p>
        </w:tc>
        <w:tc>
          <w:tcPr>
            <w:tcW w:type="dxa" w:w="4819"/>
          </w:tcPr>
          <w:p>
            <w:r>
              <w:t>展示了一条从文本抓取、清洗、结构化标注到验证洞察输出的完整流程，而不是停留在情绪统计或词频展示。</w:t>
            </w:r>
          </w:p>
        </w:tc>
      </w:tr>
      <w:tr>
        <w:tc>
          <w:tcPr>
            <w:tcW w:type="dxa" w:w="4819"/>
          </w:tcPr>
          <w:p>
            <w:r>
              <w:t>业务沟通</w:t>
            </w:r>
          </w:p>
        </w:tc>
        <w:tc>
          <w:tcPr>
            <w:tcW w:type="dxa" w:w="4819"/>
          </w:tcPr>
          <w:p>
            <w:r>
              <w:t>行动建议矩阵把分析结果进一步翻译为可沟通、可排序、可跟进的动作方向，便于进入说明、运营或优化讨论。</w:t>
            </w:r>
          </w:p>
        </w:tc>
      </w:tr>
      <w:tr>
        <w:tc>
          <w:tcPr>
            <w:tcW w:type="dxa" w:w="4819"/>
          </w:tcPr>
          <w:p>
            <w:r>
              <w:t>求职展示</w:t>
            </w:r>
          </w:p>
        </w:tc>
        <w:tc>
          <w:tcPr>
            <w:tcW w:type="dxa" w:w="4819"/>
          </w:tcPr>
          <w:p>
            <w:r>
              <w:t>配套的项目说明、结果文件和关键脚本能够支持直接核查，形成可验证的项目资产。</w:t>
            </w:r>
          </w:p>
        </w:tc>
      </w:tr>
    </w:tbl>
    <w:p>
      <w:pPr>
        <w:pStyle w:val="Heading2"/>
      </w:pPr>
      <w:r>
        <w:t>9.2 项目边界与后续扩展</w:t>
      </w:r>
    </w:p>
    <w:p>
      <w:pPr>
        <w:spacing w:line="324" w:lineRule="auto"/>
        <w:ind w:firstLine="420"/>
      </w:pPr>
      <w:r>
        <w:t>本项目基于公开社区反馈，属于专题研究，不能直接外推为整个平台总体玩家的普遍性结论。不同平台语境存在差异，三平台合并提高了稳健性，但仍不能替代受控问卷、深度访谈或行为数据。自动筛选与人工智能精修提升了处理效率，最终口径仍依赖人工复核，尤其是在公平威胁、社交摩擦和胜任受挫之间的解释边界上。</w:t>
      </w:r>
    </w:p>
    <w:p>
      <w:pPr>
        <w:spacing w:line="324" w:lineRule="auto"/>
        <w:ind w:firstLine="420"/>
      </w:pPr>
      <w:r>
        <w:t>后续如果继续推进，本项目可以沿三条线继续展开：第一，增加更严格的人工评估集，在现有证据表基础上提升标签与洞察的可解释性；第二，围绕匹配、奖励和沟通透明度建立更细的二级标签，把次级问题拆得更可执行；第三，将当前行动建议矩阵继续压缩为面向业务的管理摘要，并把整套流程迁移到其他模式、其他游戏或其他公开社区议题。</w:t>
      </w:r>
    </w:p>
    <w:sectPr w:rsidR="00FC693F" w:rsidRPr="0006063C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