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rFonts w:ascii="Microsoft YaHei" w:hAnsi="Microsoft YaHei" w:eastAsia="Microsoft YaHei"/>
          <w:b/>
          <w:color w:val="2176A3"/>
          <w:sz w:val="26"/>
        </w:rPr>
        <w:t>PSYLENS</w:t>
      </w:r>
    </w:p>
    <w:p>
      <w:pPr>
        <w:spacing w:before="680" w:after="240"/>
      </w:pPr>
      <w:r>
        <w:rPr>
          <w:rFonts w:ascii="Microsoft YaHei" w:hAnsi="Microsoft YaHei" w:eastAsia="Microsoft YaHei"/>
          <w:b/>
          <w:color w:val="12304A"/>
          <w:sz w:val="62"/>
        </w:rPr>
        <w:t>社区反馈分析与</w:t>
        <w:br/>
        <w:t>可靠性评测</w:t>
      </w:r>
    </w:p>
    <w:p>
      <w:pPr>
        <w:spacing w:after="500"/>
      </w:pPr>
      <w:r>
        <w:rPr>
          <w:rFonts w:ascii="Microsoft YaHei" w:hAnsi="Microsoft YaHei" w:eastAsia="Microsoft YaHei"/>
          <w:b w:val="0"/>
          <w:color w:val="2176A3"/>
          <w:sz w:val="30"/>
        </w:rPr>
        <w:t>海克斯大乱斗多平台案例｜公开发布版项目说明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8"/>
      </w:tblGrid>
      <w:tr>
        <w:tc>
          <w:tcPr>
            <w:tcW w:type="dxa" w:w="9688"/>
            <w:shd w:fill="EDF5F9"/>
            <w:tcBorders>
              <w:top w:val="single" w:sz="10" w:color="2176A3"/>
              <w:left w:val="single" w:sz="10" w:color="2176A3"/>
              <w:bottom w:val="single" w:sz="10" w:color="2176A3"/>
              <w:right w:val="single" w:sz="10" w:color="2176A3"/>
            </w:tcBorders>
          </w:tcPr>
          <w:p>
            <w:pPr>
              <w:spacing w:before="160" w:after="160"/>
            </w:pPr>
            <w:r>
              <w:rPr>
                <w:rFonts w:ascii="Microsoft YaHei" w:hAnsi="Microsoft YaHei" w:eastAsia="Microsoft YaHei"/>
                <w:b/>
                <w:color w:val="124969"/>
                <w:sz w:val="23"/>
              </w:rPr>
              <w:t>360 条公开样本  ·  927 条证据单元  ·  三个平台等额抽样  ·  文本回溯率 100%</w:t>
            </w:r>
          </w:p>
        </w:tc>
      </w:tr>
    </w:tbl>
    <w:p/>
    <w:p>
      <w:pPr>
        <w:spacing w:after="140"/>
      </w:pPr>
      <w:r>
        <w:rPr>
          <w:rFonts w:ascii="Microsoft YaHei" w:hAnsi="Microsoft YaHei" w:eastAsia="Microsoft YaHei"/>
          <w:b/>
          <w:color w:val="5B6C78"/>
          <w:sz w:val="20"/>
        </w:rPr>
        <w:t xml:space="preserve">项目定位  </w:t>
      </w:r>
      <w:r>
        <w:rPr>
          <w:rFonts w:ascii="Microsoft YaHei" w:hAnsi="Microsoft YaHei" w:eastAsia="Microsoft YaHei"/>
          <w:b w:val="0"/>
          <w:color w:val="1F2F3D"/>
          <w:sz w:val="21"/>
        </w:rPr>
        <w:t>心理学启发的社区反馈编码、分析与可靠性评测</w:t>
      </w:r>
    </w:p>
    <w:p>
      <w:pPr>
        <w:spacing w:after="140"/>
      </w:pPr>
      <w:r>
        <w:rPr>
          <w:rFonts w:ascii="Microsoft YaHei" w:hAnsi="Microsoft YaHei" w:eastAsia="Microsoft YaHei"/>
          <w:b/>
          <w:color w:val="5B6C78"/>
          <w:sz w:val="20"/>
        </w:rPr>
        <w:t xml:space="preserve">公开产物  </w:t>
      </w:r>
      <w:r>
        <w:rPr>
          <w:rFonts w:ascii="Microsoft YaHei" w:hAnsi="Microsoft YaHei" w:eastAsia="Microsoft YaHei"/>
          <w:b w:val="0"/>
          <w:color w:val="1F2F3D"/>
          <w:sz w:val="21"/>
        </w:rPr>
        <w:t>脱敏数据、编码手册、分析页面、离线 Demo 与复现脚本</w:t>
      </w:r>
    </w:p>
    <w:p>
      <w:pPr>
        <w:spacing w:after="140"/>
      </w:pPr>
      <w:r>
        <w:rPr>
          <w:rFonts w:ascii="Microsoft YaHei" w:hAnsi="Microsoft YaHei" w:eastAsia="Microsoft YaHei"/>
          <w:b/>
          <w:color w:val="5B6C78"/>
          <w:sz w:val="20"/>
        </w:rPr>
        <w:t xml:space="preserve">版本日期  </w:t>
      </w:r>
      <w:r>
        <w:rPr>
          <w:rFonts w:ascii="Microsoft YaHei" w:hAnsi="Microsoft YaHei" w:eastAsia="Microsoft YaHei"/>
          <w:b w:val="0"/>
          <w:color w:val="1F2F3D"/>
          <w:sz w:val="21"/>
        </w:rPr>
        <w:t>2026 年 7 月</w:t>
      </w:r>
    </w:p>
    <w:p>
      <w:pPr>
        <w:spacing w:before="2200"/>
      </w:pPr>
      <w:r>
        <w:rPr>
          <w:rFonts w:ascii="Microsoft YaHei" w:hAnsi="Microsoft YaHei" w:eastAsia="Microsoft YaHei"/>
          <w:b w:val="0"/>
          <w:color w:val="5B6C78"/>
          <w:sz w:val="17"/>
        </w:rPr>
        <w:t>Copyright © 2026 Sherlock0717. All rights reserved.</w:t>
      </w:r>
    </w:p>
    <w:p>
      <w:r>
        <w:br w:type="page"/>
      </w:r>
    </w:p>
    <w:p>
      <w:pPr>
        <w:pStyle w:val="Heading1"/>
      </w:pPr>
      <w:r>
        <w:t>执行摘要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1F2F3D"/>
          <w:sz w:val="21"/>
        </w:rPr>
        <w:t>PsyLens 将社区公开讨论整理成可回溯的证据单元，并用表层话题与体验机制两套编码描述问题位置和玩家体验方向。当前案例覆盖 NGA、贴吧与 B 站，每个平台等额保留 120 条样本。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1F2F3D"/>
          <w:sz w:val="21"/>
        </w:rPr>
        <w:t>公开数据包含 360 条样本和 927 条证据，平均每条样本切出 2.575 条证据。样本 ID、证据 ID、父样本关联、平台字段与文本定位检查均通过；公开文件未检出 URL，规范化后未发现文本重复组。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rPr>
          <w:cantSplit/>
          <w:tblHeader w:val="true"/>
        </w:trPr>
        <w:tc>
          <w:tcPr>
            <w:tcW w:type="dxa" w:w="2268"/>
            <w:shd w:fill="12304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701"/>
            <w:shd w:fill="12304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当前值</w:t>
            </w:r>
          </w:p>
        </w:tc>
        <w:tc>
          <w:tcPr>
            <w:tcW w:type="dxa" w:w="4819"/>
            <w:shd w:fill="12304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样本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360</w:t>
            </w:r>
          </w:p>
        </w:tc>
        <w:tc>
          <w:tcPr>
            <w:tcW w:type="dxa" w:w="4819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三个平台各 120 条</w:t>
            </w:r>
          </w:p>
        </w:tc>
      </w:tr>
      <w:tr>
        <w:trPr>
          <w:cantSplit/>
        </w:trPr>
        <w:tc>
          <w:tcPr>
            <w:tcW w:type="dxa" w:w="2268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证据</w:t>
            </w:r>
          </w:p>
        </w:tc>
        <w:tc>
          <w:tcPr>
            <w:tcW w:type="dxa" w:w="1701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927</w:t>
            </w:r>
          </w:p>
        </w:tc>
        <w:tc>
          <w:tcPr>
            <w:tcW w:type="dxa" w:w="4819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平均 2.575 条 / 样本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具体话题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441</w:t>
            </w:r>
          </w:p>
        </w:tc>
        <w:tc>
          <w:tcPr>
            <w:tcW w:type="dxa" w:w="4819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平衡与数值占 61.2%</w:t>
            </w:r>
          </w:p>
        </w:tc>
      </w:tr>
      <w:tr>
        <w:trPr>
          <w:cantSplit/>
        </w:trPr>
        <w:tc>
          <w:tcPr>
            <w:tcW w:type="dxa" w:w="2268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已分配机制</w:t>
            </w:r>
          </w:p>
        </w:tc>
        <w:tc>
          <w:tcPr>
            <w:tcW w:type="dxa" w:w="1701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441</w:t>
            </w:r>
          </w:p>
        </w:tc>
        <w:tc>
          <w:tcPr>
            <w:tcW w:type="dxa" w:w="4819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胜任受挫占 69.8%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机制不确定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486</w:t>
            </w:r>
          </w:p>
        </w:tc>
        <w:tc>
          <w:tcPr>
            <w:tcW w:type="dxa" w:w="4819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占全部证据 52.4%</w:t>
            </w:r>
          </w:p>
        </w:tc>
      </w:tr>
      <w:tr>
        <w:trPr>
          <w:cantSplit/>
        </w:trPr>
        <w:tc>
          <w:tcPr>
            <w:tcW w:type="dxa" w:w="2268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结构回溯</w:t>
            </w:r>
          </w:p>
        </w:tc>
        <w:tc>
          <w:tcPr>
            <w:tcW w:type="dxa" w:w="1701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100%</w:t>
            </w:r>
          </w:p>
        </w:tc>
        <w:tc>
          <w:tcPr>
            <w:tcW w:type="dxa" w:w="4819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孤立证据 0，平台错配 0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88"/>
      </w:tblGrid>
      <w:tr>
        <w:tc>
          <w:tcPr>
            <w:tcW w:type="dxa" w:w="9688"/>
            <w:shd w:fill="EDF5F9"/>
            <w:tcBorders>
              <w:top w:val="single" w:sz="7" w:color="2176A3"/>
              <w:left w:val="single" w:sz="7" w:color="2176A3"/>
              <w:bottom w:val="single" w:sz="7" w:color="2176A3"/>
              <w:right w:val="single" w:sz="7" w:color="2176A3"/>
            </w:tcBorders>
          </w:tcPr>
          <w:p>
            <w:r>
              <w:rPr>
                <w:rFonts w:ascii="Microsoft YaHei" w:hAnsi="Microsoft YaHei" w:eastAsia="Microsoft YaHei"/>
                <w:b/>
                <w:color w:val="2176A3"/>
                <w:sz w:val="21"/>
              </w:rPr>
              <w:t>核心判断</w:t>
              <w:br/>
            </w:r>
            <w:r>
              <w:rPr>
                <w:rFonts w:ascii="Microsoft YaHei" w:hAnsi="Microsoft YaHei" w:eastAsia="Microsoft YaHei"/>
                <w:b w:val="0"/>
                <w:color w:val="1F2F3D"/>
                <w:sz w:val="20"/>
              </w:rPr>
              <w:t>主要具体话题集中在平衡与数值，主要已分配体验机制集中在胜任受挫；匹配与对局分配构成第二大具体话题。机制不确定率较高，后续重点应放在上下文补充、标签边界和双人复编码。</w:t>
            </w:r>
          </w:p>
        </w:tc>
      </w:tr>
    </w:tbl>
    <w:p>
      <w:pPr>
        <w:spacing w:after="0"/>
      </w:pPr>
    </w:p>
    <w:p>
      <w:pPr>
        <w:pStyle w:val="Heading1"/>
      </w:pPr>
      <w:r>
        <w:t>1. 项目问题与交付目标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1F2F3D"/>
          <w:sz w:val="21"/>
        </w:rPr>
        <w:t>社区反馈具有文本短、情绪强、上下文分散和平台表达习惯不同等特点。单纯统计关键词容易混合不同语境，也难以判断结论能否回到原始表达。项目围绕三个问题组织流程：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1F2F3D"/>
          <w:sz w:val="21"/>
        </w:rPr>
        <w:t>玩家正在集中讨论哪些具体问题？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1F2F3D"/>
          <w:sz w:val="21"/>
        </w:rPr>
        <w:t>这些问题呈现了怎样的体验机制与归因方向？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1F2F3D"/>
          <w:sz w:val="21"/>
        </w:rPr>
        <w:t>从文本到结论的每一步是否可核查、可解释并能够复现？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1F2F3D"/>
          <w:sz w:val="21"/>
        </w:rPr>
        <w:t>交付结果包括公开脱敏样本、证据表、编码手册、心理学框架、分析页面、评测定义、离线 Demo 与本项目说明。</w:t>
      </w:r>
    </w:p>
    <w:p>
      <w:pPr>
        <w:pStyle w:val="Heading1"/>
      </w:pPr>
      <w:r>
        <w:t>2. 数据设计与样本结构</w:t>
      </w:r>
    </w:p>
    <w:p>
      <w:pPr>
        <w:pStyle w:val="Heading2"/>
      </w:pPr>
      <w:r>
        <w:t>2.1 平台与抽样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1F2F3D"/>
          <w:sz w:val="21"/>
        </w:rPr>
        <w:t>当前案例使用三个社区平台，每个平台各保留 120 条样本。等额抽样用于确保平台都能进入分析，适合比较表达结构与编码表现；平台样本数不用于推断真实讨论规模。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cantSplit/>
          <w:tblHeader w:val="true"/>
        </w:trPr>
        <w:tc>
          <w:tcPr>
            <w:tcW w:type="dxa" w:w="2268"/>
            <w:shd w:fill="12304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平台</w:t>
            </w:r>
          </w:p>
        </w:tc>
        <w:tc>
          <w:tcPr>
            <w:tcW w:type="dxa" w:w="1701"/>
            <w:shd w:fill="12304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样本数</w:t>
            </w:r>
          </w:p>
        </w:tc>
        <w:tc>
          <w:tcPr>
            <w:tcW w:type="dxa" w:w="1701"/>
            <w:shd w:fill="12304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证据数</w:t>
            </w:r>
          </w:p>
        </w:tc>
        <w:tc>
          <w:tcPr>
            <w:tcW w:type="dxa" w:w="2268"/>
            <w:shd w:fill="12304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每样本证据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B 站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120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232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1.933</w:t>
            </w:r>
          </w:p>
        </w:tc>
      </w:tr>
      <w:tr>
        <w:trPr>
          <w:cantSplit/>
        </w:trPr>
        <w:tc>
          <w:tcPr>
            <w:tcW w:type="dxa" w:w="2268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NGA</w:t>
            </w:r>
          </w:p>
        </w:tc>
        <w:tc>
          <w:tcPr>
            <w:tcW w:type="dxa" w:w="1701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120</w:t>
            </w:r>
          </w:p>
        </w:tc>
        <w:tc>
          <w:tcPr>
            <w:tcW w:type="dxa" w:w="1701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394</w:t>
            </w:r>
          </w:p>
        </w:tc>
        <w:tc>
          <w:tcPr>
            <w:tcW w:type="dxa" w:w="2268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3.283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贴吧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120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301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2.508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Microsoft YaHei" w:hAnsi="Microsoft YaHei" w:eastAsia="Microsoft YaHei"/>
          <w:b w:val="0"/>
          <w:color w:val="1F2F3D"/>
          <w:sz w:val="21"/>
        </w:rPr>
        <w:t>样本文本长度中位数为 61 字，平均 84.03 字；90% 的样本文本不超过 164 字。240 条样本日期为空，因此当前项目不进行时间趋势推断。</w:t>
      </w:r>
    </w:p>
    <w:p>
      <w:pPr>
        <w:pStyle w:val="Heading2"/>
      </w:pPr>
      <w:r>
        <w:t>2.2 样本与证据的区别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1F2F3D"/>
          <w:sz w:val="21"/>
        </w:rPr>
        <w:t>样本层保存一条完整反馈，证据层保存其中可独立判断的最小片段。一条样本可以产生零条、一条或多条证据。当前证据密度中位数为 2，90 分位为 5，最大值为 21；有 2 条样本未切出证据。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8"/>
      </w:tblGrid>
      <w:tr>
        <w:tc>
          <w:tcPr>
            <w:tcW w:type="dxa" w:w="9688"/>
            <w:shd w:fill="EDF5F9"/>
            <w:tcBorders>
              <w:top w:val="single" w:sz="7" w:color="2176A3"/>
              <w:left w:val="single" w:sz="7" w:color="2176A3"/>
              <w:bottom w:val="single" w:sz="7" w:color="2176A3"/>
              <w:right w:val="single" w:sz="7" w:color="2176A3"/>
            </w:tcBorders>
          </w:tcPr>
          <w:p>
            <w:r>
              <w:rPr>
                <w:rFonts w:ascii="Microsoft YaHei" w:hAnsi="Microsoft YaHei" w:eastAsia="Microsoft YaHei"/>
                <w:b/>
                <w:color w:val="2176A3"/>
                <w:sz w:val="21"/>
              </w:rPr>
              <w:t>为什么需要证据层</w:t>
              <w:br/>
            </w:r>
            <w:r>
              <w:rPr>
                <w:rFonts w:ascii="Microsoft YaHei" w:hAnsi="Microsoft YaHei" w:eastAsia="Microsoft YaHei"/>
                <w:b w:val="0"/>
                <w:color w:val="1F2F3D"/>
                <w:sz w:val="20"/>
              </w:rPr>
              <w:t>完整反馈适合理解语境，证据单元适合编码和核对。两层同时保留，可以减少把复杂文本强行归入单一标签，并让数量结论回到具体原文。</w:t>
            </w:r>
          </w:p>
        </w:tc>
      </w:tr>
    </w:tbl>
    <w:p>
      <w:pPr>
        <w:spacing w:after="0"/>
      </w:pPr>
    </w:p>
    <w:p>
      <w:pPr>
        <w:pStyle w:val="Heading1"/>
      </w:pPr>
      <w:r>
        <w:t>3. 数据清洗与证据构建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1F2F3D"/>
          <w:sz w:val="21"/>
        </w:rPr>
        <w:t>数据处理以保留原意、统一结构、降低公开风险和维持回溯关系为目标。完整操作分为以下八步：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  <w:tblHeader w:val="true"/>
        </w:trPr>
        <w:tc>
          <w:tcPr>
            <w:tcW w:type="dxa" w:w="2381"/>
            <w:shd w:fill="12304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6406"/>
            <w:shd w:fill="12304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操作</w:t>
            </w:r>
          </w:p>
        </w:tc>
      </w:tr>
      <w:tr>
        <w:trPr>
          <w:cantSplit/>
        </w:trPr>
        <w:tc>
          <w:tcPr>
            <w:tcW w:type="dxa" w:w="2381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候选讨论登记</w:t>
            </w:r>
          </w:p>
        </w:tc>
        <w:tc>
          <w:tcPr>
            <w:tcW w:type="dxa" w:w="6406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按平台、主题和时间窗形成候选清单，记录主帖或回复类型。</w:t>
            </w:r>
          </w:p>
        </w:tc>
      </w:tr>
      <w:tr>
        <w:trPr>
          <w:cantSplit/>
        </w:trPr>
        <w:tc>
          <w:tcPr>
            <w:tcW w:type="dxa" w:w="2381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页面与回复采集</w:t>
            </w:r>
          </w:p>
        </w:tc>
        <w:tc>
          <w:tcPr>
            <w:tcW w:type="dxa" w:w="6406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保存原始响应与必要上下文，登录态和缓存留在本地环境。</w:t>
            </w:r>
          </w:p>
        </w:tc>
      </w:tr>
      <w:tr>
        <w:trPr>
          <w:cantSplit/>
        </w:trPr>
        <w:tc>
          <w:tcPr>
            <w:tcW w:type="dxa" w:w="2381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规则预清洗</w:t>
            </w:r>
          </w:p>
        </w:tc>
        <w:tc>
          <w:tcPr>
            <w:tcW w:type="dxa" w:w="6406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删除回复头、引用残留、图片路径和多余空白，移除空文本。</w:t>
            </w:r>
          </w:p>
        </w:tc>
      </w:tr>
      <w:tr>
        <w:trPr>
          <w:cantSplit/>
        </w:trPr>
        <w:tc>
          <w:tcPr>
            <w:tcW w:type="dxa" w:w="2381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内容筛选</w:t>
            </w:r>
          </w:p>
        </w:tc>
        <w:tc>
          <w:tcPr>
            <w:tcW w:type="dxa" w:w="6406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排除纯标记、极短噪声、离题文本和缺少体验信息的纯攻击表达。</w:t>
            </w:r>
          </w:p>
        </w:tc>
      </w:tr>
      <w:tr>
        <w:trPr>
          <w:cantSplit/>
        </w:trPr>
        <w:tc>
          <w:tcPr>
            <w:tcW w:type="dxa" w:w="2381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平台等额抽样</w:t>
            </w:r>
          </w:p>
        </w:tc>
        <w:tc>
          <w:tcPr>
            <w:tcW w:type="dxa" w:w="6406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三个平台各保留 120 条，并保留时间窗、粗主题与回复类型字段。</w:t>
            </w:r>
          </w:p>
        </w:tc>
      </w:tr>
      <w:tr>
        <w:trPr>
          <w:cantSplit/>
        </w:trPr>
        <w:tc>
          <w:tcPr>
            <w:tcW w:type="dxa" w:w="2381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公开脱敏</w:t>
            </w:r>
          </w:p>
        </w:tc>
        <w:tc>
          <w:tcPr>
            <w:tcW w:type="dxa" w:w="6406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删除来源链接、账号和平台内部定位字段，屏蔽联系方式与文本内链接。</w:t>
            </w:r>
          </w:p>
        </w:tc>
      </w:tr>
      <w:tr>
        <w:trPr>
          <w:cantSplit/>
        </w:trPr>
        <w:tc>
          <w:tcPr>
            <w:tcW w:type="dxa" w:w="2381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证据切分与编码</w:t>
            </w:r>
          </w:p>
        </w:tc>
        <w:tc>
          <w:tcPr>
            <w:tcW w:type="dxa" w:w="6406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按标点切分独立片段，记录话题、机制、编码来源与纳入状态。</w:t>
            </w:r>
          </w:p>
        </w:tc>
      </w:tr>
      <w:tr>
        <w:trPr>
          <w:cantSplit/>
        </w:trPr>
        <w:tc>
          <w:tcPr>
            <w:tcW w:type="dxa" w:w="2381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结构与分布审计</w:t>
            </w:r>
          </w:p>
        </w:tc>
        <w:tc>
          <w:tcPr>
            <w:tcW w:type="dxa" w:w="6406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检查 ID、父样本、文本定位、重复、空值、证据密度和标签分布。</w:t>
            </w:r>
          </w:p>
        </w:tc>
      </w:tr>
    </w:tbl>
    <w:p>
      <w:pPr>
        <w:spacing w:after="0"/>
      </w:pPr>
    </w:p>
    <w:p>
      <w:pPr>
        <w:pStyle w:val="Heading2"/>
      </w:pPr>
      <w:r>
        <w:t>3.1 公开字段最小化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1F2F3D"/>
          <w:sz w:val="21"/>
        </w:rPr>
        <w:t>公开样本只保留稳定编号、平台类别、平台内顺序、时间窗、抽样粗主题、回复类型、可选日期、公开文本与迁移状态。旧公开数据同时保存内容相同的 raw_text 与 public_text，当前版本删除冗余 raw_text；47 条空表层话题统一写为 other_uncertain。</w:t>
      </w:r>
    </w:p>
    <w:p>
      <w:pPr>
        <w:pStyle w:val="Heading2"/>
      </w:pPr>
      <w:r>
        <w:t>3.2 证据切分规则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F3D"/>
          <w:sz w:val="21"/>
        </w:rPr>
        <w:t>按中英文句号、问号、感叹号、分号与换行切分；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F3D"/>
          <w:sz w:val="21"/>
        </w:rPr>
        <w:t>切分后清理首尾空白，默认少于 6 个字符的片段不单独进入候选；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F3D"/>
          <w:sz w:val="21"/>
        </w:rPr>
        <w:t>不跨样本拼接，不补写省略信息，不改变原句立场；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F3D"/>
          <w:sz w:val="21"/>
        </w:rPr>
        <w:t>每条证据文本必须能够在父样本公开文本中逐字定位；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F3D"/>
          <w:sz w:val="21"/>
        </w:rPr>
        <w:t>信息不足时保留显式不确定类别。</w:t>
      </w:r>
    </w:p>
    <w:p>
      <w:pPr>
        <w:pStyle w:val="Heading1"/>
      </w:pPr>
      <w:r>
        <w:t>4. 心理学分析框架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1F2F3D"/>
          <w:sz w:val="21"/>
        </w:rPr>
        <w:t>项目使用双层编码：表层话题记录文本正在讨论的具体问题，体验机制记录文本呈现的心理体验方向。这样既保留产品问题的具体位置，也形成跨话题比较的解释维度。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rPr>
          <w:cantSplit/>
          <w:tblHeader w:val="true"/>
        </w:trPr>
        <w:tc>
          <w:tcPr>
            <w:tcW w:type="dxa" w:w="1984"/>
            <w:shd w:fill="12304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机制</w:t>
            </w:r>
          </w:p>
        </w:tc>
        <w:tc>
          <w:tcPr>
            <w:tcW w:type="dxa" w:w="2551"/>
            <w:shd w:fill="12304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理论线索</w:t>
            </w:r>
          </w:p>
        </w:tc>
        <w:tc>
          <w:tcPr>
            <w:tcW w:type="dxa" w:w="4252"/>
            <w:shd w:fill="12304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文本中的操作性含义</w:t>
            </w:r>
          </w:p>
        </w:tc>
      </w:tr>
      <w:tr>
        <w:trPr>
          <w:cantSplit/>
        </w:trPr>
        <w:tc>
          <w:tcPr>
            <w:tcW w:type="dxa" w:w="1984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胜任受挫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自我决定理论中的胜任需要</w:t>
            </w:r>
          </w:p>
        </w:tc>
        <w:tc>
          <w:tcPr>
            <w:tcW w:type="dxa" w:w="4252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投入难以转化为有效行动、任务完成或可理解的进步</w:t>
            </w:r>
          </w:p>
        </w:tc>
      </w:tr>
      <w:tr>
        <w:trPr>
          <w:cantSplit/>
        </w:trPr>
        <w:tc>
          <w:tcPr>
            <w:tcW w:type="dxa" w:w="1984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公平受损</w:t>
            </w:r>
          </w:p>
        </w:tc>
        <w:tc>
          <w:tcPr>
            <w:tcW w:type="dxa" w:w="2551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公平判断与组织公正</w:t>
            </w:r>
          </w:p>
        </w:tc>
        <w:tc>
          <w:tcPr>
            <w:tcW w:type="dxa" w:w="4252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将结果归因于规则、匹配、资源或数值分配不合理</w:t>
            </w:r>
          </w:p>
        </w:tc>
      </w:tr>
      <w:tr>
        <w:trPr>
          <w:cantSplit/>
        </w:trPr>
        <w:tc>
          <w:tcPr>
            <w:tcW w:type="dxa" w:w="1984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信任与沟通落差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组织信任与程序透明</w:t>
            </w:r>
          </w:p>
        </w:tc>
        <w:tc>
          <w:tcPr>
            <w:tcW w:type="dxa" w:w="4252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说明、回应、承诺或反馈闭环不足</w:t>
            </w:r>
          </w:p>
        </w:tc>
      </w:tr>
      <w:tr>
        <w:trPr>
          <w:cantSplit/>
        </w:trPr>
        <w:tc>
          <w:tcPr>
            <w:tcW w:type="dxa" w:w="1984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归属感下降</w:t>
            </w:r>
          </w:p>
        </w:tc>
        <w:tc>
          <w:tcPr>
            <w:tcW w:type="dxa" w:w="2551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社群归属与共同体感</w:t>
            </w:r>
          </w:p>
        </w:tc>
        <w:tc>
          <w:tcPr>
            <w:tcW w:type="dxa" w:w="4252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与游戏、社区或身份群体出现疏离</w:t>
            </w:r>
          </w:p>
        </w:tc>
      </w:tr>
      <w:tr>
        <w:trPr>
          <w:cantSplit/>
        </w:trPr>
        <w:tc>
          <w:tcPr>
            <w:tcW w:type="dxa" w:w="1984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规范与安全风险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群体规范与心理安全</w:t>
            </w:r>
          </w:p>
        </w:tc>
        <w:tc>
          <w:tcPr>
            <w:tcW w:type="dxa" w:w="4252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外挂、辱骂、骚扰、误封或举报问题</w:t>
            </w:r>
          </w:p>
        </w:tc>
      </w:tr>
      <w:tr>
        <w:trPr>
          <w:cantSplit/>
        </w:trPr>
        <w:tc>
          <w:tcPr>
            <w:tcW w:type="dxa" w:w="1984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不确定</w:t>
            </w:r>
          </w:p>
        </w:tc>
        <w:tc>
          <w:tcPr>
            <w:tcW w:type="dxa" w:w="2551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测量中的保留类别</w:t>
            </w:r>
          </w:p>
        </w:tc>
        <w:tc>
          <w:tcPr>
            <w:tcW w:type="dxa" w:w="4252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文本过短、依赖上下文或主机制无法判定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Microsoft YaHei" w:hAnsi="Microsoft YaHei" w:eastAsia="Microsoft YaHei"/>
          <w:b w:val="0"/>
          <w:color w:val="1F2F3D"/>
          <w:sz w:val="21"/>
        </w:rPr>
        <w:t>机制标签用于组织文本证据与提出待验证问题，不用于推断玩家稳定人格、临床状态或真实能力。项目采用固定纳入、排除和相邻标签裁决规则，并保留 uncertain 以控制过度解释。</w:t>
      </w:r>
    </w:p>
    <w:p>
      <w:pPr>
        <w:pStyle w:val="Heading1"/>
      </w:pPr>
      <w:r>
        <w:t>5. 分析结果</w:t>
      </w:r>
    </w:p>
    <w:p>
      <w:pPr>
        <w:pStyle w:val="Heading2"/>
      </w:pPr>
      <w:r>
        <w:t>5.1 具体话题分布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rPr>
          <w:cantSplit/>
          <w:tblHeader w:val="true"/>
        </w:trPr>
        <w:tc>
          <w:tcPr>
            <w:tcW w:type="dxa" w:w="4535"/>
            <w:shd w:fill="12304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具体话题</w:t>
            </w:r>
          </w:p>
        </w:tc>
        <w:tc>
          <w:tcPr>
            <w:tcW w:type="dxa" w:w="1701"/>
            <w:shd w:fill="12304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证据数</w:t>
            </w:r>
          </w:p>
        </w:tc>
        <w:tc>
          <w:tcPr>
            <w:tcW w:type="dxa" w:w="2551"/>
            <w:shd w:fill="12304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占具体话题证据</w:t>
            </w:r>
          </w:p>
        </w:tc>
      </w:tr>
      <w:tr>
        <w:trPr>
          <w:cantSplit/>
        </w:trPr>
        <w:tc>
          <w:tcPr>
            <w:tcW w:type="dxa" w:w="4535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平衡与数值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270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61.2%</w:t>
            </w:r>
          </w:p>
        </w:tc>
      </w:tr>
      <w:tr>
        <w:trPr>
          <w:cantSplit/>
        </w:trPr>
        <w:tc>
          <w:tcPr>
            <w:tcW w:type="dxa" w:w="4535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匹配与对局分配</w:t>
            </w:r>
          </w:p>
        </w:tc>
        <w:tc>
          <w:tcPr>
            <w:tcW w:type="dxa" w:w="1701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82</w:t>
            </w:r>
          </w:p>
        </w:tc>
        <w:tc>
          <w:tcPr>
            <w:tcW w:type="dxa" w:w="2551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18.6%</w:t>
            </w:r>
          </w:p>
        </w:tc>
      </w:tr>
      <w:tr>
        <w:trPr>
          <w:cantSplit/>
        </w:trPr>
        <w:tc>
          <w:tcPr>
            <w:tcW w:type="dxa" w:w="4535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活动与玩法设计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24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5.4%</w:t>
            </w:r>
          </w:p>
        </w:tc>
      </w:tr>
      <w:tr>
        <w:trPr>
          <w:cantSplit/>
        </w:trPr>
        <w:tc>
          <w:tcPr>
            <w:tcW w:type="dxa" w:w="4535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成长与养成</w:t>
            </w:r>
          </w:p>
        </w:tc>
        <w:tc>
          <w:tcPr>
            <w:tcW w:type="dxa" w:w="1701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20</w:t>
            </w:r>
          </w:p>
        </w:tc>
        <w:tc>
          <w:tcPr>
            <w:tcW w:type="dxa" w:w="2551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4.5%</w:t>
            </w:r>
          </w:p>
        </w:tc>
      </w:tr>
      <w:tr>
        <w:trPr>
          <w:cantSplit/>
        </w:trPr>
        <w:tc>
          <w:tcPr>
            <w:tcW w:type="dxa" w:w="4535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社区冲突与氛围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18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4.1%</w:t>
            </w:r>
          </w:p>
        </w:tc>
      </w:tr>
      <w:tr>
        <w:trPr>
          <w:cantSplit/>
        </w:trPr>
        <w:tc>
          <w:tcPr>
            <w:tcW w:type="dxa" w:w="4535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沟通与透明度</w:t>
            </w:r>
          </w:p>
        </w:tc>
        <w:tc>
          <w:tcPr>
            <w:tcW w:type="dxa" w:w="1701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13</w:t>
            </w:r>
          </w:p>
        </w:tc>
        <w:tc>
          <w:tcPr>
            <w:tcW w:type="dxa" w:w="2551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2.9%</w:t>
            </w:r>
          </w:p>
        </w:tc>
      </w:tr>
      <w:tr>
        <w:trPr>
          <w:cantSplit/>
        </w:trPr>
        <w:tc>
          <w:tcPr>
            <w:tcW w:type="dxa" w:w="4535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奖励与产出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9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2.0%</w:t>
            </w:r>
          </w:p>
        </w:tc>
      </w:tr>
      <w:tr>
        <w:trPr>
          <w:cantSplit/>
        </w:trPr>
        <w:tc>
          <w:tcPr>
            <w:tcW w:type="dxa" w:w="4535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新手引导与体验</w:t>
            </w:r>
          </w:p>
        </w:tc>
        <w:tc>
          <w:tcPr>
            <w:tcW w:type="dxa" w:w="1701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5</w:t>
            </w:r>
          </w:p>
        </w:tc>
        <w:tc>
          <w:tcPr>
            <w:tcW w:type="dxa" w:w="2551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1.1%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Microsoft YaHei" w:hAnsi="Microsoft YaHei" w:eastAsia="Microsoft YaHei"/>
          <w:b w:val="0"/>
          <w:color w:val="1F2F3D"/>
          <w:sz w:val="21"/>
        </w:rPr>
        <w:t>在 441 条能够分配具体话题的证据中，平衡与数值为 270 条，占 61.2%；匹配与对局分配为 82 条，占 18.6%。两类合计覆盖 79.8% 的具体话题证据。</w:t>
      </w:r>
    </w:p>
    <w:p>
      <w:pPr>
        <w:pStyle w:val="Heading2"/>
      </w:pPr>
      <w:r>
        <w:t>5.2 体验机制分布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rPr>
          <w:cantSplit/>
          <w:tblHeader w:val="true"/>
        </w:trPr>
        <w:tc>
          <w:tcPr>
            <w:tcW w:type="dxa" w:w="4535"/>
            <w:shd w:fill="12304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已分配机制</w:t>
            </w:r>
          </w:p>
        </w:tc>
        <w:tc>
          <w:tcPr>
            <w:tcW w:type="dxa" w:w="1701"/>
            <w:shd w:fill="12304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证据数</w:t>
            </w:r>
          </w:p>
        </w:tc>
        <w:tc>
          <w:tcPr>
            <w:tcW w:type="dxa" w:w="2551"/>
            <w:shd w:fill="12304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占已分配机制证据</w:t>
            </w:r>
          </w:p>
        </w:tc>
      </w:tr>
      <w:tr>
        <w:trPr>
          <w:cantSplit/>
        </w:trPr>
        <w:tc>
          <w:tcPr>
            <w:tcW w:type="dxa" w:w="4535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胜任受挫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308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69.8%</w:t>
            </w:r>
          </w:p>
        </w:tc>
      </w:tr>
      <w:tr>
        <w:trPr>
          <w:cantSplit/>
        </w:trPr>
        <w:tc>
          <w:tcPr>
            <w:tcW w:type="dxa" w:w="4535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公平受损</w:t>
            </w:r>
          </w:p>
        </w:tc>
        <w:tc>
          <w:tcPr>
            <w:tcW w:type="dxa" w:w="1701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88</w:t>
            </w:r>
          </w:p>
        </w:tc>
        <w:tc>
          <w:tcPr>
            <w:tcW w:type="dxa" w:w="2551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20.0%</w:t>
            </w:r>
          </w:p>
        </w:tc>
      </w:tr>
      <w:tr>
        <w:trPr>
          <w:cantSplit/>
        </w:trPr>
        <w:tc>
          <w:tcPr>
            <w:tcW w:type="dxa" w:w="4535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信任与沟通落差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24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5.4%</w:t>
            </w:r>
          </w:p>
        </w:tc>
      </w:tr>
      <w:tr>
        <w:trPr>
          <w:cantSplit/>
        </w:trPr>
        <w:tc>
          <w:tcPr>
            <w:tcW w:type="dxa" w:w="4535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归属感下降</w:t>
            </w:r>
          </w:p>
        </w:tc>
        <w:tc>
          <w:tcPr>
            <w:tcW w:type="dxa" w:w="1701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11</w:t>
            </w:r>
          </w:p>
        </w:tc>
        <w:tc>
          <w:tcPr>
            <w:tcW w:type="dxa" w:w="2551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2.5%</w:t>
            </w:r>
          </w:p>
        </w:tc>
      </w:tr>
      <w:tr>
        <w:trPr>
          <w:cantSplit/>
        </w:trPr>
        <w:tc>
          <w:tcPr>
            <w:tcW w:type="dxa" w:w="4535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规范与安全风险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10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2.3%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Microsoft YaHei" w:hAnsi="Microsoft YaHei" w:eastAsia="Microsoft YaHei"/>
          <w:b w:val="0"/>
          <w:color w:val="1F2F3D"/>
          <w:sz w:val="21"/>
        </w:rPr>
        <w:t>在 441 条能够明确分配机制的证据中，胜任受挫为 308 条，占 69.8%；公平受损为 88 条，占 20.0%。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8"/>
      </w:tblGrid>
      <w:tr>
        <w:tc>
          <w:tcPr>
            <w:tcW w:type="dxa" w:w="9688"/>
            <w:shd w:fill="FFF4DF"/>
            <w:tcBorders>
              <w:top w:val="single" w:sz="7" w:color="2176A3"/>
              <w:left w:val="single" w:sz="7" w:color="2176A3"/>
              <w:bottom w:val="single" w:sz="7" w:color="2176A3"/>
              <w:right w:val="single" w:sz="7" w:color="2176A3"/>
            </w:tcBorders>
          </w:tcPr>
          <w:p>
            <w:r>
              <w:rPr>
                <w:rFonts w:ascii="Microsoft YaHei" w:hAnsi="Microsoft YaHei" w:eastAsia="Microsoft YaHei"/>
                <w:b/>
                <w:color w:val="2176A3"/>
                <w:sz w:val="21"/>
              </w:rPr>
              <w:t>重要质量信号</w:t>
              <w:br/>
            </w:r>
            <w:r>
              <w:rPr>
                <w:rFonts w:ascii="Microsoft YaHei" w:hAnsi="Microsoft YaHei" w:eastAsia="Microsoft YaHei"/>
                <w:b w:val="0"/>
                <w:color w:val="1F2F3D"/>
                <w:sz w:val="20"/>
              </w:rPr>
              <w:t>另有 486 条证据的机制为 uncertain，占全部证据 52.4%。高不确定率提示短文本、上下文缺失和标签边界仍是主要风险。该指标应与 163 条证据纳入提醒分开理解。</w:t>
            </w:r>
          </w:p>
        </w:tc>
      </w:tr>
    </w:tbl>
    <w:p>
      <w:pPr>
        <w:spacing w:after="0"/>
      </w:pPr>
    </w:p>
    <w:p>
      <w:pPr>
        <w:pStyle w:val="Heading2"/>
      </w:pPr>
      <w:r>
        <w:t>5.3 话题 × 机制交叉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rPr>
          <w:cantSplit/>
          <w:tblHeader w:val="true"/>
        </w:trPr>
        <w:tc>
          <w:tcPr>
            <w:tcW w:type="dxa" w:w="5216"/>
            <w:shd w:fill="12304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组合</w:t>
            </w:r>
          </w:p>
        </w:tc>
        <w:tc>
          <w:tcPr>
            <w:tcW w:type="dxa" w:w="1587"/>
            <w:shd w:fill="12304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证据数</w:t>
            </w:r>
          </w:p>
        </w:tc>
        <w:tc>
          <w:tcPr>
            <w:tcW w:type="dxa" w:w="1984"/>
            <w:shd w:fill="12304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占全部证据</w:t>
            </w:r>
          </w:p>
        </w:tc>
      </w:tr>
      <w:tr>
        <w:trPr>
          <w:cantSplit/>
        </w:trPr>
        <w:tc>
          <w:tcPr>
            <w:tcW w:type="dxa" w:w="5216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平衡与数值 × 胜任受挫</w:t>
            </w:r>
          </w:p>
        </w:tc>
        <w:tc>
          <w:tcPr>
            <w:tcW w:type="dxa" w:w="1587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138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14.9%</w:t>
            </w:r>
          </w:p>
        </w:tc>
      </w:tr>
      <w:tr>
        <w:trPr>
          <w:cantSplit/>
        </w:trPr>
        <w:tc>
          <w:tcPr>
            <w:tcW w:type="dxa" w:w="5216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平衡与数值 × 公平受损</w:t>
            </w:r>
          </w:p>
        </w:tc>
        <w:tc>
          <w:tcPr>
            <w:tcW w:type="dxa" w:w="1587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35</w:t>
            </w:r>
          </w:p>
        </w:tc>
        <w:tc>
          <w:tcPr>
            <w:tcW w:type="dxa" w:w="1984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3.8%</w:t>
            </w:r>
          </w:p>
        </w:tc>
      </w:tr>
      <w:tr>
        <w:trPr>
          <w:cantSplit/>
        </w:trPr>
        <w:tc>
          <w:tcPr>
            <w:tcW w:type="dxa" w:w="5216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匹配与对局分配 × 胜任受挫</w:t>
            </w:r>
          </w:p>
        </w:tc>
        <w:tc>
          <w:tcPr>
            <w:tcW w:type="dxa" w:w="1587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22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2.4%</w:t>
            </w:r>
          </w:p>
        </w:tc>
      </w:tr>
      <w:tr>
        <w:trPr>
          <w:cantSplit/>
        </w:trPr>
        <w:tc>
          <w:tcPr>
            <w:tcW w:type="dxa" w:w="5216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匹配与对局分配 × 公平受损</w:t>
            </w:r>
          </w:p>
        </w:tc>
        <w:tc>
          <w:tcPr>
            <w:tcW w:type="dxa" w:w="1587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16</w:t>
            </w:r>
          </w:p>
        </w:tc>
        <w:tc>
          <w:tcPr>
            <w:tcW w:type="dxa" w:w="1984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1.7%</w:t>
            </w:r>
          </w:p>
        </w:tc>
      </w:tr>
      <w:tr>
        <w:trPr>
          <w:cantSplit/>
        </w:trPr>
        <w:tc>
          <w:tcPr>
            <w:tcW w:type="dxa" w:w="5216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沟通与透明度 × 信任与沟通落差</w:t>
            </w:r>
          </w:p>
        </w:tc>
        <w:tc>
          <w:tcPr>
            <w:tcW w:type="dxa" w:w="1587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13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1.4%</w:t>
            </w:r>
          </w:p>
        </w:tc>
      </w:tr>
      <w:tr>
        <w:trPr>
          <w:cantSplit/>
        </w:trPr>
        <w:tc>
          <w:tcPr>
            <w:tcW w:type="dxa" w:w="5216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社区冲突与氛围 × 公平受损</w:t>
            </w:r>
          </w:p>
        </w:tc>
        <w:tc>
          <w:tcPr>
            <w:tcW w:type="dxa" w:w="1587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8</w:t>
            </w:r>
          </w:p>
        </w:tc>
        <w:tc>
          <w:tcPr>
            <w:tcW w:type="dxa" w:w="1984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0.9%</w:t>
            </w:r>
          </w:p>
        </w:tc>
      </w:tr>
      <w:tr>
        <w:trPr>
          <w:cantSplit/>
        </w:trPr>
        <w:tc>
          <w:tcPr>
            <w:tcW w:type="dxa" w:w="5216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成长与养成 × 胜任受挫</w:t>
            </w:r>
          </w:p>
        </w:tc>
        <w:tc>
          <w:tcPr>
            <w:tcW w:type="dxa" w:w="1587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6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0.6%</w:t>
            </w:r>
          </w:p>
        </w:tc>
      </w:tr>
      <w:tr>
        <w:trPr>
          <w:cantSplit/>
        </w:trPr>
        <w:tc>
          <w:tcPr>
            <w:tcW w:type="dxa" w:w="5216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社区冲突与氛围 × 规范与安全风险</w:t>
            </w:r>
          </w:p>
        </w:tc>
        <w:tc>
          <w:tcPr>
            <w:tcW w:type="dxa" w:w="1587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5</w:t>
            </w:r>
          </w:p>
        </w:tc>
        <w:tc>
          <w:tcPr>
            <w:tcW w:type="dxa" w:w="1984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0.5%</w:t>
            </w:r>
          </w:p>
        </w:tc>
      </w:tr>
      <w:tr>
        <w:trPr>
          <w:cantSplit/>
        </w:trPr>
        <w:tc>
          <w:tcPr>
            <w:tcW w:type="dxa" w:w="5216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匹配与对局分配 × 信任与沟通落差</w:t>
            </w:r>
          </w:p>
        </w:tc>
        <w:tc>
          <w:tcPr>
            <w:tcW w:type="dxa" w:w="1587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3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0.3%</w:t>
            </w:r>
          </w:p>
        </w:tc>
      </w:tr>
      <w:tr>
        <w:trPr>
          <w:cantSplit/>
        </w:trPr>
        <w:tc>
          <w:tcPr>
            <w:tcW w:type="dxa" w:w="5216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新手引导与体验 × 胜任受挫</w:t>
            </w:r>
          </w:p>
        </w:tc>
        <w:tc>
          <w:tcPr>
            <w:tcW w:type="dxa" w:w="1587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3</w:t>
            </w:r>
          </w:p>
        </w:tc>
        <w:tc>
          <w:tcPr>
            <w:tcW w:type="dxa" w:w="1984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7"/>
              </w:rPr>
              <w:t>0.3%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Microsoft YaHei" w:hAnsi="Microsoft YaHei" w:eastAsia="Microsoft YaHei"/>
          <w:b w:val="0"/>
          <w:color w:val="1F2F3D"/>
          <w:sz w:val="21"/>
        </w:rPr>
        <w:t>平衡 × 胜任受挫是数量最高的具体组合，说明角色、装备和机制强度经常与“难以发挥作用”同时出现。平衡 × 公平受损与匹配 × 公平受损提示部分玩家把负面结果归因于规则或分配方式。沟通透明 × 信任落差数量较少，但构念对应关系清晰。</w:t>
      </w:r>
    </w:p>
    <w:p>
      <w:pPr>
        <w:pStyle w:val="Heading2"/>
      </w:pPr>
      <w:r>
        <w:t>5.4 平台描述性比较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rPr>
          <w:cantSplit/>
          <w:tblHeader w:val="true"/>
        </w:trPr>
        <w:tc>
          <w:tcPr>
            <w:tcW w:type="dxa" w:w="1134"/>
            <w:shd w:fill="12304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平台</w:t>
            </w:r>
          </w:p>
        </w:tc>
        <w:tc>
          <w:tcPr>
            <w:tcW w:type="dxa" w:w="794"/>
            <w:shd w:fill="12304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样本</w:t>
            </w:r>
          </w:p>
        </w:tc>
        <w:tc>
          <w:tcPr>
            <w:tcW w:type="dxa" w:w="850"/>
            <w:shd w:fill="12304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证据</w:t>
            </w:r>
          </w:p>
        </w:tc>
        <w:tc>
          <w:tcPr>
            <w:tcW w:type="dxa" w:w="1134"/>
            <w:shd w:fill="12304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证据 / 样本</w:t>
            </w:r>
          </w:p>
        </w:tc>
        <w:tc>
          <w:tcPr>
            <w:tcW w:type="dxa" w:w="2551"/>
            <w:shd w:fill="12304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主要具体话题</w:t>
            </w:r>
          </w:p>
        </w:tc>
        <w:tc>
          <w:tcPr>
            <w:tcW w:type="dxa" w:w="2268"/>
            <w:shd w:fill="12304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主要机制</w:t>
            </w:r>
          </w:p>
        </w:tc>
      </w:tr>
      <w:tr>
        <w:trPr>
          <w:cantSplit/>
        </w:trPr>
        <w:tc>
          <w:tcPr>
            <w:tcW w:type="dxa" w:w="1134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B 站</w:t>
            </w:r>
          </w:p>
        </w:tc>
        <w:tc>
          <w:tcPr>
            <w:tcW w:type="dxa" w:w="794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120</w:t>
            </w:r>
          </w:p>
        </w:tc>
        <w:tc>
          <w:tcPr>
            <w:tcW w:type="dxa" w:w="850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232</w:t>
            </w:r>
          </w:p>
        </w:tc>
        <w:tc>
          <w:tcPr>
            <w:tcW w:type="dxa" w:w="1134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1.93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平衡与数值、匹配与对局分配、活动与玩法设计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胜任受挫、公平受损</w:t>
            </w:r>
          </w:p>
        </w:tc>
      </w:tr>
      <w:tr>
        <w:trPr>
          <w:cantSplit/>
        </w:trPr>
        <w:tc>
          <w:tcPr>
            <w:tcW w:type="dxa" w:w="1134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NGA</w:t>
            </w:r>
          </w:p>
        </w:tc>
        <w:tc>
          <w:tcPr>
            <w:tcW w:type="dxa" w:w="794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120</w:t>
            </w:r>
          </w:p>
        </w:tc>
        <w:tc>
          <w:tcPr>
            <w:tcW w:type="dxa" w:w="850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394</w:t>
            </w:r>
          </w:p>
        </w:tc>
        <w:tc>
          <w:tcPr>
            <w:tcW w:type="dxa" w:w="1134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3.28</w:t>
            </w:r>
          </w:p>
        </w:tc>
        <w:tc>
          <w:tcPr>
            <w:tcW w:type="dxa" w:w="2551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平衡与数值、匹配与对局分配、社区冲突与氛围</w:t>
            </w:r>
          </w:p>
        </w:tc>
        <w:tc>
          <w:tcPr>
            <w:tcW w:type="dxa" w:w="2268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胜任受挫、公平受损</w:t>
            </w:r>
          </w:p>
        </w:tc>
      </w:tr>
      <w:tr>
        <w:trPr>
          <w:cantSplit/>
        </w:trPr>
        <w:tc>
          <w:tcPr>
            <w:tcW w:type="dxa" w:w="1134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贴吧</w:t>
            </w:r>
          </w:p>
        </w:tc>
        <w:tc>
          <w:tcPr>
            <w:tcW w:type="dxa" w:w="794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120</w:t>
            </w:r>
          </w:p>
        </w:tc>
        <w:tc>
          <w:tcPr>
            <w:tcW w:type="dxa" w:w="850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301</w:t>
            </w:r>
          </w:p>
        </w:tc>
        <w:tc>
          <w:tcPr>
            <w:tcW w:type="dxa" w:w="1134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2.51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平衡与数值、匹配与对局分配、社区冲突与氛围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胜任受挫、公平受损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Microsoft YaHei" w:hAnsi="Microsoft YaHei" w:eastAsia="Microsoft YaHei"/>
          <w:b w:val="0"/>
          <w:color w:val="1F2F3D"/>
          <w:sz w:val="21"/>
        </w:rPr>
        <w:t>NGA 的证据密度最高，B 站最低。该差异可能来自原文长度、切分粒度和表达风格。NGA 与贴吧主要保留历史 AI 编码，B 站使用离线规则提案，编码来源差异也会影响分布，因此这里只做描述性比较。</w:t>
      </w:r>
    </w:p>
    <w:p>
      <w:pPr>
        <w:pStyle w:val="Heading2"/>
      </w:pPr>
      <w:r>
        <w:t>5.5 证据示例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cantSplit/>
          <w:tblHeader w:val="true"/>
        </w:trPr>
        <w:tc>
          <w:tcPr>
            <w:tcW w:type="dxa" w:w="1587"/>
            <w:shd w:fill="12304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 ID</w:t>
            </w:r>
          </w:p>
        </w:tc>
        <w:tc>
          <w:tcPr>
            <w:tcW w:type="dxa" w:w="1814"/>
            <w:shd w:fill="12304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话题</w:t>
            </w:r>
          </w:p>
        </w:tc>
        <w:tc>
          <w:tcPr>
            <w:tcW w:type="dxa" w:w="1474"/>
            <w:shd w:fill="12304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机制</w:t>
            </w:r>
          </w:p>
        </w:tc>
        <w:tc>
          <w:tcPr>
            <w:tcW w:type="dxa" w:w="3969"/>
            <w:shd w:fill="12304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公开文本</w:t>
            </w:r>
          </w:p>
        </w:tc>
      </w:tr>
      <w:tr>
        <w:trPr>
          <w:cantSplit/>
        </w:trPr>
        <w:tc>
          <w:tcPr>
            <w:tcW w:type="dxa" w:w="1587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5"/>
              </w:rPr>
              <w:t>NGA_0021_U01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5"/>
              </w:rPr>
              <w:t>匹配与对局分配</w:t>
            </w:r>
          </w:p>
        </w:tc>
        <w:tc>
          <w:tcPr>
            <w:tcW w:type="dxa" w:w="1474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5"/>
              </w:rPr>
              <w:t>公平受损</w:t>
            </w:r>
          </w:p>
        </w:tc>
        <w:tc>
          <w:tcPr>
            <w:tcW w:type="dxa" w:w="3969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5"/>
              </w:rPr>
              <w:t>匹配机制就导致了一旦你连胜或者连败，要把你近期胜率“拉”回五十接下来就会反向连胜连败</w:t>
            </w:r>
          </w:p>
        </w:tc>
      </w:tr>
      <w:tr>
        <w:trPr>
          <w:cantSplit/>
        </w:trPr>
        <w:tc>
          <w:tcPr>
            <w:tcW w:type="dxa" w:w="1587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5"/>
              </w:rPr>
              <w:t>TIEBA_0004_U02</w:t>
            </w:r>
          </w:p>
        </w:tc>
        <w:tc>
          <w:tcPr>
            <w:tcW w:type="dxa" w:w="1814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5"/>
              </w:rPr>
              <w:t>新手引导与体验</w:t>
            </w:r>
          </w:p>
        </w:tc>
        <w:tc>
          <w:tcPr>
            <w:tcW w:type="dxa" w:w="1474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5"/>
              </w:rPr>
              <w:t>胜任受挫</w:t>
            </w:r>
          </w:p>
        </w:tc>
        <w:tc>
          <w:tcPr>
            <w:tcW w:type="dxa" w:w="3969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5"/>
              </w:rPr>
              <w:t>通常是莫甘娜，我新手目前英雄正在熟悉，怕坑，所以会选一些弱一点，但熟悉的英雄，为了避免伤害没打多少，还抗不了伤害，就会多出功能装</w:t>
            </w:r>
          </w:p>
        </w:tc>
      </w:tr>
      <w:tr>
        <w:trPr>
          <w:cantSplit/>
        </w:trPr>
        <w:tc>
          <w:tcPr>
            <w:tcW w:type="dxa" w:w="1587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5"/>
              </w:rPr>
              <w:t>NGA_0008_U01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5"/>
              </w:rPr>
              <w:t>平衡与数值</w:t>
            </w:r>
          </w:p>
        </w:tc>
        <w:tc>
          <w:tcPr>
            <w:tcW w:type="dxa" w:w="1474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5"/>
              </w:rPr>
              <w:t>公平受损</w:t>
            </w:r>
          </w:p>
        </w:tc>
        <w:tc>
          <w:tcPr>
            <w:tcW w:type="dxa" w:w="3969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5"/>
              </w:rPr>
              <w:t>现在怒气增长吃终极技能急速，残疫、钢壁甚至猎魔人都能增加怒气获取，但偏偏不吃技能急速，公理圆弧效果也不能直接涨一截怒气。</w:t>
            </w:r>
          </w:p>
        </w:tc>
      </w:tr>
    </w:tbl>
    <w:p>
      <w:pPr>
        <w:spacing w:after="0"/>
      </w:pPr>
    </w:p>
    <w:p>
      <w:pPr>
        <w:pStyle w:val="Heading1"/>
      </w:pPr>
      <w:r>
        <w:t>6. 可靠性评测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1F2F3D"/>
          <w:sz w:val="21"/>
        </w:rPr>
        <w:t>评测覆盖结构完整性、清洗与隐私、编码可用性、分析支撑和运行复现五个维度。硬性错误阻止发布，诊断指标用于解释风险与规划返修。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cantSplit/>
          <w:tblHeader w:val="true"/>
        </w:trPr>
        <w:tc>
          <w:tcPr>
            <w:tcW w:type="dxa" w:w="2381"/>
            <w:shd w:fill="12304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1361"/>
            <w:shd w:fill="12304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当前值</w:t>
            </w:r>
          </w:p>
        </w:tc>
        <w:tc>
          <w:tcPr>
            <w:tcW w:type="dxa" w:w="1814"/>
            <w:shd w:fill="12304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判定</w:t>
            </w:r>
          </w:p>
        </w:tc>
        <w:tc>
          <w:tcPr>
            <w:tcW w:type="dxa" w:w="3231"/>
            <w:shd w:fill="12304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样本 ID 唯一率</w:t>
            </w:r>
          </w:p>
        </w:tc>
        <w:tc>
          <w:tcPr>
            <w:tcW w:type="dxa" w:w="1361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100%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通过</w:t>
            </w:r>
          </w:p>
        </w:tc>
        <w:tc>
          <w:tcPr>
            <w:tcW w:type="dxa" w:w="3231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无重复样本编号</w:t>
            </w:r>
          </w:p>
        </w:tc>
      </w:tr>
      <w:tr>
        <w:trPr>
          <w:cantSplit/>
        </w:trPr>
        <w:tc>
          <w:tcPr>
            <w:tcW w:type="dxa" w:w="2381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证据 ID 唯一率</w:t>
            </w:r>
          </w:p>
        </w:tc>
        <w:tc>
          <w:tcPr>
            <w:tcW w:type="dxa" w:w="1361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100%</w:t>
            </w:r>
          </w:p>
        </w:tc>
        <w:tc>
          <w:tcPr>
            <w:tcW w:type="dxa" w:w="1814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通过</w:t>
            </w:r>
          </w:p>
        </w:tc>
        <w:tc>
          <w:tcPr>
            <w:tcW w:type="dxa" w:w="3231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无重复证据编号</w:t>
            </w:r>
          </w:p>
        </w:tc>
      </w:tr>
      <w:tr>
        <w:trPr>
          <w:cantSplit/>
        </w:trPr>
        <w:tc>
          <w:tcPr>
            <w:tcW w:type="dxa" w:w="2381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父样本关联率</w:t>
            </w:r>
          </w:p>
        </w:tc>
        <w:tc>
          <w:tcPr>
            <w:tcW w:type="dxa" w:w="1361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100%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通过</w:t>
            </w:r>
          </w:p>
        </w:tc>
        <w:tc>
          <w:tcPr>
            <w:tcW w:type="dxa" w:w="3231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孤立证据为 0</w:t>
            </w:r>
          </w:p>
        </w:tc>
      </w:tr>
      <w:tr>
        <w:trPr>
          <w:cantSplit/>
        </w:trPr>
        <w:tc>
          <w:tcPr>
            <w:tcW w:type="dxa" w:w="2381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文本回溯率</w:t>
            </w:r>
          </w:p>
        </w:tc>
        <w:tc>
          <w:tcPr>
            <w:tcW w:type="dxa" w:w="1361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100%</w:t>
            </w:r>
          </w:p>
        </w:tc>
        <w:tc>
          <w:tcPr>
            <w:tcW w:type="dxa" w:w="1814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通过</w:t>
            </w:r>
          </w:p>
        </w:tc>
        <w:tc>
          <w:tcPr>
            <w:tcW w:type="dxa" w:w="3231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927 条证据均可定位</w:t>
            </w:r>
          </w:p>
        </w:tc>
      </w:tr>
      <w:tr>
        <w:trPr>
          <w:cantSplit/>
        </w:trPr>
        <w:tc>
          <w:tcPr>
            <w:tcW w:type="dxa" w:w="2381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平台错配</w:t>
            </w:r>
          </w:p>
        </w:tc>
        <w:tc>
          <w:tcPr>
            <w:tcW w:type="dxa" w:w="1361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0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通过</w:t>
            </w:r>
          </w:p>
        </w:tc>
        <w:tc>
          <w:tcPr>
            <w:tcW w:type="dxa" w:w="3231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证据与父样本平台一致</w:t>
            </w:r>
          </w:p>
        </w:tc>
      </w:tr>
      <w:tr>
        <w:trPr>
          <w:cantSplit/>
        </w:trPr>
        <w:tc>
          <w:tcPr>
            <w:tcW w:type="dxa" w:w="2381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公开 URL 命中</w:t>
            </w:r>
          </w:p>
        </w:tc>
        <w:tc>
          <w:tcPr>
            <w:tcW w:type="dxa" w:w="1361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0</w:t>
            </w:r>
          </w:p>
        </w:tc>
        <w:tc>
          <w:tcPr>
            <w:tcW w:type="dxa" w:w="1814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通过</w:t>
            </w:r>
          </w:p>
        </w:tc>
        <w:tc>
          <w:tcPr>
            <w:tcW w:type="dxa" w:w="3231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公开数据未检出链接</w:t>
            </w:r>
          </w:p>
        </w:tc>
      </w:tr>
      <w:tr>
        <w:trPr>
          <w:cantSplit/>
        </w:trPr>
        <w:tc>
          <w:tcPr>
            <w:tcW w:type="dxa" w:w="2381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样本 / 证据重复组</w:t>
            </w:r>
          </w:p>
        </w:tc>
        <w:tc>
          <w:tcPr>
            <w:tcW w:type="dxa" w:w="1361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0 / 0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通过</w:t>
            </w:r>
          </w:p>
        </w:tc>
        <w:tc>
          <w:tcPr>
            <w:tcW w:type="dxa" w:w="3231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规范化文本扫描</w:t>
            </w:r>
          </w:p>
        </w:tc>
      </w:tr>
      <w:tr>
        <w:trPr>
          <w:cantSplit/>
        </w:trPr>
        <w:tc>
          <w:tcPr>
            <w:tcW w:type="dxa" w:w="2381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无证据样本</w:t>
            </w:r>
          </w:p>
        </w:tc>
        <w:tc>
          <w:tcPr>
            <w:tcW w:type="dxa" w:w="1361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2</w:t>
            </w:r>
          </w:p>
        </w:tc>
        <w:tc>
          <w:tcPr>
            <w:tcW w:type="dxa" w:w="1814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记录</w:t>
            </w:r>
          </w:p>
        </w:tc>
        <w:tc>
          <w:tcPr>
            <w:tcW w:type="dxa" w:w="3231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占样本 0.6%</w:t>
            </w:r>
          </w:p>
        </w:tc>
      </w:tr>
      <w:tr>
        <w:trPr>
          <w:cantSplit/>
        </w:trPr>
        <w:tc>
          <w:tcPr>
            <w:tcW w:type="dxa" w:w="2381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机制不确定率</w:t>
            </w:r>
          </w:p>
        </w:tc>
        <w:tc>
          <w:tcPr>
            <w:tcW w:type="dxa" w:w="1361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52.4%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重点诊断</w:t>
            </w:r>
          </w:p>
        </w:tc>
        <w:tc>
          <w:tcPr>
            <w:tcW w:type="dxa" w:w="3231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需要改进上下文与标签边界</w:t>
            </w:r>
          </w:p>
        </w:tc>
      </w:tr>
      <w:tr>
        <w:trPr>
          <w:cantSplit/>
        </w:trPr>
        <w:tc>
          <w:tcPr>
            <w:tcW w:type="dxa" w:w="2381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缺失日期</w:t>
            </w:r>
          </w:p>
        </w:tc>
        <w:tc>
          <w:tcPr>
            <w:tcW w:type="dxa" w:w="1361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240</w:t>
            </w:r>
          </w:p>
        </w:tc>
        <w:tc>
          <w:tcPr>
            <w:tcW w:type="dxa" w:w="1814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限制时间分析</w:t>
            </w:r>
          </w:p>
        </w:tc>
        <w:tc>
          <w:tcPr>
            <w:tcW w:type="dxa" w:w="3231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6"/>
              </w:rPr>
              <w:t>日期属于可选字段</w:t>
            </w:r>
          </w:p>
        </w:tc>
      </w:tr>
    </w:tbl>
    <w:p>
      <w:pPr>
        <w:spacing w:after="0"/>
      </w:pPr>
    </w:p>
    <w:p>
      <w:pPr>
        <w:pStyle w:val="Heading2"/>
      </w:pPr>
      <w:r>
        <w:t>6.1 下一阶段一致性评测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1F2F3D"/>
          <w:sz w:val="21"/>
        </w:rPr>
        <w:t>建议从平台、主要话题、主要机制和不确定类别中分层抽样，由两名编码者独立判断证据纳入、表层话题与机制标签。记录独立结果、争议类型、裁决理由和手册修订，并计算适用于名义变量的 Krippendorff’s alpha。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1F2F3D"/>
          <w:sz w:val="21"/>
        </w:rPr>
        <w:t>一致性指标需要与混淆矩阵、争议样本和返修成本一起解释。较高一致性只能说明编码者使用同一规则时结果稳定，不能单独证明构念完整或产品结论有效。</w:t>
      </w:r>
    </w:p>
    <w:p>
      <w:pPr>
        <w:pStyle w:val="Heading1"/>
      </w:pPr>
      <w:r>
        <w:t>7. 产品方向与验证设计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1F2F3D"/>
          <w:sz w:val="21"/>
        </w:rPr>
        <w:t>当前结果适合形成产品假设，后续通过独立研究验证。以下方向根据高频话题、主要机制与证据示例整理：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cantSplit/>
          <w:tblHeader w:val="true"/>
        </w:trPr>
        <w:tc>
          <w:tcPr>
            <w:tcW w:type="dxa" w:w="1757"/>
            <w:shd w:fill="12304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方向</w:t>
            </w:r>
          </w:p>
        </w:tc>
        <w:tc>
          <w:tcPr>
            <w:tcW w:type="dxa" w:w="1814"/>
            <w:shd w:fill="12304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证据线索</w:t>
            </w:r>
          </w:p>
        </w:tc>
        <w:tc>
          <w:tcPr>
            <w:tcW w:type="dxa" w:w="2948"/>
            <w:shd w:fill="12304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产品假设</w:t>
            </w:r>
          </w:p>
        </w:tc>
        <w:tc>
          <w:tcPr>
            <w:tcW w:type="dxa" w:w="2268"/>
            <w:shd w:fill="12304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验证指标</w:t>
            </w:r>
          </w:p>
        </w:tc>
      </w:tr>
      <w:tr>
        <w:trPr>
          <w:cantSplit/>
        </w:trPr>
        <w:tc>
          <w:tcPr>
            <w:tcW w:type="dxa" w:w="1757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5"/>
              </w:rPr>
              <w:t>角色与强化适配信息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5"/>
              </w:rPr>
              <w:t>平衡 × 胜任受挫</w:t>
            </w:r>
          </w:p>
        </w:tc>
        <w:tc>
          <w:tcPr>
            <w:tcW w:type="dxa" w:w="2948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5"/>
              </w:rPr>
              <w:t>在选择阶段提供强化适配、阵容缺口与风险提示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5"/>
              </w:rPr>
              <w:t>A/B 对比选择后退出率、低贡献局比例、相关负面反馈</w:t>
            </w:r>
          </w:p>
        </w:tc>
      </w:tr>
      <w:tr>
        <w:trPr>
          <w:cantSplit/>
        </w:trPr>
        <w:tc>
          <w:tcPr>
            <w:tcW w:type="dxa" w:w="1757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5"/>
              </w:rPr>
              <w:t>匹配预期与解释</w:t>
            </w:r>
          </w:p>
        </w:tc>
        <w:tc>
          <w:tcPr>
            <w:tcW w:type="dxa" w:w="1814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5"/>
              </w:rPr>
              <w:t>匹配 × 公平受损</w:t>
            </w:r>
          </w:p>
        </w:tc>
        <w:tc>
          <w:tcPr>
            <w:tcW w:type="dxa" w:w="2948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5"/>
              </w:rPr>
              <w:t>提供可理解的匹配范围、队列状态和连胜连败解释</w:t>
            </w:r>
          </w:p>
        </w:tc>
        <w:tc>
          <w:tcPr>
            <w:tcW w:type="dxa" w:w="2268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5"/>
              </w:rPr>
              <w:t>访谈理解度；上线前后公平归因反馈与中途退出</w:t>
            </w:r>
          </w:p>
        </w:tc>
      </w:tr>
      <w:tr>
        <w:trPr>
          <w:cantSplit/>
        </w:trPr>
        <w:tc>
          <w:tcPr>
            <w:tcW w:type="dxa" w:w="1757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5"/>
              </w:rPr>
              <w:t>新手安全选择路径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5"/>
              </w:rPr>
              <w:t>新手引导 × 胜任受挫</w:t>
            </w:r>
          </w:p>
        </w:tc>
        <w:tc>
          <w:tcPr>
            <w:tcW w:type="dxa" w:w="2948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5"/>
              </w:rPr>
              <w:t>按熟悉度、操作难度和团队作用提供推荐与功能装提示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5"/>
              </w:rPr>
              <w:t>新手任务成功率、首局贡献、二次参与率</w:t>
            </w:r>
          </w:p>
        </w:tc>
      </w:tr>
      <w:tr>
        <w:trPr>
          <w:cantSplit/>
        </w:trPr>
        <w:tc>
          <w:tcPr>
            <w:tcW w:type="dxa" w:w="1757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5"/>
              </w:rPr>
              <w:t>改动沟通闭环</w:t>
            </w:r>
          </w:p>
        </w:tc>
        <w:tc>
          <w:tcPr>
            <w:tcW w:type="dxa" w:w="1814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5"/>
              </w:rPr>
              <w:t>沟通透明 × 信任落差</w:t>
            </w:r>
          </w:p>
        </w:tc>
        <w:tc>
          <w:tcPr>
            <w:tcW w:type="dxa" w:w="2948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5"/>
              </w:rPr>
              <w:t>公告补充改动目的、影响范围、反馈入口与后续复盘</w:t>
            </w:r>
          </w:p>
        </w:tc>
        <w:tc>
          <w:tcPr>
            <w:tcW w:type="dxa" w:w="2268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5"/>
              </w:rPr>
              <w:t>公告理解测试、反馈重复率、信任量表短项</w:t>
            </w:r>
          </w:p>
        </w:tc>
      </w:tr>
      <w:tr>
        <w:trPr>
          <w:cantSplit/>
        </w:trPr>
        <w:tc>
          <w:tcPr>
            <w:tcW w:type="dxa" w:w="1757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5"/>
              </w:rPr>
              <w:t>社区规范与处置反馈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5"/>
              </w:rPr>
              <w:t>社区冲突 × 规范安全</w:t>
            </w:r>
          </w:p>
        </w:tc>
        <w:tc>
          <w:tcPr>
            <w:tcW w:type="dxa" w:w="2948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5"/>
              </w:rPr>
              <w:t>优化举报分类、处置回执和高风险互动提示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5"/>
              </w:rPr>
              <w:t>举报完成率、重复举报、辱骂暴露与社区安全感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Microsoft YaHei" w:hAnsi="Microsoft YaHei" w:eastAsia="Microsoft YaHei"/>
          <w:b w:val="0"/>
          <w:color w:val="1F2F3D"/>
          <w:sz w:val="21"/>
        </w:rPr>
        <w:t>验证时应预先定义目标用户、干预内容、主要指标、观察窗口和停止条件。反馈数量下降需要结合活跃度、任务完成、对局质量与留存指标，避免把沉默误判为体验改善。</w:t>
      </w:r>
    </w:p>
    <w:p>
      <w:pPr>
        <w:pStyle w:val="Heading1"/>
      </w:pPr>
      <w:r>
        <w:t>8. 解释边界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F3D"/>
          <w:sz w:val="21"/>
        </w:rPr>
        <w:t>三个平台各 120 条属于等额抽样设计，不能代表平台真实讨论规模或总体玩家意见占比；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F3D"/>
          <w:sz w:val="21"/>
        </w:rPr>
        <w:t>证据数量受到文本长度和切分粒度影响，不能直接等同于问题强度；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F3D"/>
          <w:sz w:val="21"/>
        </w:rPr>
        <w:t>当前编码包含历史 AI 结果与离线规则提案，不同编码来源的分布不可视为完全等价；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F3D"/>
          <w:sz w:val="21"/>
        </w:rPr>
        <w:t>240 条样本缺少日期，当前分析不支持完整时间趋势判断；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F3D"/>
          <w:sz w:val="21"/>
        </w:rPr>
        <w:t>体验机制是文本编码维度，不构成个体心理诊断；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F3D"/>
          <w:sz w:val="21"/>
        </w:rPr>
        <w:t>产品方向需要通过访谈、问卷、行为日志或实验验证。</w:t>
      </w:r>
    </w:p>
    <w:p>
      <w:pPr>
        <w:pStyle w:val="Heading1"/>
      </w:pPr>
      <w:r>
        <w:t>9. 复现与仓库入口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1F2F3D"/>
          <w:sz w:val="21"/>
        </w:rPr>
        <w:t>公开数据规范化、统计汇总与 Demo 均可离线运行。</w:t>
      </w:r>
    </w:p>
    <w:p>
      <w:pPr>
        <w:ind w:left="340"/>
      </w:pPr>
      <w:r>
        <w:rPr>
          <w:rFonts w:ascii="Consolas" w:hAnsi="Consolas" w:eastAsia="Consolas"/>
          <w:b w:val="0"/>
          <w:color w:val="1C4E69"/>
          <w:sz w:val="17"/>
        </w:rPr>
        <w:t>python tools/normalize_public_dataset.py --source-dir data/public --output-dir artifacts/normalized_public</w:t>
      </w:r>
    </w:p>
    <w:p>
      <w:pPr>
        <w:ind w:left="340"/>
      </w:pPr>
      <w:r>
        <w:rPr>
          <w:rFonts w:ascii="Consolas" w:hAnsi="Consolas" w:eastAsia="Consolas"/>
          <w:b w:val="0"/>
          <w:color w:val="1C4E69"/>
          <w:sz w:val="17"/>
        </w:rPr>
        <w:t>python tools/summarize_public_analysis.py --public-dir data/public --output artifacts/public_analysis_summary.json</w:t>
      </w:r>
    </w:p>
    <w:p>
      <w:pPr>
        <w:ind w:left="340"/>
      </w:pPr>
      <w:r>
        <w:rPr>
          <w:rFonts w:ascii="Consolas" w:hAnsi="Consolas" w:eastAsia="Consolas"/>
          <w:b w:val="0"/>
          <w:color w:val="1C4E69"/>
          <w:sz w:val="17"/>
        </w:rPr>
        <w:t>python tools/run_demo.py --provider mock --output artifacts/demo/run</w:t>
      </w:r>
    </w:p>
    <w:p>
      <w:pPr>
        <w:ind w:left="340"/>
      </w:pPr>
      <w:r>
        <w:rPr>
          <w:rFonts w:ascii="Consolas" w:hAnsi="Consolas" w:eastAsia="Consolas"/>
          <w:b w:val="0"/>
          <w:color w:val="1C4E69"/>
          <w:sz w:val="17"/>
        </w:rPr>
        <w:t>python -m pytest demo/tests tests -q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  <w:tblHeader w:val="true"/>
        </w:trPr>
        <w:tc>
          <w:tcPr>
            <w:tcW w:type="dxa" w:w="2835"/>
            <w:shd w:fill="12304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5953"/>
            <w:shd w:fill="12304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835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data/public/</w:t>
            </w:r>
          </w:p>
        </w:tc>
        <w:tc>
          <w:tcPr>
            <w:tcW w:type="dxa" w:w="5953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公开样本、证据、manifest 与字段说明</w:t>
            </w:r>
          </w:p>
        </w:tc>
      </w:tr>
      <w:tr>
        <w:trPr>
          <w:cantSplit/>
        </w:trPr>
        <w:tc>
          <w:tcPr>
            <w:tcW w:type="dxa" w:w="2835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docs/methodology/</w:t>
            </w:r>
          </w:p>
        </w:tc>
        <w:tc>
          <w:tcPr>
            <w:tcW w:type="dxa" w:w="5953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心理学框架、证据切分、话题与机制手册</w:t>
            </w:r>
          </w:p>
        </w:tc>
      </w:tr>
      <w:tr>
        <w:trPr>
          <w:cantSplit/>
        </w:trPr>
        <w:tc>
          <w:tcPr>
            <w:tcW w:type="dxa" w:w="2835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docs/evaluation/</w:t>
            </w:r>
          </w:p>
        </w:tc>
        <w:tc>
          <w:tcPr>
            <w:tcW w:type="dxa" w:w="5953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评测方法与当前结果</w:t>
            </w:r>
          </w:p>
        </w:tc>
      </w:tr>
      <w:tr>
        <w:trPr>
          <w:cantSplit/>
        </w:trPr>
        <w:tc>
          <w:tcPr>
            <w:tcW w:type="dxa" w:w="2835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pipeline/</w:t>
            </w:r>
          </w:p>
        </w:tc>
        <w:tc>
          <w:tcPr>
            <w:tcW w:type="dxa" w:w="5953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采集契约、配置与 Prompt 模板</w:t>
            </w:r>
          </w:p>
        </w:tc>
      </w:tr>
      <w:tr>
        <w:trPr>
          <w:cantSplit/>
        </w:trPr>
        <w:tc>
          <w:tcPr>
            <w:tcW w:type="dxa" w:w="2835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demo/</w:t>
            </w:r>
          </w:p>
        </w:tc>
        <w:tc>
          <w:tcPr>
            <w:tcW w:type="dxa" w:w="5953"/>
            <w:shd w:fill="FFFFF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离线端到端示例</w:t>
            </w:r>
          </w:p>
        </w:tc>
      </w:tr>
      <w:tr>
        <w:trPr>
          <w:cantSplit/>
        </w:trPr>
        <w:tc>
          <w:tcPr>
            <w:tcW w:type="dxa" w:w="2835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tools/</w:t>
            </w:r>
          </w:p>
        </w:tc>
        <w:tc>
          <w:tcPr>
            <w:tcW w:type="dxa" w:w="5953"/>
            <w:shd w:fill="F2F4F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F3D"/>
                <w:sz w:val="18"/>
              </w:rPr>
              <w:t>数据规范化、统计汇总与 Demo 入口</w:t>
            </w:r>
          </w:p>
        </w:tc>
      </w:tr>
    </w:tbl>
    <w:p>
      <w:pPr>
        <w:spacing w:after="0"/>
      </w:pPr>
    </w:p>
    <w:p>
      <w:pPr>
        <w:pStyle w:val="Heading1"/>
      </w:pPr>
      <w:r>
        <w:t>参考文献</w:t>
      </w:r>
    </w:p>
    <w:p>
      <w:pPr>
        <w:ind w:left="397" w:hanging="397"/>
      </w:pPr>
      <w:r>
        <w:rPr>
          <w:rFonts w:ascii="Microsoft YaHei" w:hAnsi="Microsoft YaHei" w:eastAsia="Microsoft YaHei"/>
          <w:b w:val="0"/>
          <w:color w:val="1F2F3D"/>
          <w:sz w:val="18"/>
        </w:rPr>
        <w:t>Braun, V., &amp; Clarke, V. (2006). Using thematic analysis in psychology. Qualitative Research in Psychology, 3(2), 77–101.</w:t>
      </w:r>
    </w:p>
    <w:p>
      <w:pPr>
        <w:ind w:left="397" w:hanging="397"/>
      </w:pPr>
      <w:r>
        <w:rPr>
          <w:rFonts w:ascii="Microsoft YaHei" w:hAnsi="Microsoft YaHei" w:eastAsia="Microsoft YaHei"/>
          <w:b w:val="0"/>
          <w:color w:val="1F2F3D"/>
          <w:sz w:val="18"/>
        </w:rPr>
        <w:t>Colquitt, J. A. (2001). On the dimensionality of organizational justice. Journal of Applied Psychology, 86(3), 386–400.</w:t>
      </w:r>
    </w:p>
    <w:p>
      <w:pPr>
        <w:ind w:left="397" w:hanging="397"/>
      </w:pPr>
      <w:r>
        <w:rPr>
          <w:rFonts w:ascii="Microsoft YaHei" w:hAnsi="Microsoft YaHei" w:eastAsia="Microsoft YaHei"/>
          <w:b w:val="0"/>
          <w:color w:val="1F2F3D"/>
          <w:sz w:val="18"/>
        </w:rPr>
        <w:t>Deci, E. L., &amp; Ryan, R. M. (2000). The “what” and “why” of goal pursuits. Psychological Inquiry, 11(4), 227–268.</w:t>
      </w:r>
    </w:p>
    <w:p>
      <w:pPr>
        <w:ind w:left="397" w:hanging="397"/>
      </w:pPr>
      <w:r>
        <w:rPr>
          <w:rFonts w:ascii="Microsoft YaHei" w:hAnsi="Microsoft YaHei" w:eastAsia="Microsoft YaHei"/>
          <w:b w:val="0"/>
          <w:color w:val="1F2F3D"/>
          <w:sz w:val="18"/>
        </w:rPr>
        <w:t>Krippendorff, K. (2018). Content Analysis: An Introduction to Its Methodology (4th ed.). SAGE.</w:t>
      </w:r>
    </w:p>
    <w:p>
      <w:pPr>
        <w:ind w:left="397" w:hanging="397"/>
      </w:pPr>
      <w:r>
        <w:rPr>
          <w:rFonts w:ascii="Microsoft YaHei" w:hAnsi="Microsoft YaHei" w:eastAsia="Microsoft YaHei"/>
          <w:b w:val="0"/>
          <w:color w:val="1F2F3D"/>
          <w:sz w:val="18"/>
        </w:rPr>
        <w:t>Mayer, R. C., Davis, J. H., &amp; Schoorman, F. D. (1995). An integrative model of organizational trust. Academy of Management Review, 20(3), 709–734.</w:t>
      </w:r>
    </w:p>
    <w:p>
      <w:pPr>
        <w:ind w:left="397" w:hanging="397"/>
      </w:pPr>
      <w:r>
        <w:rPr>
          <w:rFonts w:ascii="Microsoft YaHei" w:hAnsi="Microsoft YaHei" w:eastAsia="Microsoft YaHei"/>
          <w:b w:val="0"/>
          <w:color w:val="1F2F3D"/>
          <w:sz w:val="18"/>
        </w:rPr>
        <w:t>McMillan, D. W., &amp; Chavis, D. M. (1986). Sense of community: A definition and theory. Journal of Community Psychology, 14(1), 6–23.</w:t>
      </w:r>
    </w:p>
    <w:p>
      <w:pPr>
        <w:spacing w:before="440"/>
        <w:jc w:val="center"/>
      </w:pPr>
      <w:r>
        <w:rPr>
          <w:rFonts w:ascii="Microsoft YaHei" w:hAnsi="Microsoft YaHei" w:eastAsia="Microsoft YaHei"/>
          <w:b w:val="0"/>
          <w:color w:val="5B6C78"/>
          <w:sz w:val="17"/>
        </w:rPr>
        <w:t>Copyright © 2026 Sherlock0717. All rights reserved.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276" w:bottom="1077" w:left="1276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B6C78"/>
        <w:sz w:val="17"/>
      </w:rPr>
      <w:t xml:space="preserve">PsyLens  ·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5B6C78"/>
        <w:sz w:val="17"/>
      </w:rPr>
      <w:t>PsyLens｜社区反馈分析与可靠性评测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Microsoft YaHei" w:hAnsi="Microsoft YaHei" w:eastAsia="Microsoft YaHei"/>
      <w:color w:val="1F2F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2304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15B7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15B7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2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230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