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6CAC" w14:textId="77777777" w:rsidR="00AA6026" w:rsidRDefault="00CF7F5B">
      <w:pPr>
        <w:pStyle w:val="aa"/>
      </w:pPr>
      <w:r>
        <w:t>第</w:t>
      </w:r>
      <w:r>
        <w:t xml:space="preserve"> 2 </w:t>
      </w:r>
      <w:r>
        <w:t>章｜本體這個名字，到底在說什麼？</w:t>
      </w:r>
    </w:p>
    <w:p w14:paraId="00D8E219" w14:textId="77777777" w:rsidR="00AA6026" w:rsidRDefault="00CF7F5B">
      <w:r>
        <w:t>假設晨光學習工作室終於把三種人數的用法寫清楚了。招生、教務與帳務各自知道在計算什麼，同事也不再用同一個「學員數」互相指責。你可能會問：「這樣不就好了？為什麼還需要一個叫作本體的東西？」</w:t>
      </w:r>
    </w:p>
    <w:p w14:paraId="1B6683DE" w14:textId="77777777" w:rsidR="00AA6026" w:rsidRDefault="00CF7F5B">
      <w:r>
        <w:t>這個問題很實際。把詞解釋清楚，已經可能解決眼前的困惑。我們需要繼續往下看的，是那些定義怎麼一起工作。「學員報名了課程」這句話聽起來順暢，可是同一門課可以開兩班，同一個人也可以再次報名。若有人取消其中一次，到底影響哪一個班別、哪筆報名，以及哪筆付款？單獨查「學員」的解釋，還無法回答。</w:t>
      </w:r>
    </w:p>
    <w:p w14:paraId="46DDAAA0" w14:textId="77777777" w:rsidR="00AA6026" w:rsidRDefault="00CF7F5B">
      <w:r>
        <w:t>本章要認識的本體，正是在處理這一層約定：為了某個目的，我們把哪些事物當成需要辨認的對象，它們有哪些關係，相關名稱又應如何使用。先不急著選軟體，試著把這些約定說給另一個人聽。如果對方能分辨哪些說法符合約定、哪些需要修正，我們才有機會把相同意思交給系統。</w:t>
      </w:r>
    </w:p>
    <w:p w14:paraId="40E78C56" w14:textId="77777777" w:rsidR="00AA6026" w:rsidRDefault="00CF7F5B">
      <w:pPr>
        <w:pStyle w:val="21"/>
      </w:pPr>
      <w:r>
        <w:t>先劃出要談的範圍</w:t>
      </w:r>
    </w:p>
    <w:p w14:paraId="0DFF9710" w14:textId="77777777" w:rsidR="00AA6026" w:rsidRDefault="00CF7F5B">
      <w:r>
        <w:t>「領域」（Domain）是我們這次選定要描述的範圍。在工作室的例子裡，可以先處理課程、班別與報名之間的關係；不必因為工作室也有租金、社群貼文和器材，就把它們一次全部納入。</w:t>
      </w:r>
    </w:p>
    <w:p w14:paraId="2152EFCB" w14:textId="77777777" w:rsidR="00AA6026" w:rsidRDefault="00CF7F5B">
      <w:r>
        <w:t>範圍太大時，每個名詞都像不能漏，討論很快就失去終點。範圍太小也會出問題：若只留下學員姓名，卻不留下報名哪一班，就無法回答取消後哪一班空出名額。因此，界線應由要處理的問題來檢查。少了某個概念會不會使答案無法成立？若不會，現在暫不建模，並不表示它在現實中不重要。</w:t>
      </w:r>
    </w:p>
    <w:p w14:paraId="05C61451" w14:textId="77777777" w:rsidR="00AA6026" w:rsidRDefault="00CF7F5B">
      <w:r>
        <w:t>接著，我們要決定怎樣看待這個範圍。例如，把「AI 基礎應用」看成可以重複開設的課程，把十月某一天的開課看成班別，再把某個人對某班的申請看成報名。這種為了特定目的，選取必要對象與關係的簡化理解，稱為「概念化」（Conceptualization）。[R01]</w:t>
      </w:r>
    </w:p>
    <w:p w14:paraId="1B062B8A" w14:textId="77777777" w:rsidR="00AA6026" w:rsidRDefault="00CF7F5B">
      <w:r>
        <w:t>同一間工作室，招生人員可能先看接觸、詢問與報名之間的變化，教務人員先看班別與名額。兩種看法不必有一種全錯；它們可能各自省略了另一種工作才需要的資訊。概念化要接受用途檢查，而不是比誰畫得最像公司的全部生活。</w:t>
      </w:r>
    </w:p>
    <w:p w14:paraId="56C104E1" w14:textId="77777777" w:rsidR="00AA6026" w:rsidRDefault="00CF7F5B">
      <w:r>
        <w:lastRenderedPageBreak/>
        <w:t>當我們把選定的概念、相互關係及使用條件明確表達出來，讓人或系統能依循，便進入本書所談的「本體」（Ontology）。在知識工程裡，它是一種有明確語意的規格。以工作室為例，規格需要說清楚報名連結人與班別，以及「取消報名」指向哪一筆申請，不能只把幾個名詞放在一起。[R01][R02]</w:t>
      </w:r>
    </w:p>
    <w:p w14:paraId="45E50AF9" w14:textId="77777777" w:rsidR="00AA6026" w:rsidRDefault="00CF7F5B">
      <w:r>
        <w:t>這裡先有一個限制：本體描述的是我們選來處理問題的部分。它不會因為內容寫得精密，就收進每位同事的所有判斷、情感與默契。選取範圍是建模必須做的事；把省略說清楚，也屬於模型的責任。</w:t>
      </w:r>
    </w:p>
    <w:p w14:paraId="7EE2C71F" w14:textId="77777777" w:rsidR="00AA6026" w:rsidRDefault="00CF7F5B">
      <w:pPr>
        <w:pStyle w:val="21"/>
      </w:pPr>
      <w:r>
        <w:t>它比詞彙表多做了什麼？</w:t>
      </w:r>
    </w:p>
    <w:p w14:paraId="5CFDFA34" w14:textId="77777777" w:rsidR="00AA6026" w:rsidRDefault="00CF7F5B">
      <w:r>
        <w:t>可以先借用詞典的比喻：同一個詞有穩定解釋，彼此才容易溝通。但只靠這個比喻，容易漏掉關係。詞彙表可以分別解釋「課程」「班別」「報名」，本體還要說明它們如何連在一起，以及某些說法會帶出什麼含意。</w:t>
      </w:r>
    </w:p>
    <w:p w14:paraId="1674862B" w14:textId="77777777" w:rsidR="00AA6026" w:rsidRDefault="00CF7F5B">
      <w:r>
        <w:t>例如，若有人說「取消 E001」，我們要知道 E001 是某一次報名。依目前規格，取消這筆報名不等於刪除整門課，也不等於取消其他人的報名。付款則連到報名紀錄，不能只憑付款人姓名相同，就隨意連到任何一班。這些關係讓名詞共同支撐一個可使用的描述。</w:t>
      </w:r>
    </w:p>
    <w:p w14:paraId="0F4BDAF8" w14:textId="77777777" w:rsidR="00AA6026" w:rsidRDefault="00CF7F5B">
      <w:r>
        <w:t>再看「課程有三個名額」。如果工作室的同一課程開了兩班，這句話就可能把課程內容和一次開班混在一起。固定案例中，容量三席屬於班別 S101，另一班 S102 容量兩席；課程 C101 本身沒有一個能替所有班別通用的剩餘名額。要修正的不是「名額」這個詞的字面，而是容量應描述誰。</w:t>
      </w:r>
    </w:p>
    <w:p w14:paraId="6C1C0A2C" w14:textId="77777777" w:rsidR="00AA6026" w:rsidRDefault="00CF7F5B">
      <w:r>
        <w:t>畫一張關係圖，可能有助於看出這個問題。但圖上的線也需要解釋。「學員—課程」究竟表示詢問過、報名中、已完成，還是可以教授？如果每個人都能替線補上自己想像的意思，那張圖只是把模糊句子換成模糊圖像。</w:t>
      </w:r>
    </w:p>
    <w:p w14:paraId="0ABF2F07" w14:textId="77777777" w:rsidR="00AA6026" w:rsidRDefault="00CF7F5B">
      <w:r>
        <w:t>因此，一張圖可以是本體的呈現方式，一份可編輯文件可以承載它的說明，某些標準語言則能把部分約定寫成程式可處理的形式。它們的外觀不同，不宜僅憑檔案格式判斷是否足以使用。相反地，也不能把任何漂亮的圖或任何一份欄位清單，都直接稱為完整本體。</w:t>
      </w:r>
    </w:p>
    <w:p w14:paraId="637BC887" w14:textId="77777777" w:rsidR="00AA6026" w:rsidRDefault="00CF7F5B">
      <w:r>
        <w:t>如果只寫自然語言，仍可能留下多種解讀。當某些關係需要機器穩定地推論時，就要進一步採用具有明確語意的表達方式，並選擇能處理它的工具。但這是從需求往實作走的決定，不表示每一份中文定義卡都要立刻轉成複雜形式。後面幾章會逐步分辨何時值得這樣做。</w:t>
      </w:r>
    </w:p>
    <w:p w14:paraId="1EC8CA99" w14:textId="77777777" w:rsidR="00AA6026" w:rsidRDefault="00CF7F5B">
      <w:pPr>
        <w:pStyle w:val="21"/>
      </w:pPr>
      <w:r>
        <w:lastRenderedPageBreak/>
        <w:t>一個老詞，三種使用情境</w:t>
      </w:r>
    </w:p>
    <w:p w14:paraId="1811041C" w14:textId="77777777" w:rsidR="00AA6026" w:rsidRDefault="00CF7F5B">
      <w:r>
        <w:t>「本體」的陌生感，部分來自它跨越了不同領域。在哲學語境中，本體問題關注存在及其類型；在本書的知識工程語境中，我們關心如何明確描述選定範圍。讀懂企業本體，不要求先對哲學中的所有存在問題作出答案。這裡只取這個語境差別，不展開哲學史。[R01]</w:t>
      </w:r>
    </w:p>
    <w:p w14:paraId="5FD7664F" w14:textId="77777777" w:rsidR="00AA6026" w:rsidRDefault="00CF7F5B">
      <w:r>
        <w:t>Gruber 在一九九三年的論文中，將本體放在知識共享的問題裡討論。對我們有用的提醒是：系統交換資訊時，格式能相容與內容的意思有約定，是不同層次。今天你把一欄名為「status」的資料交出去，對方雖然能收到文字，仍可能不知道「確認」是在確認收件、保留名額，還是完成付款。[R01]</w:t>
      </w:r>
    </w:p>
    <w:p w14:paraId="657CD11E" w14:textId="77777777" w:rsidR="00AA6026" w:rsidRDefault="00CF7F5B">
      <w:r>
        <w:t>這個工作室例子是本書自己的應用，不是那篇論文研究過的公司。也不能因為論文討論共同詞彙，就宣稱有了本體一定能降低成本。共同定義如何達成共識、系統究竟能回答哪些問題，仍不能只靠本體的存在來保證。[R01]</w:t>
      </w:r>
    </w:p>
    <w:p w14:paraId="006F65BC" w14:textId="77777777" w:rsidR="00AA6026" w:rsidRDefault="00CF7F5B">
      <w:r>
        <w:t>另一種情境是商業平台。平台可能把概念模型、資料連接、運算、行動與權限整合在同一個產品裡，再使用 Ontology 這個名稱。那時，我們讀到的不只是一般學術詞義，還包含供應商選擇包進產品的功能。</w:t>
      </w:r>
    </w:p>
    <w:p w14:paraId="4C9E9E1C" w14:textId="77777777" w:rsidR="00AA6026" w:rsidRDefault="00CF7F5B">
      <w:r>
        <w:t>例如，截至二〇二六年九月二十八日本輪查閱，Palantir 官方文件以資料、邏輯、行動與安全四個部分說明其營運決策模型。這是該平台的設計分類。不能倒過來認定，任何學術本體若沒有內建行動執行和權限系統，就不算本體。[R16]</w:t>
      </w:r>
    </w:p>
    <w:p w14:paraId="7C247694" w14:textId="77777777" w:rsidR="00AA6026" w:rsidRDefault="00CF7F5B">
      <w:r>
        <w:t>同日查閱的 Microsoft Fabric 文件，則把其本體功能描述為共同企業詞彙及資料綁定的一環，頁面仍標示預覽版。這能幫我們辨認供應商如何使用這個詞，卻不能直接證明某家企業已因此被 AI 正確理解。文件中的功能描述與現場導入驗證，還有距離。[R14]</w:t>
      </w:r>
    </w:p>
    <w:p w14:paraId="1DE61257" w14:textId="77777777" w:rsidR="00AA6026" w:rsidRDefault="00CF7F5B">
      <w:r>
        <w:t>遇到一段介紹時，可以先辨認它正在談什麼：是如何描述概念的通用問題、能交給推理工具的形式規格，還是某個平台整套能力？如果講的是平台，就接著問適用版本、資料如何更新，以及哪個機制真正執行控制。這樣讀文件，比把各家說法拼成一個無所不包的定義更可靠。</w:t>
      </w:r>
    </w:p>
    <w:p w14:paraId="1E5A4FC6" w14:textId="77777777" w:rsidR="00AA6026" w:rsidRDefault="00CF7F5B">
      <w:pPr>
        <w:pStyle w:val="21"/>
      </w:pPr>
      <w:r>
        <w:t>定義一條規則，不等於完成它的全部工作</w:t>
      </w:r>
    </w:p>
    <w:p w14:paraId="09B3334D" w14:textId="77777777" w:rsidR="00AA6026" w:rsidRDefault="00CF7F5B">
      <w:r>
        <w:t>假設我們在模型裡說明「已確認報名會佔用班別名額」。這讓使用者知道某種狀態與名額計算的關聯。但是，資料有沒有漏掉班別、目前還剩多少名額，以及誰能新增報名，各自需要處理。</w:t>
      </w:r>
    </w:p>
    <w:p w14:paraId="3AC3D8AE" w14:textId="77777777" w:rsidR="00AA6026" w:rsidRDefault="00CF7F5B">
      <w:r>
        <w:lastRenderedPageBreak/>
        <w:t>先看推理。若採用能表達相應邏輯的形式規格與工具，系統可以依前提推出某些結論。例如，在已明確約定每位講師都是人的前提下，已知周言青是講師，就可推得他是人。這只表示結論跟著前提成立，不表示工具去現場確認過周言青，更不表示他因此成為工作室員工。[R04]</w:t>
      </w:r>
    </w:p>
    <w:p w14:paraId="065C5E89" w14:textId="77777777" w:rsidR="00AA6026" w:rsidRDefault="00CF7F5B">
      <w:r>
        <w:t>再看資料驗證。工作室可能要求，供報名處理程式使用的每筆紀錄都要有班別識別碼。檢查資料是否符合這項條件，是另一件工作。也有專門的圖式資料驗證規範，處理「給定資料是否符合指定條件」的問題。先知道它的責任即可，具體名稱與語法留到規則章。[R05]</w:t>
      </w:r>
    </w:p>
    <w:p w14:paraId="20A360A6" w14:textId="77777777" w:rsidR="00AA6026" w:rsidRDefault="00CF7F5B">
      <w:r>
        <w:t>至於「只有已確認報名佔位」，是本案例選定的業務政策，要由負責計算的機制正確套用。「這個 AI 只可查詢和建議」，則涉及執行權限，必須由真正處理操作的系統檢查。即使資料通過格式條件，某個使用者也仍可能沒有修改它的權利。</w:t>
      </w:r>
    </w:p>
    <w:p w14:paraId="36BF8098" w14:textId="77777777" w:rsidR="00AA6026" w:rsidRDefault="00CF7F5B">
      <w:r>
        <w:t>推得某個結論、檢查資料條件、套用業務政策、准許某人操作，四者可以合作，甚至被一個平台整合。但要保留各自的問題與驗收方法，才能在出錯時找到負責的環節。把它們全部寫在一份文件裡，不能使四項工作自動完成。</w:t>
      </w:r>
    </w:p>
    <w:p w14:paraId="6BB51B36" w14:textId="77777777" w:rsidR="00AA6026" w:rsidRDefault="00CF7F5B">
      <w:pPr>
        <w:pStyle w:val="21"/>
      </w:pPr>
      <w:r>
        <w:t>從一張能被反駁的定義卡開始</w:t>
      </w:r>
    </w:p>
    <w:p w14:paraId="1DE1D836" w14:textId="77777777" w:rsidR="00AA6026" w:rsidRDefault="00CF7F5B">
      <w:r>
        <w:t>現在試著做一件小事：替「已確認報名」寫一張定義卡。這是本書的教學工作表，不是新的標準。卡片包含名稱、意思、適用範圍、例子、反例與負責人，目的是讓別人可以提出具體問題，而不只點頭說「我大概懂了」。</w:t>
      </w:r>
    </w:p>
    <w:p w14:paraId="7C30512D" w14:textId="77777777" w:rsidR="00AA6026" w:rsidRDefault="00CF7F5B">
      <w:r>
        <w:t>名稱先寫「已確認報名」，不要只寫「正式」。意思是「在指定班別中，依這份案例規則列為已確認狀態、因此佔用名額的報名紀錄」。這句話把對象放在報名紀錄上，也保留班別範圍。它不把人永遠貼成某一種身分，更沒有把付款確認塞進定義。</w:t>
      </w:r>
    </w:p>
    <w:p w14:paraId="64A72913" w14:textId="77777777" w:rsidR="00AA6026" w:rsidRDefault="00CF7F5B">
      <w:r>
        <w:t>適用範圍要寫出這是晨光學習工作室教學案例、POL-001 規則下的名額計算。例子用 E001：它在 S101 是已確認。反例用 E003：它是候補，依此規則不佔位。如果有人拿「曾經上過別班」反駁，也應回答那件事不足以判斷這一筆報名的狀態。</w:t>
      </w:r>
    </w:p>
    <w:p w14:paraId="7BDFB64F" w14:textId="77777777" w:rsidR="00AA6026" w:rsidRDefault="00CF7F5B">
      <w:r>
        <w:t>負責人一欄不能隨便填「AI」。在假設工作流程裡，應指定有權維護名額口徑的教務角色，並交代有歧義時如何處理。這是一項治理設計建議，不代表固定案例裡已任命某位真實負責人。人的責任沒有決定以前，不能靠多寫一個欄位假裝已經有人負責。</w:t>
      </w:r>
    </w:p>
    <w:p w14:paraId="5061F0EE" w14:textId="77777777" w:rsidR="00AA6026" w:rsidRDefault="00CF7F5B">
      <w:r>
        <w:lastRenderedPageBreak/>
        <w:t>這張卡最重要的測試，是換一個人來用。你只給他卡片與案例，請他說明 E002 在付款未知時是否佔位。他應能回答：依固定案例，E002 已確認，因此佔位；付款未知沒有改變這項名額規則。若他仍必須猜「確認是不是代表付過錢」，定義就還需要修。</w:t>
      </w:r>
    </w:p>
    <w:p w14:paraId="5864BA98" w14:textId="77777777" w:rsidR="00AA6026" w:rsidRDefault="00CF7F5B">
      <w:r>
        <w:t>接著反過來問，這張卡能不能判斷 E002 是否符合退款資格。答案是不行，因為它定義的是名額安排，案例也沒有提供退款資格政策。一張有用的定義卡，要讓人知道可以用到哪裡，也能指出從哪裡開始必須找其他依據。</w:t>
      </w:r>
    </w:p>
    <w:p w14:paraId="2B5734C8" w14:textId="77777777" w:rsidR="00AA6026" w:rsidRDefault="00CF7F5B">
      <w:pPr>
        <w:pStyle w:val="21"/>
      </w:pPr>
      <w:r>
        <w:t>定義清楚，也要保留修正的空間</w:t>
      </w:r>
    </w:p>
    <w:p w14:paraId="4B90B525" w14:textId="77777777" w:rsidR="00AA6026" w:rsidRDefault="00CF7F5B">
      <w:r>
        <w:t>名詞一旦有了正式寫法，很容易獲得一種權威感。假如工作室直接規定「學員一律指已付款者」，招生和教務可能被迫繞路：還沒付款但已保留名額的人要叫什麼？過去上過課、這次尚未報名的人又放在哪裡？統一名稱若抹掉工作上需要的差異，模型就可能越整齊、越難用。</w:t>
      </w:r>
    </w:p>
    <w:p w14:paraId="09823A24" w14:textId="77777777" w:rsidR="00AA6026" w:rsidRDefault="00CF7F5B">
      <w:r>
        <w:t>本書在這個假設情境裡的選擇，是保留清楚的限定詞與關係。需要報名數時說報名數，需要收款時看收款紀錄；跨部門使用時，再明確約定如何對應。這不是反對共享定義，而是把共享的範圍放在真正需要協作的地方，不以消除全部差異作為成功指標。</w:t>
      </w:r>
    </w:p>
    <w:p w14:paraId="63FD278E" w14:textId="77777777" w:rsidR="00AA6026" w:rsidRDefault="00CF7F5B">
      <w:r>
        <w:t>維護也因此有了具體內容。若日後政策改成某些候補也暫時佔位，就要回頭檢查定義卡、計算工具、既有答案與教學例子。那會是新政策下的新版本，不能靜悄悄改掉舊定義，再讓人誤以為先前的報表本來就採新口徑。本段是未來變更的假設，沒有改動目前 POL-001。</w:t>
      </w:r>
    </w:p>
    <w:p w14:paraId="01E3606F" w14:textId="77777777" w:rsidR="00AA6026" w:rsidRDefault="00CF7F5B">
      <w:r>
        <w:t>Noy 與 McGuinness 的方法指南要求建模者先問用途、要回答的問題，以及誰使用和維護；也承認設計需要反覆修正。[R02] 對小型工作室而言，可以先把這些問題講清楚，觀察現有文件是否足以維持一致。尚未出現需要更重形式化的理由，就不必把所有日常用詞變成需要專人維護的模型。</w:t>
      </w:r>
    </w:p>
    <w:p w14:paraId="0AF740BE" w14:textId="77777777" w:rsidR="00AA6026" w:rsidRDefault="00CF7F5B">
      <w:r>
        <w:t>最後，試著不用英文向朋友說明：「我們挑出工作上要辨認的對象，把它們的意思、關係與使用條件寫清楚，讓彼此和系統少靠猜測；但這份模型只描述需要的部分，資料對不對、能不能執行，還要分別檢查。」這段話若能配上一個報名例子，就已抓到本章的主要意思。</w:t>
      </w:r>
    </w:p>
    <w:p w14:paraId="4A7B7844" w14:textId="77777777" w:rsidR="00AA6026" w:rsidRDefault="00CF7F5B">
      <w:r>
        <w:t>再做一次分辨練習。有人說「本體是在研究存在」，有人說「本體讓系統共用概念」，還有人說「我們的 Ontology 能操作企業流程」。第一句落在哲學問題，第二句是知識工程用途，第三句必須回到特定平台及其實作查證。能指出三者的語境，卻不把任何一句直接套到另外兩句上，才算通過。</w:t>
      </w:r>
    </w:p>
    <w:p w14:paraId="7DC19EDC" w14:textId="77777777" w:rsidR="00AA6026" w:rsidRDefault="00CF7F5B">
      <w:r>
        <w:lastRenderedPageBreak/>
        <w:t>現在我們有了可以使用、也可以質問的第一個理解。本體可以由文件承載，可以用圖輔助說明，也可以在軟體中實作；關鍵在於它明確約定了哪些概念、關係與範圍。下一章就從這些對象開始：一門課、一次開班與一筆報名，究竟為什麼要分開描述？</w:t>
      </w:r>
    </w:p>
    <w:p w14:paraId="07F84A7F" w14:textId="77777777" w:rsidR="00AA6026" w:rsidRDefault="00CF7F5B">
      <w:pPr>
        <w:pStyle w:val="21"/>
      </w:pPr>
      <w:r>
        <w:t>章末金句</w:t>
      </w:r>
    </w:p>
    <w:p w14:paraId="5B4EA541" w14:textId="77777777" w:rsidR="00AA6026" w:rsidRDefault="00CF7F5B">
      <w:pPr>
        <w:ind w:left="312" w:hanging="312"/>
      </w:pPr>
      <w:r>
        <w:t>1. 暫不建模，不表示那件事在現實中不重要。</w:t>
      </w:r>
    </w:p>
    <w:p w14:paraId="73269483" w14:textId="77777777" w:rsidR="00AA6026" w:rsidRDefault="00CF7F5B">
      <w:pPr>
        <w:ind w:left="312" w:hanging="312"/>
      </w:pPr>
      <w:r>
        <w:t>2. 把幾個名詞放在一起，還沒有說清楚它們如何共同工作。</w:t>
      </w:r>
    </w:p>
    <w:p w14:paraId="2A1C66FE" w14:textId="77777777" w:rsidR="00AA6026" w:rsidRDefault="00CF7F5B">
      <w:pPr>
        <w:ind w:left="312" w:hanging="312"/>
      </w:pPr>
      <w:r>
        <w:t>3. 圖上的線如果任人解讀，只是把模糊句子換成模糊圖像。</w:t>
      </w:r>
    </w:p>
    <w:p w14:paraId="1EA7EC6D" w14:textId="77777777" w:rsidR="00AA6026" w:rsidRDefault="00CF7F5B">
      <w:pPr>
        <w:ind w:left="312" w:hanging="312"/>
      </w:pPr>
      <w:r>
        <w:t>4. 平台包進了哪些功能，不能回填成所有本體的共同定義。</w:t>
      </w:r>
    </w:p>
    <w:p w14:paraId="2B25D662" w14:textId="77777777" w:rsidR="00AA6026" w:rsidRDefault="00CF7F5B">
      <w:pPr>
        <w:ind w:left="312" w:hanging="312"/>
      </w:pPr>
      <w:r>
        <w:t>5. 有用的定義，要容許別人拿反例來問。</w:t>
      </w:r>
    </w:p>
    <w:p w14:paraId="659E3DB3" w14:textId="77777777" w:rsidR="00AA6026" w:rsidRDefault="00CF7F5B">
      <w:pPr>
        <w:ind w:left="312" w:hanging="312"/>
      </w:pPr>
      <w:r>
        <w:t>6. 人的責任沒有決定，不能靠多寫一個欄位假裝有人負責。</w:t>
      </w:r>
    </w:p>
    <w:p w14:paraId="02B1DC8A" w14:textId="77777777" w:rsidR="00AA6026" w:rsidRDefault="00CF7F5B">
      <w:pPr>
        <w:pStyle w:val="21"/>
      </w:pPr>
      <w:r>
        <w:t>來源與查核附註</w:t>
      </w:r>
    </w:p>
    <w:p w14:paraId="7C664BCF" w14:textId="264631C4" w:rsidR="00AA6026" w:rsidRDefault="00CF7F5B">
      <w:pPr>
        <w:pStyle w:val="a0"/>
      </w:pPr>
      <w:r>
        <w:t>R01：</w:t>
      </w:r>
      <w:hyperlink r:id="rId8">
        <w:r>
          <w:rPr>
            <w:color w:val="245D74"/>
          </w:rPr>
          <w:t>Gruber 作者 PDF</w:t>
        </w:r>
      </w:hyperlink>
      <w:r>
        <w:t>，KSL 92-71，1993 年 4 月修訂，§1–2，PDF 第 2–6 頁。支持領域簡化、明確規格與共享內容約定；哲學說明只限於其 §1 的詞源區別。工作室案例為本書創作，不取自論文。</w:t>
      </w:r>
    </w:p>
    <w:p w14:paraId="7B772E72" w14:textId="27EEB62B" w:rsidR="00AA6026" w:rsidRDefault="00CF7F5B">
      <w:pPr>
        <w:pStyle w:val="a0"/>
      </w:pPr>
      <w:r>
        <w:t>R02：</w:t>
      </w:r>
      <w:hyperlink r:id="rId9">
        <w:r>
          <w:rPr>
            <w:color w:val="245D74"/>
          </w:rPr>
          <w:t>Noy／McGuinness 方法指南</w:t>
        </w:r>
      </w:hyperlink>
      <w:r>
        <w:t>，2001；§1–3、Step 1 的用途／維護者及迭代原則。方法建議，不是企業導入效果實驗。</w:t>
      </w:r>
    </w:p>
    <w:p w14:paraId="263DD210" w14:textId="2AE055A6" w:rsidR="00AA6026" w:rsidRDefault="00CF7F5B">
      <w:pPr>
        <w:pStyle w:val="a0"/>
      </w:pPr>
      <w:r>
        <w:t>R04：</w:t>
      </w:r>
      <w:hyperlink r:id="rId10">
        <w:r>
          <w:rPr>
            <w:color w:val="245D74"/>
          </w:rPr>
          <w:t>OWL 2 Primer 第二版</w:t>
        </w:r>
      </w:hyperlink>
      <w:r>
        <w:t>，2012-12-11，§2–3、§4.1–4.2。本章只使用形式描述、推論與前提的邊界；本體不限於 OWL，未執行推理器。</w:t>
      </w:r>
    </w:p>
    <w:p w14:paraId="2CB07306" w14:textId="44FBEF7A" w:rsidR="00AA6026" w:rsidRDefault="00CF7F5B">
      <w:pPr>
        <w:pStyle w:val="a0"/>
      </w:pPr>
      <w:r>
        <w:t>R05：</w:t>
      </w:r>
      <w:hyperlink r:id="rId11">
        <w:r>
          <w:rPr>
            <w:color w:val="245D74"/>
          </w:rPr>
          <w:t>SHACL 2017 規範</w:t>
        </w:r>
      </w:hyperlink>
      <w:r>
        <w:t>，Abstract；其英文全名為 Shapes Constraint Language，中文可稱形狀約束語言，用來描述並驗證圖式資料條件。本章只辨責任，實作留第 8 章。</w:t>
      </w:r>
    </w:p>
    <w:p w14:paraId="08398466" w14:textId="0D6E060E" w:rsidR="00AA6026" w:rsidRDefault="00CF7F5B">
      <w:pPr>
        <w:pStyle w:val="a0"/>
      </w:pPr>
      <w:r>
        <w:t>R14：</w:t>
      </w:r>
      <w:hyperlink r:id="rId12">
        <w:r>
          <w:rPr>
            <w:color w:val="245D74"/>
          </w:rPr>
          <w:t>Microsoft Fabric ontology overview</w:t>
        </w:r>
      </w:hyperlink>
      <w:r>
        <w:t>，Overview／Core concepts；本輪 2026-09-28 所讀仍標 preview，頁尾更新日 2026-07-21。未登入租戶或實測。</w:t>
      </w:r>
    </w:p>
    <w:p w14:paraId="21990104" w14:textId="61B7F6B0" w:rsidR="00AA6026" w:rsidRDefault="00CF7F5B">
      <w:pPr>
        <w:pStyle w:val="a0"/>
        <w:keepNext/>
      </w:pPr>
      <w:r>
        <w:lastRenderedPageBreak/>
        <w:t>R16：</w:t>
      </w:r>
      <w:hyperlink r:id="rId13">
        <w:r>
          <w:rPr>
            <w:color w:val="245D74"/>
          </w:rPr>
          <w:t>Palantir Why create an Ontology?</w:t>
        </w:r>
      </w:hyperlink>
      <w:r>
        <w:t>，Understanding the value／Security；查閱 2026-09-28，未核定版本號。四項整合只屬供應商自述，不作通用定義或實測安全證明。</w:t>
      </w:r>
    </w:p>
    <w:p w14:paraId="05C8C6A1" w14:textId="77777777" w:rsidR="00AA6026" w:rsidRDefault="00CF7F5B">
      <w:pPr>
        <w:pStyle w:val="a0"/>
      </w:pPr>
      <w:r>
        <w:t>案例：SNAP-001／POL-001 不變。政策變更、部門口徑與責任角色是明示假設或本書建議；沒有新增固定資料列、真人經歷或實際核准紀錄。</w:t>
      </w:r>
    </w:p>
    <w:sectPr w:rsidR="00AA6026" w:rsidSect="00034616">
      <w:footerReference w:type="default" r:id="rId14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405B" w14:textId="77777777" w:rsidR="002206E1" w:rsidRDefault="002206E1">
      <w:pPr>
        <w:spacing w:after="0" w:line="240" w:lineRule="auto"/>
      </w:pPr>
      <w:r>
        <w:separator/>
      </w:r>
    </w:p>
  </w:endnote>
  <w:endnote w:type="continuationSeparator" w:id="0">
    <w:p w14:paraId="02A5E800" w14:textId="77777777" w:rsidR="002206E1" w:rsidRDefault="00220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8039" w14:textId="77777777" w:rsidR="00AA6026" w:rsidRDefault="00CF7F5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33A75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3314" w14:textId="77777777" w:rsidR="002206E1" w:rsidRDefault="002206E1">
      <w:pPr>
        <w:spacing w:after="0" w:line="240" w:lineRule="auto"/>
      </w:pPr>
      <w:r>
        <w:separator/>
      </w:r>
    </w:p>
  </w:footnote>
  <w:footnote w:type="continuationSeparator" w:id="0">
    <w:p w14:paraId="79E5C8CD" w14:textId="77777777" w:rsidR="002206E1" w:rsidRDefault="00220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383694">
    <w:abstractNumId w:val="8"/>
  </w:num>
  <w:num w:numId="2" w16cid:durableId="1689062015">
    <w:abstractNumId w:val="6"/>
  </w:num>
  <w:num w:numId="3" w16cid:durableId="848834396">
    <w:abstractNumId w:val="5"/>
  </w:num>
  <w:num w:numId="4" w16cid:durableId="508133183">
    <w:abstractNumId w:val="4"/>
  </w:num>
  <w:num w:numId="5" w16cid:durableId="323512107">
    <w:abstractNumId w:val="7"/>
  </w:num>
  <w:num w:numId="6" w16cid:durableId="723141813">
    <w:abstractNumId w:val="3"/>
  </w:num>
  <w:num w:numId="7" w16cid:durableId="1419862898">
    <w:abstractNumId w:val="2"/>
  </w:num>
  <w:num w:numId="8" w16cid:durableId="1338003768">
    <w:abstractNumId w:val="1"/>
  </w:num>
  <w:num w:numId="9" w16cid:durableId="189832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32"/>
    <w:rsid w:val="0006063C"/>
    <w:rsid w:val="0013372D"/>
    <w:rsid w:val="0015074B"/>
    <w:rsid w:val="002206E1"/>
    <w:rsid w:val="0029639D"/>
    <w:rsid w:val="00326F90"/>
    <w:rsid w:val="00425C66"/>
    <w:rsid w:val="00690045"/>
    <w:rsid w:val="009569A7"/>
    <w:rsid w:val="00AA1D8D"/>
    <w:rsid w:val="00AA6026"/>
    <w:rsid w:val="00B47730"/>
    <w:rsid w:val="00CB0664"/>
    <w:rsid w:val="00CF7F5B"/>
    <w:rsid w:val="00E33A75"/>
    <w:rsid w:val="00E64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CB3A3D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gruber.org/writing/ontolingua-kaj-1993.pdf" TargetMode="External"/><Relationship Id="rId13" Type="http://schemas.openxmlformats.org/officeDocument/2006/relationships/hyperlink" Target="https://www.palantir.com/docs/foundry/ontology/why-ontolog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fabric/iq/ontology/overview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TR/2017/REC-shacl-2017072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w3.org/TR/2012/REC-owl2-primer-2012121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tege.stanford.edu/publications/ontology_development/ontology101-noy-mcguinness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2903</Words>
  <Characters>3137</Characters>
  <Application>Microsoft Office Word</Application>
  <DocSecurity>0</DocSecurity>
  <Lines>92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2 章｜本體這個名字，到底在說什麼？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