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ABB7" w14:textId="77777777" w:rsidR="00C812F0" w:rsidRDefault="00320B1B">
      <w:pPr>
        <w:pStyle w:val="aa"/>
      </w:pPr>
      <w:r>
        <w:t>第</w:t>
      </w:r>
      <w:r>
        <w:t xml:space="preserve"> 3 </w:t>
      </w:r>
      <w:r>
        <w:t>章｜把人、事、物說清楚：類別、個體與關係</w:t>
      </w:r>
    </w:p>
    <w:p w14:paraId="55406851" w14:textId="77777777" w:rsidR="00C812F0" w:rsidRDefault="00320B1B">
      <w:r>
        <w:t>假設晨光學習工作室收到一通電話：「我的 AI 基礎應用想換時間。」同事打開資料，發現這門課有兩個班。來電者要改的是課程內容、某一班的上課時間，還是把自己從一班移到另一班？如果三件事都放在一個叫作「課程」的欄位裡，這句日常用語就可能引起完全不同的操作。</w:t>
      </w:r>
    </w:p>
    <w:p w14:paraId="22EEC74A" w14:textId="77777777" w:rsidR="00C812F0" w:rsidRDefault="00320B1B">
      <w:r>
        <w:t>先把電話留在假設情境，回到我們已有的資料。C101 是「AI 基礎應用」這門課。S101 是十月十五日的班別，S102 是十月十七日的班別。E001 則是 P001 對 S101 的一筆報名。三種編號不是為了讓事情顯得專業，而是幫我們把「究竟在說哪一件事」留住。</w:t>
      </w:r>
    </w:p>
    <w:p w14:paraId="3D602FE2" w14:textId="77777777" w:rsidR="00C812F0" w:rsidRDefault="00320B1B">
      <w:r>
        <w:t>如果明天只調整 S101 的時間，C101 仍可以是同一門課，S102 也不因此改期。如果某個人取消一筆報名，那筆紀錄的狀態可能改變，卻不表示整班取消，更不表示這門課從此消失。辨認哪些事可以各自改變，是拆開對象的第一個理由。本章要學的幾個名詞，都是為了把這個理由說得更精確。</w:t>
      </w:r>
    </w:p>
    <w:p w14:paraId="2E19CE50" w14:textId="77777777" w:rsidR="00C812F0" w:rsidRDefault="00320B1B">
      <w:pPr>
        <w:pStyle w:val="21"/>
      </w:pPr>
      <w:r>
        <w:t>先辨認一種東西，再指向其中一個</w:t>
      </w:r>
    </w:p>
    <w:p w14:paraId="2F0CAB68" w14:textId="77777777" w:rsidR="00C812F0" w:rsidRDefault="00320B1B">
      <w:r>
        <w:t>把具有我們關心之共同特性的對象歸成一種，這種概念稱為「類別」（Class）。例如「班別」指的是可以安排上課時間、名額及授課人的一類對象。「S101」則指向這次要談的某一班。可以被單獨指認的具體對象，在這裡稱為「個體」（Individual）。類別告訴我們在談哪一種，個體告訴我們是哪一個。[R02、R04]</w:t>
      </w:r>
    </w:p>
    <w:p w14:paraId="14186E2E" w14:textId="77777777" w:rsidR="00C812F0" w:rsidRDefault="00320B1B">
      <w:r>
        <w:t>這裡的「具體」不只指摸得到。報名紀錄不像椅子那樣放在房間裡，但 E001 仍是一筆可以與 E002 分辨的報名。課程也可以是個體：在目前範圍中，「課程」是一種類別，「AI 基礎應用 C101」就是其中一門。我們不是拿抽象與實體物品做二分，而是在選定模型中分辨種類與被指認的對象。</w:t>
      </w:r>
    </w:p>
    <w:p w14:paraId="0847936F" w14:textId="77777777" w:rsidR="00C812F0" w:rsidRDefault="00320B1B">
      <w:r>
        <w:t>請試著讀兩句話。「S101 是一個班別」是在替一個個體歸類；「班別開設某門課程」則是在描述兩種對象可以如何連接。兩句話都很短，作用卻不相同。若把 S101 直接放成「課程」下面的一種課程類型，就會把十月的一次安排，混成課程內容的一種分類。</w:t>
      </w:r>
    </w:p>
    <w:p w14:paraId="3CEFD00F" w14:textId="77777777" w:rsidR="00C812F0" w:rsidRDefault="00320B1B">
      <w:r>
        <w:t>也不要看到一個名詞就替它建立類別。「三人」出現在名額裡，不表示我們需要一種叫作三人的對象；「已確認」出現在報名狀態裡，也不表示現在非得為它設計整套身分。模型的細緻程度，</w:t>
      </w:r>
      <w:r>
        <w:lastRenderedPageBreak/>
        <w:t>要看我們打算對它提出什麼問題。這一章先以課程、班別、人、報名、付款五種對象支撐討論，其餘選擇留出調整空間。</w:t>
      </w:r>
    </w:p>
    <w:p w14:paraId="570D94E8" w14:textId="77777777" w:rsidR="00C812F0" w:rsidRDefault="00320B1B">
      <w:pPr>
        <w:pStyle w:val="21"/>
      </w:pPr>
      <w:r>
        <w:t>一個值，和另一個對象，怎麼分</w:t>
      </w:r>
    </w:p>
    <w:p w14:paraId="3F1670BB" w14:textId="77777777" w:rsidR="00C812F0" w:rsidRDefault="00320B1B">
      <w:r>
        <w:t>我們用來描述對象的特徵，統稱為「屬性」（Property）。其中有些特徵是文字、日期或數值，例如班別的開始時間與容量；有些則指向另一個需要辨認的對象，例如班別由哪一位人員授課。在常見的形式本體表達中，指向資料值與指向個體的屬性會區別處理。[R04]</w:t>
      </w:r>
    </w:p>
    <w:p w14:paraId="5AEF97B7" w14:textId="77777777" w:rsidR="00C812F0" w:rsidRDefault="00320B1B">
      <w:r>
        <w:t>以 S101 為例，「容量是三」帶來一個數值，「授課人是 P010」帶來另一個對象。後者不只是存下一串字。P010 指向周言青，而我們還可能需要問這個人的其他授課安排，或工作室與他的合作身分。只在每個班別裡打一次「周言青」，會讓後續比對依賴文字是否剛好一致。</w:t>
      </w:r>
    </w:p>
    <w:p w14:paraId="349C22E5" w14:textId="77777777" w:rsidR="00C812F0" w:rsidRDefault="00320B1B">
      <w:r>
        <w:t>這也說明姓名與人的差別。固定資料裡，P001 和 P003 都叫林沐安，但它們代表不同的人。「林沐安」是姓名文字，不能獨自決定身分。若系統用姓名把他們併成同一人，後面所有看似正確的連接，都可能接錯對象。本案例已明確約定兩者不同；這是案例的身分規則，不表示把兩個名稱交給任何形式推理工具，工具就必然自動認定他們不同。[R04、R08]</w:t>
      </w:r>
    </w:p>
    <w:p w14:paraId="64F375BE" w14:textId="77777777" w:rsidR="00C812F0" w:rsidRDefault="00320B1B">
      <w:r>
        <w:t>有時一件事可以先當值，以後才獨立成對象。S101 的教室寫成「教室 A」，在只顯示上課地點時可能足夠。若將來要檢查教室設備、可容納人數及時間衝突，就可能值得建立可辨認的教室對象。這是增加了問題之後的設計選擇，不是原有字串天生錯誤，也不是本章已經替案例新增了教室資料。</w:t>
      </w:r>
    </w:p>
    <w:p w14:paraId="6AF8EFF5" w14:textId="77777777" w:rsidR="00C812F0" w:rsidRDefault="00320B1B">
      <w:r>
        <w:t>反過來，把所有文字都變成獨立對象，也未必有益。假設連「備註」裡每個形容詞都建立一張卡和一條關係，讀者可能得翻好幾層才看懂一句提醒。細拆需要換來可回答的問題、可檢查的區別，否則只是增加維護負擔。本書的判斷原則是：先指出拆分能防止哪一種具體誤解，再決定是否值得做。</w:t>
      </w:r>
    </w:p>
    <w:p w14:paraId="6B1A8675" w14:textId="77777777" w:rsidR="00C812F0" w:rsidRDefault="00320B1B">
      <w:pPr>
        <w:pStyle w:val="21"/>
      </w:pPr>
      <w:r>
        <w:t>關係是一句話，箭頭要能讀出意思</w:t>
      </w:r>
    </w:p>
    <w:p w14:paraId="73A52B77" w14:textId="77777777" w:rsidR="00C812F0" w:rsidRDefault="00320B1B">
      <w:r>
        <w:t>當一個對象以特定意義連到另一個對象，我們就說它們有一項「關係」（Relationship）。畫圖時，箭頭應能被讀成句子：「S101 開設 C101」「E001 的報名人是 P001」「E001 所屬班別是 S101」。從哪裡出發、指向哪裡，以及箭頭上的動詞，共同決定這句話的意思。</w:t>
      </w:r>
    </w:p>
    <w:p w14:paraId="228162E7" w14:textId="77777777" w:rsidR="00C812F0" w:rsidRDefault="00320B1B">
      <w:r>
        <w:lastRenderedPageBreak/>
        <w:t>若你把箭頭改成「有關」，圖仍然連得起來，資訊卻少了。P001 與 S101 有關，可能因為報名、授課、詢問，甚至只是幫朋友轉寄訊息。AI 看到一條沒有明確意義的線，也不能因此可靠地知道是哪一種。圖的整齊程度，無法補回省略掉的動詞。</w:t>
      </w:r>
    </w:p>
    <w:p w14:paraId="58BBF655" w14:textId="77777777" w:rsidR="00C812F0" w:rsidRDefault="00320B1B">
      <w:r>
        <w:t>反向閱讀也要小心。「E001 的報名人是 P001」可以換成「P001 有 E001 這筆報名」，但兩種說法之間的對應必須由我們說清楚。不能把原句倒過來讀成「P001 的報名人是 E001」。兩端互換，關係名稱卻不改，會把人與紀錄的責任顛倒。</w:t>
      </w:r>
    </w:p>
    <w:p w14:paraId="3DE6007B" w14:textId="77777777" w:rsidR="00C812F0" w:rsidRDefault="00320B1B">
      <w:r>
        <w:t>尤其不要把每一條線都理解成上下位。「講師是一種人」在適當定義下可以表達類別包含；「講師教授班別」描述授課關係；「班別開設課程」又是另一種關係。若把後兩者也當成「是一種」，就會得出講師是一種班別、班別是一種課程的古怪說法。畫完圖後逐條朗讀，是非常便宜、卻能抓出這類錯誤的檢查。</w:t>
      </w:r>
    </w:p>
    <w:p w14:paraId="3BAD5436" w14:textId="77777777" w:rsidR="00C812F0" w:rsidRDefault="00320B1B">
      <w:r>
        <w:t>關係方向不表示只能單向查詢。你仍可以從班別找報名，也可以從人找其報名。方向是在交代陳述如何解讀，至於系統如何提供查詢，另由實作處理。現在不必學語法，只要能說出從某個人經過哪筆報名，才到達哪個班別。</w:t>
      </w:r>
    </w:p>
    <w:p w14:paraId="03847A2E" w14:textId="77777777" w:rsidR="00C812F0" w:rsidRDefault="00320B1B">
      <w:pPr>
        <w:pStyle w:val="21"/>
      </w:pPr>
      <w:r>
        <w:t>為什麼報名值得有自己的身分</w:t>
      </w:r>
    </w:p>
    <w:p w14:paraId="0C4FF308" w14:textId="77777777" w:rsidR="00C812F0" w:rsidRDefault="00320B1B">
      <w:r>
        <w:t>一張簡圖可能只畫「人——報名——班別」，把報名當作線上的動詞。這在只問「是否曾有關聯」時有用；但晨光工作室需要分辨已確認、候補與取消，還要接到相應付款。此時，讓報名成為可以單獨指認的紀錄，就有了具體好處。</w:t>
      </w:r>
    </w:p>
    <w:p w14:paraId="722B35D9" w14:textId="77777777" w:rsidR="00C812F0" w:rsidRDefault="00320B1B">
      <w:r>
        <w:t>固定資料中，P001 對 S101 有 E001 與 E005 兩筆紀錄：前者已確認，後者已取消。它們不是因為兩端相同就應被去除的重複線。若只留下「P001 報名 S101」，我們無法把兩筆不同狀態分別保存，也很難說明付款 PAY001 究竟對應哪一筆。PAY001 在案例裡對應的是 E001。</w:t>
      </w:r>
    </w:p>
    <w:p w14:paraId="7EBDABA8" w14:textId="77777777" w:rsidR="00C812F0" w:rsidRDefault="00320B1B">
      <w:r>
        <w:t>這裡同時要克制一種敘事衝動。我們沒有這兩筆報名的完整歷程，不能說成「林沐安先取消、後來重新報名」，也不能倒過來說。已有資料足以區分兩筆身分與目前記載的狀態，不足以重建事情發生的順序。模型分得清，不代表資料已經把故事交代完整。</w:t>
      </w:r>
    </w:p>
    <w:p w14:paraId="4D6F468A" w14:textId="77777777" w:rsidR="00C812F0" w:rsidRDefault="00320B1B">
      <w:r>
        <w:t>報名與付款分開，也能防止把兩種狀態黏在一起。E002 是已確認報名，但目前付款資料沒有提供它的付款紀錄。既然這份付款資料未宣告完整，就只能說付款狀態未知。若把報名狀態一律改寫成「已繳費／未繳費」，不但套錯業務規則，也會讓已確認且佔位的人從名額計算裡消失。</w:t>
      </w:r>
    </w:p>
    <w:p w14:paraId="40F1F55F" w14:textId="77777777" w:rsidR="00C812F0" w:rsidRDefault="00320B1B">
      <w:r>
        <w:lastRenderedPageBreak/>
        <w:t>有人可能提出另一個合理實作：把狀態、編號等資訊存在線的屬性上，不另外畫報名節點。這並非一律不可行。要檢查的是，選定的系統能否區分同一人同一班的不同報名、讓付款精確指向其中一筆，以及保留需要的歷程。本書把報名畫成對象，是為了使這些要求容易說清楚；不是宣告所有圖模型都只能這樣存。</w:t>
      </w:r>
    </w:p>
    <w:p w14:paraId="1D5F242A" w14:textId="77777777" w:rsidR="00C812F0" w:rsidRDefault="00320B1B">
      <w:r>
        <w:t>同樣地，報名紀錄可能描述一項申請及其後續狀態，卻不是天然完整的事件日誌。若要回答何時確認、誰取消、經過哪些步驟，就要補上相應時間與歷程資料。先承認現在只有狀態快照，能避免讀者以為多畫一個框就同時得到稽核軌跡。</w:t>
      </w:r>
    </w:p>
    <w:p w14:paraId="65FB3340" w14:textId="77777777" w:rsidR="00C812F0" w:rsidRDefault="00320B1B">
      <w:pPr>
        <w:pStyle w:val="21"/>
      </w:pPr>
      <w:r>
        <w:t>人可以扮演多種角色</w:t>
      </w:r>
    </w:p>
    <w:p w14:paraId="70EA0FD7" w14:textId="77777777" w:rsidR="00C812F0" w:rsidRDefault="00320B1B">
      <w:r>
        <w:t>現在看另一種常見混淆：把工作上的角色當成一個人永遠不變的種類。固定案例的 P010 周言青擔任講師，合作身分是外部承攬者。若模型規定所有講師都是受雇員工，這位講師就會被錯誤納入員工範圍，或在另有互斥條件時造成矛盾。問題出在我們加入了案例不支持的包含關係。</w:t>
      </w:r>
    </w:p>
    <w:p w14:paraId="5E6E9308" w14:textId="77777777" w:rsidR="00C812F0" w:rsidRDefault="00320B1B">
      <w:r>
        <w:t>「講師是一種人」與「講師一定是員工」是不同承諾。前一句在本例中適用，後一句卻跨過了授課與僱用的界線。也不能只是因為講師使用了工作室信箱，就由信箱格式替僱用關係做結論。真正要描述受雇關係時，應另外取得它的依據與範圍。</w:t>
      </w:r>
    </w:p>
    <w:p w14:paraId="530B7159" w14:textId="77777777" w:rsidR="00C812F0" w:rsidRDefault="00320B1B">
      <w:r>
        <w:t>再想一個清楚標示為延伸假設的情境：一位講師也報名了別人教授的課。這不需要把同一個人複製成兩個人；他可以在不同安排中同時扮演講師與學員。固定資料並沒有記載 P010 報名任何班，這個假設只是用來測試模型是否容得下角色重疊。[R02、R04]</w:t>
      </w:r>
    </w:p>
    <w:p w14:paraId="79083C32" w14:textId="77777777" w:rsidR="00C812F0" w:rsidRDefault="00320B1B">
      <w:r>
        <w:t>初學時可以先把角色列在人的描述裡，但若問題會問「在哪一班、哪個期間擔任什麼」，角色就需要連同情境表達。例如「某人教授某班」比孤立的一個講師標籤，保留了更多與排課有關的意思。角色類別與情境關係可以並用，哪一個足夠，要回到任務判斷。</w:t>
      </w:r>
    </w:p>
    <w:p w14:paraId="4BFA3456" w14:textId="77777777" w:rsidR="00C812F0" w:rsidRDefault="00320B1B">
      <w:r>
        <w:t>這也是一項反例測試：倘若模型一看到講師就禁止他成為學員，它必須說明禁止來自哪條真實政策，而不是用圖畫得比較工整當理由。明確規則有時確實禁止角色兼任，但沒有那條規則時，不應擅自製造限制。</w:t>
      </w:r>
    </w:p>
    <w:p w14:paraId="58B6AFEA" w14:textId="77777777" w:rsidR="00C812F0" w:rsidRDefault="00320B1B">
      <w:pPr>
        <w:pStyle w:val="21"/>
      </w:pPr>
      <w:r>
        <w:lastRenderedPageBreak/>
        <w:t>把第一張模型說給別人聽</w:t>
      </w:r>
    </w:p>
    <w:p w14:paraId="73879AB1" w14:textId="77777777" w:rsidR="00C812F0" w:rsidRDefault="00320B1B">
      <w:r>
        <w:t>現在取一張紙，先寫下五種對象：人、課程、班別、報名與付款。這是概念層。再在旁邊寫出一組具體對象：P001、C101、S101、E001、PAY001。不要用前一列取代後一列，也不要讓編號多寡誤導你，以為已有多少種業務概念。</w:t>
      </w:r>
    </w:p>
    <w:p w14:paraId="34466DB7" w14:textId="77777777" w:rsidR="00C812F0" w:rsidRDefault="00320B1B">
      <w:r>
        <w:t>接著用中文把它們接起來。E001 的報名人是 P001，E001 所屬班別是 S101，S101 開設 C101，PAY001 對應 E001。若把講師加入，S101 的授課人是 P010。每個句子都有可辨認的起點、關係與終點，別人可以沿著句子提出問題，也可以指出某一條接錯了。</w:t>
      </w:r>
    </w:p>
    <w:p w14:paraId="0CEBD13D" w14:textId="77777777" w:rsidR="00C812F0" w:rsidRDefault="00320B1B">
      <w:r>
        <w:t>再把適合的值放回對象：S101 的容量是三、E001 的狀態是已確認、PAY001 的金額是三千且幣別是新臺幣。容量沒有寫在 C101 上，因為同門課的兩班容量不同；報名狀態沒有貼在人身上，因為同一個人可以有不同報名。這一步不只是在填欄位，而是在驗證每個描述到底屬於誰。</w:t>
      </w:r>
    </w:p>
    <w:p w14:paraId="4DC6B6C6" w14:textId="77777777" w:rsidR="00C812F0" w:rsidRDefault="00320B1B">
      <w:r>
        <w:t>最後請另一個人故意搗亂。他可以問：「既然 E005 已取消，為什麼不能把報名人 P001 刪掉？」你應能說明人與報名各有身分，而且 E001 仍是另一筆紀錄。他也可以問：「兩個林沐安為何不能併？」你要指向固定案例的不同人員識別，而非以姓名猜測。他若問「這張圖能保證退款安全嗎」，你則應指出這張圖沒有執行核准或付款操作。</w:t>
      </w:r>
    </w:p>
    <w:p w14:paraId="5B5EAAD0" w14:textId="77777777" w:rsidR="00C812F0" w:rsidRDefault="00320B1B">
      <w:r>
        <w:t>如果這些問題讓模型暴露出缺口，那正是練習的價值。類別、個體、屬性與關係不必一次背熟；當你能說明改期改的是誰、取消影響哪筆紀錄，以及一條線究竟代表什麼，就已經在使用它們。下一章要把這份理解帶回既有系統：同樣的意思，可以放在資料表、詞彙卡或關係圖裡，它們各自替我們承擔什麼工作？</w:t>
      </w:r>
    </w:p>
    <w:p w14:paraId="59CBC215" w14:textId="77777777" w:rsidR="00C812F0" w:rsidRDefault="00320B1B">
      <w:pPr>
        <w:pStyle w:val="21"/>
      </w:pPr>
      <w:r>
        <w:t>章末金句</w:t>
      </w:r>
    </w:p>
    <w:p w14:paraId="78E17545" w14:textId="77777777" w:rsidR="00C812F0" w:rsidRDefault="00320B1B">
      <w:pPr>
        <w:ind w:left="312" w:hanging="312"/>
      </w:pPr>
      <w:r>
        <w:t>1. 辨認哪些事可以各自改變，是拆開對象的第一個理由。</w:t>
      </w:r>
    </w:p>
    <w:p w14:paraId="7C5CC981" w14:textId="77777777" w:rsidR="00C812F0" w:rsidRDefault="00320B1B">
      <w:pPr>
        <w:ind w:left="312" w:hanging="312"/>
      </w:pPr>
      <w:r>
        <w:t>2. 類別告訴我們在談哪一種，個體告訴我們是哪一個。</w:t>
      </w:r>
    </w:p>
    <w:p w14:paraId="0EAB5A5E" w14:textId="77777777" w:rsidR="00C812F0" w:rsidRDefault="00320B1B">
      <w:pPr>
        <w:ind w:left="312" w:hanging="312"/>
      </w:pPr>
      <w:r>
        <w:t>3. 圖的整齊程度，無法補回省略掉的動詞。</w:t>
      </w:r>
    </w:p>
    <w:p w14:paraId="5EB68F67" w14:textId="77777777" w:rsidR="00C812F0" w:rsidRDefault="00320B1B">
      <w:pPr>
        <w:ind w:left="312" w:hanging="312"/>
      </w:pPr>
      <w:r>
        <w:t>4. 模型分得清，不代表資料已經把故事交代完整。</w:t>
      </w:r>
    </w:p>
    <w:p w14:paraId="1CA858A8" w14:textId="77777777" w:rsidR="00C812F0" w:rsidRDefault="00320B1B">
      <w:pPr>
        <w:ind w:left="312" w:hanging="312"/>
      </w:pPr>
      <w:r>
        <w:t>5. 一個人可以有多種角色，不必為每個角色複製一個人。</w:t>
      </w:r>
    </w:p>
    <w:p w14:paraId="015DF0A3" w14:textId="77777777" w:rsidR="00C812F0" w:rsidRDefault="00320B1B">
      <w:pPr>
        <w:ind w:left="312" w:hanging="312"/>
      </w:pPr>
      <w:r>
        <w:t>6. 每個描述放在哪裡，都應能回答它到底屬於誰。</w:t>
      </w:r>
    </w:p>
    <w:p w14:paraId="0BE55B42" w14:textId="77777777" w:rsidR="00C812F0" w:rsidRDefault="00320B1B">
      <w:pPr>
        <w:pStyle w:val="21"/>
      </w:pPr>
      <w:r>
        <w:lastRenderedPageBreak/>
        <w:t>來源與查核附註</w:t>
      </w:r>
    </w:p>
    <w:p w14:paraId="78EAB5BC" w14:textId="246201CA" w:rsidR="00C812F0" w:rsidRDefault="00320B1B">
      <w:pPr>
        <w:pStyle w:val="a0"/>
      </w:pPr>
      <w:r>
        <w:t>R02：</w:t>
      </w:r>
      <w:hyperlink r:id="rId8">
        <w:r>
          <w:rPr>
            <w:color w:val="245D74"/>
          </w:rPr>
          <w:t>Noy／McGuinness，Ontology Development 101</w:t>
        </w:r>
      </w:hyperlink>
      <w:r>
        <w:t>，2001，Step 4–5 及 §3 設計非唯一／迭代原則。支援入門建模區分；本章五類模型是本書案例設計。</w:t>
      </w:r>
    </w:p>
    <w:p w14:paraId="5F4AF2EE" w14:textId="05A2C697" w:rsidR="00C812F0" w:rsidRDefault="00320B1B">
      <w:pPr>
        <w:pStyle w:val="a0"/>
      </w:pPr>
      <w:r>
        <w:t>R04：</w:t>
      </w:r>
      <w:hyperlink r:id="rId9">
        <w:r>
          <w:rPr>
            <w:color w:val="245D74"/>
          </w:rPr>
          <w:t>OWL 2 Primer 第二版</w:t>
        </w:r>
      </w:hyperlink>
      <w:r>
        <w:t>，2012-12-11，§3、4.1–4.2、4.4、4.7–4.8；支援類別、個體、物件／資料值屬性與非唯一名稱假設。未實際執行推理工具。「實體」在 OWL 文件另有專門範圍，本章用「對象」避免混用。</w:t>
      </w:r>
    </w:p>
    <w:p w14:paraId="59567FD5" w14:textId="066B7F30" w:rsidR="00C812F0" w:rsidRDefault="00320B1B">
      <w:pPr>
        <w:pStyle w:val="a0"/>
        <w:keepNext/>
      </w:pPr>
      <w:r>
        <w:t>R08：</w:t>
      </w:r>
      <w:hyperlink r:id="rId10">
        <w:r>
          <w:rPr>
            <w:color w:val="245D74"/>
          </w:rPr>
          <w:t>Hogan 等，Knowledge Graphs</w:t>
        </w:r>
      </w:hyperlink>
      <w:r>
        <w:t>，2021 v6，§3.2 身分。本章未提出身分辨識演算法，詳細時間與來源處理留第 7 章。</w:t>
      </w:r>
    </w:p>
    <w:p w14:paraId="6672F361" w14:textId="77777777" w:rsidR="00C812F0" w:rsidRDefault="00320B1B">
      <w:pPr>
        <w:pStyle w:val="a0"/>
      </w:pPr>
      <w:r>
        <w:t>案例：SNAP-001／POL-001。P001、P003 為同名不同人；E001／E005 不暗示時間先後；P010 為外部承攬講師。電話改期、增加教室模型、講師同時報名均明示假設；沒有修改固定案例。</w:t>
      </w:r>
    </w:p>
    <w:sectPr w:rsidR="00C812F0" w:rsidSect="00034616">
      <w:footerReference w:type="default" r:id="rId11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B4C95" w14:textId="77777777" w:rsidR="000B3896" w:rsidRDefault="000B3896">
      <w:pPr>
        <w:spacing w:after="0" w:line="240" w:lineRule="auto"/>
      </w:pPr>
      <w:r>
        <w:separator/>
      </w:r>
    </w:p>
  </w:endnote>
  <w:endnote w:type="continuationSeparator" w:id="0">
    <w:p w14:paraId="69AB2B7C" w14:textId="77777777" w:rsidR="000B3896" w:rsidRDefault="000B3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DC97D" w14:textId="77777777" w:rsidR="00C812F0" w:rsidRDefault="00320B1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A1F87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D13C2" w14:textId="77777777" w:rsidR="000B3896" w:rsidRDefault="000B3896">
      <w:pPr>
        <w:spacing w:after="0" w:line="240" w:lineRule="auto"/>
      </w:pPr>
      <w:r>
        <w:separator/>
      </w:r>
    </w:p>
  </w:footnote>
  <w:footnote w:type="continuationSeparator" w:id="0">
    <w:p w14:paraId="398CD3F8" w14:textId="77777777" w:rsidR="000B3896" w:rsidRDefault="000B3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77145">
    <w:abstractNumId w:val="8"/>
  </w:num>
  <w:num w:numId="2" w16cid:durableId="984312785">
    <w:abstractNumId w:val="6"/>
  </w:num>
  <w:num w:numId="3" w16cid:durableId="179854044">
    <w:abstractNumId w:val="5"/>
  </w:num>
  <w:num w:numId="4" w16cid:durableId="753631200">
    <w:abstractNumId w:val="4"/>
  </w:num>
  <w:num w:numId="5" w16cid:durableId="918444159">
    <w:abstractNumId w:val="7"/>
  </w:num>
  <w:num w:numId="6" w16cid:durableId="196357501">
    <w:abstractNumId w:val="3"/>
  </w:num>
  <w:num w:numId="7" w16cid:durableId="2129544193">
    <w:abstractNumId w:val="2"/>
  </w:num>
  <w:num w:numId="8" w16cid:durableId="490366771">
    <w:abstractNumId w:val="1"/>
  </w:num>
  <w:num w:numId="9" w16cid:durableId="53630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F87"/>
    <w:rsid w:val="000B3896"/>
    <w:rsid w:val="0013372D"/>
    <w:rsid w:val="0015074B"/>
    <w:rsid w:val="0029639D"/>
    <w:rsid w:val="00320B1B"/>
    <w:rsid w:val="00326F90"/>
    <w:rsid w:val="00425C66"/>
    <w:rsid w:val="009569A7"/>
    <w:rsid w:val="00AA1D8D"/>
    <w:rsid w:val="00B47730"/>
    <w:rsid w:val="00C812F0"/>
    <w:rsid w:val="00CB0664"/>
    <w:rsid w:val="00EB7F08"/>
    <w:rsid w:val="00FA1876"/>
    <w:rsid w:val="00FC693F"/>
    <w:rsid w:val="00FE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D28B32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ge.stanford.edu/publications/ontology_development/ontology101-noy-mcguinnes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html/2003.02320v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.org/TR/2012/REC-owl2-primer-201212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2475</Words>
  <Characters>2674</Characters>
  <Application>Microsoft Office Word</Application>
  <DocSecurity>0</DocSecurity>
  <Lines>76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3 章｜把人、事、物說清楚：類別、個體與關係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