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082B5B"/>
          <w:sz w:val="56"/>
        </w:rPr>
        <w:t>PHARMA ENTERPRISE</w:t>
        <w:br/>
        <w:t>DATA &amp; ANALYTICS PLATFORM</w:t>
      </w:r>
    </w:p>
    <w:p>
      <w:pPr>
        <w:jc w:val="center"/>
      </w:pPr>
      <w:r>
        <w:rPr>
          <w:color w:val="1261A0"/>
          <w:sz w:val="26"/>
        </w:rPr>
        <w:t>Technical Documentation | Data Engineering, Lakehouse, BI &amp; Operations</w:t>
      </w:r>
    </w:p>
    <w:p>
      <w:pPr>
        <w:spacing w:before="600"/>
        <w:jc w:val="center"/>
      </w:pPr>
      <w:r>
        <w:rPr>
          <w:i/>
        </w:rPr>
        <w:t>Project implementation guide and portfolio reference</w:t>
      </w:r>
    </w:p>
    <w:p>
      <w:pPr>
        <w:spacing w:before="2400"/>
        <w:jc w:val="center"/>
      </w:pPr>
      <w:r>
        <w:rPr>
          <w:sz w:val="18"/>
        </w:rPr>
        <w:t>Prepared from the documented project context available in this conversation</w:t>
        <w:br/>
      </w:r>
      <w:r>
        <w:rPr>
          <w:sz w:val="18"/>
        </w:rPr>
        <w:t>Version 1.0 | 21 October 2026</w:t>
      </w:r>
    </w:p>
    <w:p>
      <w:r>
        <w:br w:type="page"/>
      </w:r>
    </w:p>
    <w:p>
      <w:pPr>
        <w:pStyle w:val="Heading1"/>
      </w:pPr>
      <w:r>
        <w:t>1. Executive Summary</w:t>
      </w:r>
    </w:p>
    <w:p>
      <w:r>
        <w:t>This project implements an automated pharmaceutical enterprise data platform that turns synthetic operational data into curated analytics and Power BI decision-support dashboards. It demonstrates an end-to-end workflow spanning data generation, cloud object storage, incremental ingestion, lakehouse transformations, semantic modelling, visual analytics, and scheduled refresh.</w:t>
      </w:r>
    </w:p>
    <w:p>
      <w:r>
        <w:t>The platform is designed around six operational domains:</w:t>
      </w:r>
    </w:p>
    <w:p>
      <w:pPr>
        <w:pStyle w:val="ListBullet"/>
        <w:spacing w:after="40"/>
      </w:pPr>
      <w:r>
        <w:t>Supply chain and inventory</w:t>
      </w:r>
    </w:p>
    <w:p>
      <w:pPr>
        <w:pStyle w:val="ListBullet"/>
        <w:spacing w:after="40"/>
      </w:pPr>
      <w:r>
        <w:t>Manufacturing and plant capacity</w:t>
      </w:r>
    </w:p>
    <w:p>
      <w:pPr>
        <w:pStyle w:val="ListBullet"/>
        <w:spacing w:after="40"/>
      </w:pPr>
      <w:r>
        <w:t>Commercial sales and demand planning</w:t>
      </w:r>
    </w:p>
    <w:p>
      <w:pPr>
        <w:pStyle w:val="ListBullet"/>
        <w:spacing w:after="40"/>
      </w:pPr>
      <w:r>
        <w:t>Quality and regulatory compliance</w:t>
      </w:r>
    </w:p>
    <w:p>
      <w:pPr>
        <w:pStyle w:val="ListBullet"/>
        <w:spacing w:after="40"/>
      </w:pPr>
      <w:r>
        <w:t>Clinical trial operations</w:t>
      </w:r>
    </w:p>
    <w:p>
      <w:pPr>
        <w:pStyle w:val="ListBullet"/>
        <w:spacing w:after="40"/>
      </w:pPr>
      <w:r>
        <w:t>Product safety and adverse-event monitoring</w:t>
      </w:r>
    </w:p>
    <w:p>
      <w:r>
        <w:t>The data is synthetic and intended for portfolio demonstration. It is not real patient, clinical, supplier, manufacturing, or commercial data, and should not be used for operational decisions.</w:t>
      </w:r>
    </w:p>
    <w:p>
      <w:pPr>
        <w:pStyle w:val="Heading1"/>
      </w:pPr>
      <w:r>
        <w:t>2. Business Objectives and Scope</w:t>
      </w:r>
    </w:p>
    <w:p>
      <w:pPr>
        <w:pStyle w:val="Heading2"/>
      </w:pPr>
      <w:r>
        <w:t>Objectives</w:t>
      </w:r>
    </w:p>
    <w:p>
      <w:pPr>
        <w:pStyle w:val="ListBullet"/>
        <w:spacing w:after="40"/>
      </w:pPr>
      <w:r>
        <w:t>Automate recurring generation and landing of realistic pharmaceutical operational datasets.</w:t>
      </w:r>
    </w:p>
    <w:p>
      <w:pPr>
        <w:pStyle w:val="ListBullet"/>
        <w:spacing w:after="40"/>
      </w:pPr>
      <w:r>
        <w:t>Use a lakehouse pattern to ingest and transform raw files into Bronze, Silver, and Gold layers.</w:t>
      </w:r>
    </w:p>
    <w:p>
      <w:pPr>
        <w:pStyle w:val="ListBullet"/>
        <w:spacing w:after="40"/>
      </w:pPr>
      <w:r>
        <w:t>Model reusable dimensions separately from analytical fact tables for Power BI.</w:t>
      </w:r>
    </w:p>
    <w:p>
      <w:pPr>
        <w:pStyle w:val="ListBullet"/>
        <w:spacing w:after="40"/>
      </w:pPr>
      <w:r>
        <w:t>Provide executive and domain-specific dashboards for monitoring performance, risk, and intervention priorities.</w:t>
      </w:r>
    </w:p>
    <w:p>
      <w:pPr>
        <w:pStyle w:val="ListBullet"/>
        <w:spacing w:after="40"/>
      </w:pPr>
      <w:r>
        <w:t>Demonstrate cloud orchestration, incremental data processing, dimensional modelling, DAX, and BI refresh automation.</w:t>
      </w:r>
    </w:p>
    <w:p>
      <w:pPr>
        <w:pStyle w:val="Heading2"/>
      </w:pPr>
      <w:r>
        <w:t>In scope</w:t>
      </w:r>
    </w:p>
    <w:p>
      <w:pPr>
        <w:pStyle w:val="ListBullet"/>
        <w:spacing w:after="40"/>
      </w:pPr>
      <w:r>
        <w:t>AWS S3 as the raw data landing zone and static master-data store.</w:t>
      </w:r>
    </w:p>
    <w:p>
      <w:pPr>
        <w:pStyle w:val="ListBullet"/>
        <w:spacing w:after="40"/>
      </w:pPr>
      <w:r>
        <w:t>AWS Lambda for scheduled synthetic data generation.</w:t>
      </w:r>
    </w:p>
    <w:p>
      <w:pPr>
        <w:pStyle w:val="ListBullet"/>
        <w:spacing w:after="40"/>
      </w:pPr>
      <w:r>
        <w:t>Amazon EventBridge Scheduler for automated invocation.</w:t>
      </w:r>
    </w:p>
    <w:p>
      <w:pPr>
        <w:pStyle w:val="ListBullet"/>
        <w:spacing w:after="40"/>
      </w:pPr>
      <w:r>
        <w:t>Databricks Lakeflow file-arrival ingestion and pipeline transformations.</w:t>
      </w:r>
    </w:p>
    <w:p>
      <w:pPr>
        <w:pStyle w:val="ListBullet"/>
        <w:spacing w:after="40"/>
      </w:pPr>
      <w:r>
        <w:t>Bronze, Silver, and Gold data layers.</w:t>
      </w:r>
    </w:p>
    <w:p>
      <w:pPr>
        <w:pStyle w:val="ListBullet"/>
        <w:spacing w:after="40"/>
      </w:pPr>
      <w:r>
        <w:t>Power BI semantic model, report pages, KPI measures, month-over-month comparisons, and dynamic insight panels.</w:t>
      </w:r>
    </w:p>
    <w:p>
      <w:pPr>
        <w:pStyle w:val="ListBullet"/>
        <w:spacing w:after="40"/>
      </w:pPr>
      <w:r>
        <w:t>Databricks job orchestration that triggers Power BI semantic-model refresh after the pipeline succeeds.</w:t>
      </w:r>
    </w:p>
    <w:p>
      <w:pPr>
        <w:pStyle w:val="Heading2"/>
      </w:pPr>
      <w:r>
        <w:t>Known limitations</w:t>
      </w:r>
    </w:p>
    <w:p>
      <w:pPr>
        <w:pStyle w:val="ListBullet"/>
        <w:spacing w:after="40"/>
      </w:pPr>
      <w:r>
        <w:t>All generated records are synthetic. Values and relationships are designed for demonstration rather than clinical or regulatory validity.</w:t>
      </w:r>
    </w:p>
    <w:p>
      <w:pPr>
        <w:pStyle w:val="ListBullet"/>
        <w:spacing w:after="40"/>
      </w:pPr>
      <w:r>
        <w:t>The sales dataset has no customer identifier or customer segment, so customer counts and customer-segment revenue cannot be calculated honestly from current data.</w:t>
      </w:r>
    </w:p>
    <w:p>
      <w:pPr>
        <w:pStyle w:val="ListBullet"/>
        <w:spacing w:after="40"/>
      </w:pPr>
      <w:r>
        <w:t>The dataset does not provide a true external market denominator, so market share cannot be calculated.</w:t>
      </w:r>
    </w:p>
    <w:p>
      <w:pPr>
        <w:pStyle w:val="ListBullet"/>
        <w:spacing w:after="40"/>
      </w:pPr>
      <w:r>
        <w:t>The clinical safety dataset has no explicit safety-case closure flag. An Open Safety Cases KPI needs a defensible status field or clearly labelled proxy; it must not be presented as a directly observed open-case count without one.</w:t>
      </w:r>
    </w:p>
    <w:p>
      <w:pPr>
        <w:pStyle w:val="ListBullet"/>
        <w:spacing w:after="40"/>
      </w:pPr>
      <w:r>
        <w:t>The combined quality_regulatory and clinical_safety Gold tables can multiply rows through joins. Distinct event IDs and trial-level aggregation are required for correct counts.</w:t>
      </w:r>
    </w:p>
    <w:p>
      <w:pPr>
        <w:pStyle w:val="Heading1"/>
      </w:pPr>
      <w:r>
        <w:t>3. Solution Architecture</w:t>
      </w:r>
    </w:p>
    <w:p>
      <w:r>
        <w:t>End-to-end flow:</w:t>
      </w:r>
    </w:p>
    <w:p>
      <w:pPr>
        <w:jc w:val="center"/>
      </w:pPr>
      <w:r>
        <w:rPr>
          <w:b/>
          <w:color w:val="1261A0"/>
          <w:sz w:val="22"/>
        </w:rPr>
        <w:t>EventBridge Scheduler → AWS Lambda → Amazon S3 → Databricks File Arrival Trigger → Lakeflow Pipeline → Bronze → Silver → Gold → Power BI</w:t>
      </w:r>
    </w:p>
    <w:p>
      <w:r>
        <w:t>Orchestration sequence:</w:t>
      </w:r>
    </w:p>
    <w:p>
      <w:pPr>
        <w:pStyle w:val="ListNumber"/>
        <w:spacing w:after="40"/>
      </w:pPr>
      <w:r>
        <w:t>EventBridge Scheduler invokes the Lambda generator on its configured schedule.</w:t>
      </w:r>
    </w:p>
    <w:p>
      <w:pPr>
        <w:pStyle w:val="ListNumber"/>
        <w:spacing w:after="40"/>
      </w:pPr>
      <w:r>
        <w:t>Lambda reads stable master data from S3 and writes new synthetic operational files to domain-specific prefixes.</w:t>
      </w:r>
    </w:p>
    <w:p>
      <w:pPr>
        <w:pStyle w:val="ListNumber"/>
        <w:spacing w:after="40"/>
      </w:pPr>
      <w:r>
        <w:t>Databricks detects new or changed files through a file-arrival trigger on the S3 storage location.</w:t>
      </w:r>
    </w:p>
    <w:p>
      <w:pPr>
        <w:pStyle w:val="ListNumber"/>
        <w:spacing w:after="40"/>
      </w:pPr>
      <w:r>
        <w:t>The Lakeflow pipeline ingests and transforms data through the Bronze, Silver, and Gold layers.</w:t>
      </w:r>
    </w:p>
    <w:p>
      <w:pPr>
        <w:pStyle w:val="ListNumber"/>
        <w:spacing w:after="40"/>
      </w:pPr>
      <w:r>
        <w:t>A Databricks Lakeflow Job runs the Power BI refresh task after the pipeline task succeeds.</w:t>
      </w:r>
    </w:p>
    <w:p>
      <w:pPr>
        <w:pStyle w:val="ListNumber"/>
        <w:spacing w:after="40"/>
      </w:pPr>
      <w:r>
        <w:t>Power BI refreshes the connected semantic model and updates report visuals after successful refresh.</w:t>
      </w:r>
    </w:p>
    <w:p>
      <w:r>
        <w:t>The configured Databricks file-arrival trigger is active. Its documented settings include a five-minute wait after the last change. The Lakeflow Job includes the pipeline task and a dependent Power BI refresh task. The Power BI connection is named power_bi_connection, the workspace is Prod, and the semantic model is Pharma Dashboard. The gateway field is intentionally blank in the current configuration.</w:t>
      </w:r>
    </w:p>
    <w:p>
      <w:pPr>
        <w:pStyle w:val="Heading1"/>
      </w:pPr>
      <w:r>
        <w:t>4. AWS Data Generation and Storage</w:t>
      </w:r>
    </w:p>
    <w:p>
      <w:pPr>
        <w:pStyle w:val="Heading2"/>
      </w:pPr>
      <w:r>
        <w:t>S3 bucket and prefixes</w:t>
      </w:r>
    </w:p>
    <w:p>
      <w:r>
        <w:t>Bucket: my-projects-data-sherrif</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82B5B"/>
          </w:tcPr>
          <w:p>
            <w:pPr>
              <w:spacing w:after="0"/>
            </w:pPr>
            <w:r/>
            <w:r>
              <w:rPr>
                <w:rFonts w:ascii="Aptos" w:hAnsi="Aptos"/>
                <w:b/>
                <w:color w:val="FFFFFF"/>
                <w:sz w:val="17"/>
              </w:rPr>
              <w:t>Prefix</w:t>
            </w:r>
          </w:p>
        </w:tc>
        <w:tc>
          <w:tcPr>
            <w:tcW w:type="dxa" w:w="3360"/>
            <w:vAlign w:val="center"/>
            <w:shd w:fill="082B5B"/>
          </w:tcPr>
          <w:p>
            <w:pPr>
              <w:spacing w:after="0"/>
            </w:pPr>
            <w:r/>
            <w:r>
              <w:rPr>
                <w:rFonts w:ascii="Aptos" w:hAnsi="Aptos"/>
                <w:b/>
                <w:color w:val="FFFFFF"/>
                <w:sz w:val="17"/>
              </w:rPr>
              <w:t>Purpose</w:t>
            </w:r>
          </w:p>
        </w:tc>
        <w:tc>
          <w:tcPr>
            <w:tcW w:type="dxa" w:w="3360"/>
            <w:vAlign w:val="center"/>
            <w:shd w:fill="082B5B"/>
          </w:tcPr>
          <w:p>
            <w:pPr>
              <w:spacing w:after="0"/>
            </w:pPr>
            <w:r/>
            <w:r>
              <w:rPr>
                <w:rFonts w:ascii="Aptos" w:hAnsi="Aptos"/>
                <w:b/>
                <w:color w:val="FFFFFF"/>
                <w:sz w:val="17"/>
              </w:rPr>
              <w:t>Generation behaviour</w:t>
            </w:r>
          </w:p>
        </w:tc>
      </w:tr>
      <w:tr>
        <w:tc>
          <w:tcPr>
            <w:tcW w:type="dxa" w:w="3360"/>
            <w:vAlign w:val="center"/>
          </w:tcPr>
          <w:p>
            <w:pPr>
              <w:spacing w:after="0"/>
            </w:pPr>
            <w:r/>
            <w:r>
              <w:rPr>
                <w:rFonts w:ascii="Aptos" w:hAnsi="Aptos"/>
                <w:b w:val="0"/>
                <w:sz w:val="16"/>
              </w:rPr>
              <w:t>01_master_data/</w:t>
            </w:r>
          </w:p>
        </w:tc>
        <w:tc>
          <w:tcPr>
            <w:tcW w:type="dxa" w:w="3360"/>
            <w:vAlign w:val="center"/>
          </w:tcPr>
          <w:p>
            <w:pPr>
              <w:spacing w:after="0"/>
            </w:pPr>
            <w:r/>
            <w:r>
              <w:rPr>
                <w:rFonts w:ascii="Aptos" w:hAnsi="Aptos"/>
                <w:b w:val="0"/>
                <w:sz w:val="16"/>
              </w:rPr>
              <w:t>Stable reference data used by the generator and joins.</w:t>
            </w:r>
          </w:p>
        </w:tc>
        <w:tc>
          <w:tcPr>
            <w:tcW w:type="dxa" w:w="3360"/>
            <w:vAlign w:val="center"/>
          </w:tcPr>
          <w:p>
            <w:pPr>
              <w:spacing w:after="0"/>
            </w:pPr>
            <w:r/>
            <w:r>
              <w:rPr>
                <w:rFonts w:ascii="Aptos" w:hAnsi="Aptos"/>
                <w:b w:val="0"/>
                <w:sz w:val="16"/>
              </w:rPr>
              <w:t>Static; do not regenerate daily.</w:t>
            </w:r>
          </w:p>
        </w:tc>
      </w:tr>
      <w:tr>
        <w:tc>
          <w:tcPr>
            <w:tcW w:type="dxa" w:w="3360"/>
            <w:vAlign w:val="center"/>
            <w:shd w:fill="F0F5FA"/>
          </w:tcPr>
          <w:p>
            <w:pPr>
              <w:spacing w:after="0"/>
            </w:pPr>
            <w:r/>
            <w:r>
              <w:rPr>
                <w:rFonts w:ascii="Aptos" w:hAnsi="Aptos"/>
                <w:b w:val="0"/>
                <w:sz w:val="16"/>
              </w:rPr>
              <w:t>02_supply_chain/</w:t>
            </w:r>
          </w:p>
        </w:tc>
        <w:tc>
          <w:tcPr>
            <w:tcW w:type="dxa" w:w="3360"/>
            <w:vAlign w:val="center"/>
            <w:shd w:fill="F0F5FA"/>
          </w:tcPr>
          <w:p>
            <w:pPr>
              <w:spacing w:after="0"/>
            </w:pPr>
            <w:r/>
            <w:r>
              <w:rPr>
                <w:rFonts w:ascii="Aptos" w:hAnsi="Aptos"/>
                <w:b w:val="0"/>
                <w:sz w:val="16"/>
              </w:rPr>
              <w:t>Purchase orders, shipments, inventory, supplier performance and risk.</w:t>
            </w:r>
          </w:p>
        </w:tc>
        <w:tc>
          <w:tcPr>
            <w:tcW w:type="dxa" w:w="3360"/>
            <w:vAlign w:val="center"/>
            <w:shd w:fill="F0F5FA"/>
          </w:tcPr>
          <w:p>
            <w:pPr>
              <w:spacing w:after="0"/>
            </w:pPr>
            <w:r/>
            <w:r>
              <w:rPr>
                <w:rFonts w:ascii="Aptos" w:hAnsi="Aptos"/>
                <w:b w:val="0"/>
                <w:sz w:val="16"/>
              </w:rPr>
              <w:t>Recurring operational data.</w:t>
            </w:r>
          </w:p>
        </w:tc>
      </w:tr>
      <w:tr>
        <w:tc>
          <w:tcPr>
            <w:tcW w:type="dxa" w:w="3360"/>
            <w:vAlign w:val="center"/>
          </w:tcPr>
          <w:p>
            <w:pPr>
              <w:spacing w:after="0"/>
            </w:pPr>
            <w:r/>
            <w:r>
              <w:rPr>
                <w:rFonts w:ascii="Aptos" w:hAnsi="Aptos"/>
                <w:b w:val="0"/>
                <w:sz w:val="16"/>
              </w:rPr>
              <w:t>03_manufacturing/</w:t>
            </w:r>
          </w:p>
        </w:tc>
        <w:tc>
          <w:tcPr>
            <w:tcW w:type="dxa" w:w="3360"/>
            <w:vAlign w:val="center"/>
          </w:tcPr>
          <w:p>
            <w:pPr>
              <w:spacing w:after="0"/>
            </w:pPr>
            <w:r/>
            <w:r>
              <w:rPr>
                <w:rFonts w:ascii="Aptos" w:hAnsi="Aptos"/>
                <w:b w:val="0"/>
                <w:sz w:val="16"/>
              </w:rPr>
              <w:t>Production batches and plant capacity.</w:t>
            </w:r>
          </w:p>
        </w:tc>
        <w:tc>
          <w:tcPr>
            <w:tcW w:type="dxa" w:w="3360"/>
            <w:vAlign w:val="center"/>
          </w:tcPr>
          <w:p>
            <w:pPr>
              <w:spacing w:after="0"/>
            </w:pPr>
            <w:r/>
            <w:r>
              <w:rPr>
                <w:rFonts w:ascii="Aptos" w:hAnsi="Aptos"/>
                <w:b w:val="0"/>
                <w:sz w:val="16"/>
              </w:rPr>
              <w:t>Recurring operational data.</w:t>
            </w:r>
          </w:p>
        </w:tc>
      </w:tr>
      <w:tr>
        <w:tc>
          <w:tcPr>
            <w:tcW w:type="dxa" w:w="3360"/>
            <w:vAlign w:val="center"/>
            <w:shd w:fill="F0F5FA"/>
          </w:tcPr>
          <w:p>
            <w:pPr>
              <w:spacing w:after="0"/>
            </w:pPr>
            <w:r/>
            <w:r>
              <w:rPr>
                <w:rFonts w:ascii="Aptos" w:hAnsi="Aptos"/>
                <w:b w:val="0"/>
                <w:sz w:val="16"/>
              </w:rPr>
              <w:t>04_demand_commercial/</w:t>
            </w:r>
          </w:p>
        </w:tc>
        <w:tc>
          <w:tcPr>
            <w:tcW w:type="dxa" w:w="3360"/>
            <w:vAlign w:val="center"/>
            <w:shd w:fill="F0F5FA"/>
          </w:tcPr>
          <w:p>
            <w:pPr>
              <w:spacing w:after="0"/>
            </w:pPr>
            <w:r/>
            <w:r>
              <w:rPr>
                <w:rFonts w:ascii="Aptos" w:hAnsi="Aptos"/>
                <w:b w:val="0"/>
                <w:sz w:val="16"/>
              </w:rPr>
              <w:t>Sales and demand forecast versus actual.</w:t>
            </w:r>
          </w:p>
        </w:tc>
        <w:tc>
          <w:tcPr>
            <w:tcW w:type="dxa" w:w="3360"/>
            <w:vAlign w:val="center"/>
            <w:shd w:fill="F0F5FA"/>
          </w:tcPr>
          <w:p>
            <w:pPr>
              <w:spacing w:after="0"/>
            </w:pPr>
            <w:r/>
            <w:r>
              <w:rPr>
                <w:rFonts w:ascii="Aptos" w:hAnsi="Aptos"/>
                <w:b w:val="0"/>
                <w:sz w:val="16"/>
              </w:rPr>
              <w:t>Recurring operational data.</w:t>
            </w:r>
          </w:p>
        </w:tc>
      </w:tr>
      <w:tr>
        <w:tc>
          <w:tcPr>
            <w:tcW w:type="dxa" w:w="3360"/>
            <w:vAlign w:val="center"/>
          </w:tcPr>
          <w:p>
            <w:pPr>
              <w:spacing w:after="0"/>
            </w:pPr>
            <w:r/>
            <w:r>
              <w:rPr>
                <w:rFonts w:ascii="Aptos" w:hAnsi="Aptos"/>
                <w:b w:val="0"/>
                <w:sz w:val="16"/>
              </w:rPr>
              <w:t>05_quality/</w:t>
            </w:r>
          </w:p>
        </w:tc>
        <w:tc>
          <w:tcPr>
            <w:tcW w:type="dxa" w:w="3360"/>
            <w:vAlign w:val="center"/>
          </w:tcPr>
          <w:p>
            <w:pPr>
              <w:spacing w:after="0"/>
            </w:pPr>
            <w:r/>
            <w:r>
              <w:rPr>
                <w:rFonts w:ascii="Aptos" w:hAnsi="Aptos"/>
                <w:b w:val="0"/>
                <w:sz w:val="16"/>
              </w:rPr>
              <w:t>Quality events.</w:t>
            </w:r>
          </w:p>
        </w:tc>
        <w:tc>
          <w:tcPr>
            <w:tcW w:type="dxa" w:w="3360"/>
            <w:vAlign w:val="center"/>
          </w:tcPr>
          <w:p>
            <w:pPr>
              <w:spacing w:after="0"/>
            </w:pPr>
            <w:r/>
            <w:r>
              <w:rPr>
                <w:rFonts w:ascii="Aptos" w:hAnsi="Aptos"/>
                <w:b w:val="0"/>
                <w:sz w:val="16"/>
              </w:rPr>
              <w:t>Recurring operational data.</w:t>
            </w:r>
          </w:p>
        </w:tc>
      </w:tr>
      <w:tr>
        <w:tc>
          <w:tcPr>
            <w:tcW w:type="dxa" w:w="3360"/>
            <w:vAlign w:val="center"/>
            <w:shd w:fill="F0F5FA"/>
          </w:tcPr>
          <w:p>
            <w:pPr>
              <w:spacing w:after="0"/>
            </w:pPr>
            <w:r/>
            <w:r>
              <w:rPr>
                <w:rFonts w:ascii="Aptos" w:hAnsi="Aptos"/>
                <w:b w:val="0"/>
                <w:sz w:val="16"/>
              </w:rPr>
              <w:t>06_regulatory/</w:t>
            </w:r>
          </w:p>
        </w:tc>
        <w:tc>
          <w:tcPr>
            <w:tcW w:type="dxa" w:w="3360"/>
            <w:vAlign w:val="center"/>
            <w:shd w:fill="F0F5FA"/>
          </w:tcPr>
          <w:p>
            <w:pPr>
              <w:spacing w:after="0"/>
            </w:pPr>
            <w:r/>
            <w:r>
              <w:rPr>
                <w:rFonts w:ascii="Aptos" w:hAnsi="Aptos"/>
                <w:b w:val="0"/>
                <w:sz w:val="16"/>
              </w:rPr>
              <w:t>Regulatory events.</w:t>
            </w:r>
          </w:p>
        </w:tc>
        <w:tc>
          <w:tcPr>
            <w:tcW w:type="dxa" w:w="3360"/>
            <w:vAlign w:val="center"/>
            <w:shd w:fill="F0F5FA"/>
          </w:tcPr>
          <w:p>
            <w:pPr>
              <w:spacing w:after="0"/>
            </w:pPr>
            <w:r/>
            <w:r>
              <w:rPr>
                <w:rFonts w:ascii="Aptos" w:hAnsi="Aptos"/>
                <w:b w:val="0"/>
                <w:sz w:val="16"/>
              </w:rPr>
              <w:t>Recurring operational data.</w:t>
            </w:r>
          </w:p>
        </w:tc>
      </w:tr>
      <w:tr>
        <w:tc>
          <w:tcPr>
            <w:tcW w:type="dxa" w:w="3360"/>
            <w:vAlign w:val="center"/>
          </w:tcPr>
          <w:p>
            <w:pPr>
              <w:spacing w:after="0"/>
            </w:pPr>
            <w:r/>
            <w:r>
              <w:rPr>
                <w:rFonts w:ascii="Aptos" w:hAnsi="Aptos"/>
                <w:b w:val="0"/>
                <w:sz w:val="16"/>
              </w:rPr>
              <w:t>07_rnd_clinical/</w:t>
            </w:r>
          </w:p>
        </w:tc>
        <w:tc>
          <w:tcPr>
            <w:tcW w:type="dxa" w:w="3360"/>
            <w:vAlign w:val="center"/>
          </w:tcPr>
          <w:p>
            <w:pPr>
              <w:spacing w:after="0"/>
            </w:pPr>
            <w:r/>
            <w:r>
              <w:rPr>
                <w:rFonts w:ascii="Aptos" w:hAnsi="Aptos"/>
                <w:b w:val="0"/>
                <w:sz w:val="16"/>
              </w:rPr>
              <w:t>Clinical programs and clinical trials.</w:t>
            </w:r>
          </w:p>
        </w:tc>
        <w:tc>
          <w:tcPr>
            <w:tcW w:type="dxa" w:w="3360"/>
            <w:vAlign w:val="center"/>
          </w:tcPr>
          <w:p>
            <w:pPr>
              <w:spacing w:after="0"/>
            </w:pPr>
            <w:r/>
            <w:r>
              <w:rPr>
                <w:rFonts w:ascii="Aptos" w:hAnsi="Aptos"/>
                <w:b w:val="0"/>
                <w:sz w:val="16"/>
              </w:rPr>
              <w:t>Recurring operational data.</w:t>
            </w:r>
          </w:p>
        </w:tc>
      </w:tr>
      <w:tr>
        <w:tc>
          <w:tcPr>
            <w:tcW w:type="dxa" w:w="3360"/>
            <w:vAlign w:val="center"/>
            <w:shd w:fill="F0F5FA"/>
          </w:tcPr>
          <w:p>
            <w:pPr>
              <w:spacing w:after="0"/>
            </w:pPr>
            <w:r/>
            <w:r>
              <w:rPr>
                <w:rFonts w:ascii="Aptos" w:hAnsi="Aptos"/>
                <w:b w:val="0"/>
                <w:sz w:val="16"/>
              </w:rPr>
              <w:t>08_safety/</w:t>
            </w:r>
          </w:p>
        </w:tc>
        <w:tc>
          <w:tcPr>
            <w:tcW w:type="dxa" w:w="3360"/>
            <w:vAlign w:val="center"/>
            <w:shd w:fill="F0F5FA"/>
          </w:tcPr>
          <w:p>
            <w:pPr>
              <w:spacing w:after="0"/>
            </w:pPr>
            <w:r/>
            <w:r>
              <w:rPr>
                <w:rFonts w:ascii="Aptos" w:hAnsi="Aptos"/>
                <w:b w:val="0"/>
                <w:sz w:val="16"/>
              </w:rPr>
              <w:t>Adverse events.</w:t>
            </w:r>
          </w:p>
        </w:tc>
        <w:tc>
          <w:tcPr>
            <w:tcW w:type="dxa" w:w="3360"/>
            <w:vAlign w:val="center"/>
            <w:shd w:fill="F0F5FA"/>
          </w:tcPr>
          <w:p>
            <w:pPr>
              <w:spacing w:after="0"/>
            </w:pPr>
            <w:r/>
            <w:r>
              <w:rPr>
                <w:rFonts w:ascii="Aptos" w:hAnsi="Aptos"/>
                <w:b w:val="0"/>
                <w:sz w:val="16"/>
              </w:rPr>
              <w:t>Recurring operational data.</w:t>
            </w:r>
          </w:p>
        </w:tc>
      </w:tr>
      <w:tr>
        <w:tc>
          <w:tcPr>
            <w:tcW w:type="dxa" w:w="3360"/>
            <w:vAlign w:val="center"/>
          </w:tcPr>
          <w:p>
            <w:pPr>
              <w:spacing w:after="0"/>
            </w:pPr>
            <w:r/>
            <w:r>
              <w:rPr>
                <w:rFonts w:ascii="Aptos" w:hAnsi="Aptos"/>
                <w:b w:val="0"/>
                <w:sz w:val="16"/>
              </w:rPr>
              <w:t>09_data_quality/</w:t>
            </w:r>
          </w:p>
        </w:tc>
        <w:tc>
          <w:tcPr>
            <w:tcW w:type="dxa" w:w="3360"/>
            <w:vAlign w:val="center"/>
          </w:tcPr>
          <w:p>
            <w:pPr>
              <w:spacing w:after="0"/>
            </w:pPr>
            <w:r/>
            <w:r>
              <w:rPr>
                <w:rFonts w:ascii="Aptos" w:hAnsi="Aptos"/>
                <w:b w:val="0"/>
                <w:sz w:val="16"/>
              </w:rPr>
              <w:t>Downstream data-quality outputs.</w:t>
            </w:r>
          </w:p>
        </w:tc>
        <w:tc>
          <w:tcPr>
            <w:tcW w:type="dxa" w:w="3360"/>
            <w:vAlign w:val="center"/>
          </w:tcPr>
          <w:p>
            <w:pPr>
              <w:spacing w:after="0"/>
            </w:pPr>
            <w:r/>
            <w:r>
              <w:rPr>
                <w:rFonts w:ascii="Aptos" w:hAnsi="Aptos"/>
                <w:b w:val="0"/>
                <w:sz w:val="16"/>
              </w:rPr>
              <w:t>Not generated by the Lambda raw-data generator.</w:t>
            </w:r>
          </w:p>
        </w:tc>
      </w:tr>
      <w:tr>
        <w:tc>
          <w:tcPr>
            <w:tcW w:type="dxa" w:w="3360"/>
            <w:vAlign w:val="center"/>
            <w:shd w:fill="F0F5FA"/>
          </w:tcPr>
          <w:p>
            <w:pPr>
              <w:spacing w:after="0"/>
            </w:pPr>
            <w:r/>
            <w:r>
              <w:rPr>
                <w:rFonts w:ascii="Aptos" w:hAnsi="Aptos"/>
                <w:b w:val="0"/>
                <w:sz w:val="16"/>
              </w:rPr>
              <w:t>10_analytics/</w:t>
            </w:r>
          </w:p>
        </w:tc>
        <w:tc>
          <w:tcPr>
            <w:tcW w:type="dxa" w:w="3360"/>
            <w:vAlign w:val="center"/>
            <w:shd w:fill="F0F5FA"/>
          </w:tcPr>
          <w:p>
            <w:pPr>
              <w:spacing w:after="0"/>
            </w:pPr>
            <w:r/>
            <w:r>
              <w:rPr>
                <w:rFonts w:ascii="Aptos" w:hAnsi="Aptos"/>
                <w:b w:val="0"/>
                <w:sz w:val="16"/>
              </w:rPr>
              <w:t>Downstream analytical outputs.</w:t>
            </w:r>
          </w:p>
        </w:tc>
        <w:tc>
          <w:tcPr>
            <w:tcW w:type="dxa" w:w="3360"/>
            <w:vAlign w:val="center"/>
            <w:shd w:fill="F0F5FA"/>
          </w:tcPr>
          <w:p>
            <w:pPr>
              <w:spacing w:after="0"/>
            </w:pPr>
            <w:r/>
            <w:r>
              <w:rPr>
                <w:rFonts w:ascii="Aptos" w:hAnsi="Aptos"/>
                <w:b w:val="0"/>
                <w:sz w:val="16"/>
              </w:rPr>
              <w:t>Not generated by the Lambda raw-data generator.</w:t>
            </w:r>
          </w:p>
        </w:tc>
      </w:tr>
    </w:tbl>
    <w:p>
      <w:pPr>
        <w:spacing w:after="20"/>
      </w:pPr>
    </w:p>
    <w:p>
      <w:pPr>
        <w:pStyle w:val="Heading2"/>
      </w:pPr>
      <w:r>
        <w:t>Static master data</w:t>
      </w:r>
    </w:p>
    <w:p>
      <w:pPr>
        <w:pStyle w:val="ListBullet"/>
        <w:spacing w:after="40"/>
      </w:pPr>
      <w:r>
        <w:t>dim_product.csv</w:t>
      </w:r>
    </w:p>
    <w:p>
      <w:pPr>
        <w:pStyle w:val="ListBullet"/>
        <w:spacing w:after="40"/>
      </w:pPr>
      <w:r>
        <w:t>dim_country.csv</w:t>
      </w:r>
    </w:p>
    <w:p>
      <w:pPr>
        <w:pStyle w:val="ListBullet"/>
        <w:spacing w:after="40"/>
      </w:pPr>
      <w:r>
        <w:t>dim_supplier.csv</w:t>
      </w:r>
    </w:p>
    <w:p>
      <w:pPr>
        <w:pStyle w:val="ListBullet"/>
        <w:spacing w:after="40"/>
      </w:pPr>
      <w:r>
        <w:t>dim_plant.csv</w:t>
      </w:r>
    </w:p>
    <w:p>
      <w:pPr>
        <w:pStyle w:val="ListBullet"/>
        <w:spacing w:after="40"/>
      </w:pPr>
      <w:r>
        <w:t>dim_distribution_centre.csv</w:t>
      </w:r>
    </w:p>
    <w:p>
      <w:pPr>
        <w:pStyle w:val="Heading2"/>
      </w:pPr>
      <w:r>
        <w:t>Lambda function</w:t>
      </w:r>
    </w:p>
    <w:p>
      <w:r>
        <w:t>Function: daily_inventory_generator. The function reads the static master data and generates synthetic domain data under the relevant prefixes. The run date is taken from the event's run_date when provided, otherwise the function uses the current date. Monthly generation defaults to the first day of the month (run_date.day == 1).</w:t>
      </w:r>
    </w:p>
    <w:p>
      <w:r>
        <w:t>Generated datasets: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82B5B"/>
          </w:tcPr>
          <w:p>
            <w:pPr>
              <w:spacing w:after="0"/>
            </w:pPr>
            <w:r/>
            <w:r>
              <w:rPr>
                <w:rFonts w:ascii="Aptos" w:hAnsi="Aptos"/>
                <w:b/>
                <w:color w:val="FFFFFF"/>
                <w:sz w:val="17"/>
              </w:rPr>
              <w:t>Domain</w:t>
            </w:r>
          </w:p>
        </w:tc>
        <w:tc>
          <w:tcPr>
            <w:tcW w:type="dxa" w:w="5040"/>
            <w:vAlign w:val="center"/>
            <w:shd w:fill="082B5B"/>
          </w:tcPr>
          <w:p>
            <w:pPr>
              <w:spacing w:after="0"/>
            </w:pPr>
            <w:r/>
            <w:r>
              <w:rPr>
                <w:rFonts w:ascii="Aptos" w:hAnsi="Aptos"/>
                <w:b/>
                <w:color w:val="FFFFFF"/>
                <w:sz w:val="17"/>
              </w:rPr>
              <w:t>Datasets</w:t>
            </w:r>
          </w:p>
        </w:tc>
      </w:tr>
      <w:tr>
        <w:tc>
          <w:tcPr>
            <w:tcW w:type="dxa" w:w="5040"/>
            <w:vAlign w:val="center"/>
          </w:tcPr>
          <w:p>
            <w:pPr>
              <w:spacing w:after="0"/>
            </w:pPr>
            <w:r/>
            <w:r>
              <w:rPr>
                <w:rFonts w:ascii="Aptos" w:hAnsi="Aptos"/>
                <w:b w:val="0"/>
                <w:sz w:val="16"/>
              </w:rPr>
              <w:t>Supply chain</w:t>
            </w:r>
          </w:p>
        </w:tc>
        <w:tc>
          <w:tcPr>
            <w:tcW w:type="dxa" w:w="5040"/>
            <w:vAlign w:val="center"/>
          </w:tcPr>
          <w:p>
            <w:pPr>
              <w:spacing w:after="0"/>
            </w:pPr>
            <w:r/>
            <w:r>
              <w:rPr>
                <w:rFonts w:ascii="Aptos" w:hAnsi="Aptos"/>
                <w:b w:val="0"/>
                <w:sz w:val="16"/>
              </w:rPr>
              <w:t>purchase_orders; shipments; supplier_risk_events; critical_supplier_dependencies; supply_network_edges; inventory_monthly; supplier_performance_monthly</w:t>
            </w:r>
          </w:p>
        </w:tc>
      </w:tr>
      <w:tr>
        <w:tc>
          <w:tcPr>
            <w:tcW w:type="dxa" w:w="5040"/>
            <w:vAlign w:val="center"/>
            <w:shd w:fill="F0F5FA"/>
          </w:tcPr>
          <w:p>
            <w:pPr>
              <w:spacing w:after="0"/>
            </w:pPr>
            <w:r/>
            <w:r>
              <w:rPr>
                <w:rFonts w:ascii="Aptos" w:hAnsi="Aptos"/>
                <w:b w:val="0"/>
                <w:sz w:val="16"/>
              </w:rPr>
              <w:t>Manufacturing</w:t>
            </w:r>
          </w:p>
        </w:tc>
        <w:tc>
          <w:tcPr>
            <w:tcW w:type="dxa" w:w="5040"/>
            <w:vAlign w:val="center"/>
            <w:shd w:fill="F0F5FA"/>
          </w:tcPr>
          <w:p>
            <w:pPr>
              <w:spacing w:after="0"/>
            </w:pPr>
            <w:r/>
            <w:r>
              <w:rPr>
                <w:rFonts w:ascii="Aptos" w:hAnsi="Aptos"/>
                <w:b w:val="0"/>
                <w:sz w:val="16"/>
              </w:rPr>
              <w:t>production_batches; plant_capacity_monthly</w:t>
            </w:r>
          </w:p>
        </w:tc>
      </w:tr>
      <w:tr>
        <w:tc>
          <w:tcPr>
            <w:tcW w:type="dxa" w:w="5040"/>
            <w:vAlign w:val="center"/>
          </w:tcPr>
          <w:p>
            <w:pPr>
              <w:spacing w:after="0"/>
            </w:pPr>
            <w:r/>
            <w:r>
              <w:rPr>
                <w:rFonts w:ascii="Aptos" w:hAnsi="Aptos"/>
                <w:b w:val="0"/>
                <w:sz w:val="16"/>
              </w:rPr>
              <w:t>Demand and commercial</w:t>
            </w:r>
          </w:p>
        </w:tc>
        <w:tc>
          <w:tcPr>
            <w:tcW w:type="dxa" w:w="5040"/>
            <w:vAlign w:val="center"/>
          </w:tcPr>
          <w:p>
            <w:pPr>
              <w:spacing w:after="0"/>
            </w:pPr>
            <w:r/>
            <w:r>
              <w:rPr>
                <w:rFonts w:ascii="Aptos" w:hAnsi="Aptos"/>
                <w:b w:val="0"/>
                <w:sz w:val="16"/>
              </w:rPr>
              <w:t>sales; demand_forecast_actual</w:t>
            </w:r>
          </w:p>
        </w:tc>
      </w:tr>
      <w:tr>
        <w:tc>
          <w:tcPr>
            <w:tcW w:type="dxa" w:w="5040"/>
            <w:vAlign w:val="center"/>
            <w:shd w:fill="F0F5FA"/>
          </w:tcPr>
          <w:p>
            <w:pPr>
              <w:spacing w:after="0"/>
            </w:pPr>
            <w:r/>
            <w:r>
              <w:rPr>
                <w:rFonts w:ascii="Aptos" w:hAnsi="Aptos"/>
                <w:b w:val="0"/>
                <w:sz w:val="16"/>
              </w:rPr>
              <w:t>Quality</w:t>
            </w:r>
          </w:p>
        </w:tc>
        <w:tc>
          <w:tcPr>
            <w:tcW w:type="dxa" w:w="5040"/>
            <w:vAlign w:val="center"/>
            <w:shd w:fill="F0F5FA"/>
          </w:tcPr>
          <w:p>
            <w:pPr>
              <w:spacing w:after="0"/>
            </w:pPr>
            <w:r/>
            <w:r>
              <w:rPr>
                <w:rFonts w:ascii="Aptos" w:hAnsi="Aptos"/>
                <w:b w:val="0"/>
                <w:sz w:val="16"/>
              </w:rPr>
              <w:t>quality_events</w:t>
            </w:r>
          </w:p>
        </w:tc>
      </w:tr>
      <w:tr>
        <w:tc>
          <w:tcPr>
            <w:tcW w:type="dxa" w:w="5040"/>
            <w:vAlign w:val="center"/>
          </w:tcPr>
          <w:p>
            <w:pPr>
              <w:spacing w:after="0"/>
            </w:pPr>
            <w:r/>
            <w:r>
              <w:rPr>
                <w:rFonts w:ascii="Aptos" w:hAnsi="Aptos"/>
                <w:b w:val="0"/>
                <w:sz w:val="16"/>
              </w:rPr>
              <w:t>Regulatory</w:t>
            </w:r>
          </w:p>
        </w:tc>
        <w:tc>
          <w:tcPr>
            <w:tcW w:type="dxa" w:w="5040"/>
            <w:vAlign w:val="center"/>
          </w:tcPr>
          <w:p>
            <w:pPr>
              <w:spacing w:after="0"/>
            </w:pPr>
            <w:r/>
            <w:r>
              <w:rPr>
                <w:rFonts w:ascii="Aptos" w:hAnsi="Aptos"/>
                <w:b w:val="0"/>
                <w:sz w:val="16"/>
              </w:rPr>
              <w:t>regulatory_events</w:t>
            </w:r>
          </w:p>
        </w:tc>
      </w:tr>
      <w:tr>
        <w:tc>
          <w:tcPr>
            <w:tcW w:type="dxa" w:w="5040"/>
            <w:vAlign w:val="center"/>
            <w:shd w:fill="F0F5FA"/>
          </w:tcPr>
          <w:p>
            <w:pPr>
              <w:spacing w:after="0"/>
            </w:pPr>
            <w:r/>
            <w:r>
              <w:rPr>
                <w:rFonts w:ascii="Aptos" w:hAnsi="Aptos"/>
                <w:b w:val="0"/>
                <w:sz w:val="16"/>
              </w:rPr>
              <w:t>R&amp;D and clinical</w:t>
            </w:r>
          </w:p>
        </w:tc>
        <w:tc>
          <w:tcPr>
            <w:tcW w:type="dxa" w:w="5040"/>
            <w:vAlign w:val="center"/>
            <w:shd w:fill="F0F5FA"/>
          </w:tcPr>
          <w:p>
            <w:pPr>
              <w:spacing w:after="0"/>
            </w:pPr>
            <w:r/>
            <w:r>
              <w:rPr>
                <w:rFonts w:ascii="Aptos" w:hAnsi="Aptos"/>
                <w:b w:val="0"/>
                <w:sz w:val="16"/>
              </w:rPr>
              <w:t>clinical_programs; clinical_trials</w:t>
            </w:r>
          </w:p>
        </w:tc>
      </w:tr>
      <w:tr>
        <w:tc>
          <w:tcPr>
            <w:tcW w:type="dxa" w:w="5040"/>
            <w:vAlign w:val="center"/>
          </w:tcPr>
          <w:p>
            <w:pPr>
              <w:spacing w:after="0"/>
            </w:pPr>
            <w:r/>
            <w:r>
              <w:rPr>
                <w:rFonts w:ascii="Aptos" w:hAnsi="Aptos"/>
                <w:b w:val="0"/>
                <w:sz w:val="16"/>
              </w:rPr>
              <w:t>Safety</w:t>
            </w:r>
          </w:p>
        </w:tc>
        <w:tc>
          <w:tcPr>
            <w:tcW w:type="dxa" w:w="5040"/>
            <w:vAlign w:val="center"/>
          </w:tcPr>
          <w:p>
            <w:pPr>
              <w:spacing w:after="0"/>
            </w:pPr>
            <w:r/>
            <w:r>
              <w:rPr>
                <w:rFonts w:ascii="Aptos" w:hAnsi="Aptos"/>
                <w:b w:val="0"/>
                <w:sz w:val="16"/>
              </w:rPr>
              <w:t>adverse_events</w:t>
            </w:r>
          </w:p>
        </w:tc>
      </w:tr>
    </w:tbl>
    <w:p>
      <w:pPr>
        <w:spacing w:after="20"/>
      </w:pPr>
    </w:p>
    <w:p>
      <w:r>
        <w:t>Operational guidance:</w:t>
      </w:r>
    </w:p>
    <w:p>
      <w:pPr>
        <w:pStyle w:val="ListBullet"/>
        <w:spacing w:after="40"/>
      </w:pPr>
      <w:r>
        <w:t>Keep master data stable between generation runs so IDs remain referentially consistent.</w:t>
      </w:r>
    </w:p>
    <w:p>
      <w:pPr>
        <w:pStyle w:val="ListBullet"/>
        <w:spacing w:after="40"/>
      </w:pPr>
      <w:r>
        <w:t>Avoid using historical test dates in normal scheduled runs; use the current date unless a controlled backfill is intended.</w:t>
      </w:r>
    </w:p>
    <w:p>
      <w:pPr>
        <w:pStyle w:val="ListBullet"/>
        <w:spacing w:after="40"/>
      </w:pPr>
      <w:r>
        <w:t>Keep raw-generation responsibilities separate from downstream data-quality and analytics outputs.</w:t>
      </w:r>
    </w:p>
    <w:p>
      <w:pPr>
        <w:pStyle w:val="ListBullet"/>
        <w:spacing w:after="40"/>
      </w:pPr>
      <w:r>
        <w:t>Review Lambda logs and S3 object creation when diagnosing missing pipeline updates.</w:t>
      </w:r>
    </w:p>
    <w:p>
      <w:pPr>
        <w:pStyle w:val="Heading1"/>
      </w:pPr>
      <w:r>
        <w:t>5. Databricks Lakehouse Design</w:t>
      </w:r>
    </w:p>
    <w:p>
      <w:pPr>
        <w:pStyle w:val="Heading2"/>
      </w:pPr>
      <w:r>
        <w:t>Bronze layer</w:t>
      </w:r>
    </w:p>
    <w:p>
      <w:r>
        <w:t>Bronze tables ingest the raw operational files with minimal transformation. The project uses Lakeflow streaming tables/file-arrival ingestion to support incremental processing when new files arrive. This pattern reduces the need to reprocess all raw files for every arrival. Batch/materialized ingestion remains an alternative if the latency or operating model changes.</w:t>
      </w:r>
    </w:p>
    <w:p>
      <w:r>
        <w:t>Catalog: prod_global. Bronze schema: bronze_layer.</w:t>
      </w:r>
    </w:p>
    <w:p>
      <w:pPr>
        <w:pStyle w:val="Heading2"/>
      </w:pPr>
      <w:r>
        <w:t>Silver layer</w:t>
      </w:r>
    </w:p>
    <w:p>
      <w:r>
        <w:t>Silver tables standardize and prepare the ingested datasets for analysis. This layer contains cleaned operational tables and master-data dimensions used by Gold transformations. The Silver layer is the intended place to resolve schema, type, and data-quality issues before business-facing aggregation.</w:t>
      </w:r>
    </w:p>
    <w:p>
      <w:r>
        <w:t>Schema: prod_global.silver_layer.</w:t>
      </w:r>
    </w:p>
    <w:p>
      <w:pPr>
        <w:pStyle w:val="Heading2"/>
      </w:pPr>
      <w:r>
        <w:t>Gold layer</w:t>
      </w:r>
    </w:p>
    <w:p>
      <w:r>
        <w:t>Schema: prod_global.gold_layer. Gold contains seven principal analytical tables and five shared dimensions.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82B5B"/>
          </w:tcPr>
          <w:p>
            <w:pPr>
              <w:spacing w:after="0"/>
            </w:pPr>
            <w:r/>
            <w:r>
              <w:rPr>
                <w:rFonts w:ascii="Aptos" w:hAnsi="Aptos"/>
                <w:b/>
                <w:color w:val="FFFFFF"/>
                <w:sz w:val="17"/>
              </w:rPr>
              <w:t>Gold analytical table</w:t>
            </w:r>
          </w:p>
        </w:tc>
        <w:tc>
          <w:tcPr>
            <w:tcW w:type="dxa" w:w="5040"/>
            <w:vAlign w:val="center"/>
            <w:shd w:fill="082B5B"/>
          </w:tcPr>
          <w:p>
            <w:pPr>
              <w:spacing w:after="0"/>
            </w:pPr>
            <w:r/>
            <w:r>
              <w:rPr>
                <w:rFonts w:ascii="Aptos" w:hAnsi="Aptos"/>
                <w:b/>
                <w:color w:val="FFFFFF"/>
                <w:sz w:val="17"/>
              </w:rPr>
              <w:t>Purpose</w:t>
            </w:r>
          </w:p>
        </w:tc>
      </w:tr>
      <w:tr>
        <w:tc>
          <w:tcPr>
            <w:tcW w:type="dxa" w:w="5040"/>
            <w:vAlign w:val="center"/>
          </w:tcPr>
          <w:p>
            <w:pPr>
              <w:spacing w:after="0"/>
            </w:pPr>
            <w:r/>
            <w:r>
              <w:rPr>
                <w:rFonts w:ascii="Aptos" w:hAnsi="Aptos"/>
                <w:b w:val="0"/>
                <w:sz w:val="16"/>
              </w:rPr>
              <w:t>supply_chain_control_tower</w:t>
            </w:r>
          </w:p>
        </w:tc>
        <w:tc>
          <w:tcPr>
            <w:tcW w:type="dxa" w:w="5040"/>
            <w:vAlign w:val="center"/>
          </w:tcPr>
          <w:p>
            <w:pPr>
              <w:spacing w:after="0"/>
            </w:pPr>
            <w:r/>
            <w:r>
              <w:rPr>
                <w:rFonts w:ascii="Aptos" w:hAnsi="Aptos"/>
                <w:b w:val="0"/>
                <w:sz w:val="16"/>
              </w:rPr>
              <w:t>Inventory position, demand context, stockout risk and inventory coverage.</w:t>
            </w:r>
          </w:p>
        </w:tc>
      </w:tr>
      <w:tr>
        <w:tc>
          <w:tcPr>
            <w:tcW w:type="dxa" w:w="5040"/>
            <w:vAlign w:val="center"/>
            <w:shd w:fill="F0F5FA"/>
          </w:tcPr>
          <w:p>
            <w:pPr>
              <w:spacing w:after="0"/>
            </w:pPr>
            <w:r/>
            <w:r>
              <w:rPr>
                <w:rFonts w:ascii="Aptos" w:hAnsi="Aptos"/>
                <w:b w:val="0"/>
                <w:sz w:val="16"/>
              </w:rPr>
              <w:t>inventory_risk</w:t>
            </w:r>
          </w:p>
        </w:tc>
        <w:tc>
          <w:tcPr>
            <w:tcW w:type="dxa" w:w="5040"/>
            <w:vAlign w:val="center"/>
            <w:shd w:fill="F0F5FA"/>
          </w:tcPr>
          <w:p>
            <w:pPr>
              <w:spacing w:after="0"/>
            </w:pPr>
            <w:r/>
            <w:r>
              <w:rPr>
                <w:rFonts w:ascii="Aptos" w:hAnsi="Aptos"/>
                <w:b w:val="0"/>
                <w:sz w:val="16"/>
              </w:rPr>
              <w:t>Inventory days, safety-stock exposure and inventory risk band.</w:t>
            </w:r>
          </w:p>
        </w:tc>
      </w:tr>
      <w:tr>
        <w:tc>
          <w:tcPr>
            <w:tcW w:type="dxa" w:w="5040"/>
            <w:vAlign w:val="center"/>
          </w:tcPr>
          <w:p>
            <w:pPr>
              <w:spacing w:after="0"/>
            </w:pPr>
            <w:r/>
            <w:r>
              <w:rPr>
                <w:rFonts w:ascii="Aptos" w:hAnsi="Aptos"/>
                <w:b w:val="0"/>
                <w:sz w:val="16"/>
              </w:rPr>
              <w:t>supplier_risk</w:t>
            </w:r>
          </w:p>
        </w:tc>
        <w:tc>
          <w:tcPr>
            <w:tcW w:type="dxa" w:w="5040"/>
            <w:vAlign w:val="center"/>
          </w:tcPr>
          <w:p>
            <w:pPr>
              <w:spacing w:after="0"/>
            </w:pPr>
            <w:r/>
            <w:r>
              <w:rPr>
                <w:rFonts w:ascii="Aptos" w:hAnsi="Aptos"/>
                <w:b w:val="0"/>
                <w:sz w:val="16"/>
              </w:rPr>
              <w:t>Supplier performance, supplier risk events, critical dependencies and risk indicators.</w:t>
            </w:r>
          </w:p>
        </w:tc>
      </w:tr>
      <w:tr>
        <w:tc>
          <w:tcPr>
            <w:tcW w:type="dxa" w:w="5040"/>
            <w:vAlign w:val="center"/>
            <w:shd w:fill="F0F5FA"/>
          </w:tcPr>
          <w:p>
            <w:pPr>
              <w:spacing w:after="0"/>
            </w:pPr>
            <w:r/>
            <w:r>
              <w:rPr>
                <w:rFonts w:ascii="Aptos" w:hAnsi="Aptos"/>
                <w:b w:val="0"/>
                <w:sz w:val="16"/>
              </w:rPr>
              <w:t>demand_performance</w:t>
            </w:r>
          </w:p>
        </w:tc>
        <w:tc>
          <w:tcPr>
            <w:tcW w:type="dxa" w:w="5040"/>
            <w:vAlign w:val="center"/>
            <w:shd w:fill="F0F5FA"/>
          </w:tcPr>
          <w:p>
            <w:pPr>
              <w:spacing w:after="0"/>
            </w:pPr>
            <w:r/>
            <w:r>
              <w:rPr>
                <w:rFonts w:ascii="Aptos" w:hAnsi="Aptos"/>
                <w:b w:val="0"/>
                <w:sz w:val="16"/>
              </w:rPr>
              <w:t>Forecast units, actual demand, forecast bias and forecast error.</w:t>
            </w:r>
          </w:p>
        </w:tc>
      </w:tr>
      <w:tr>
        <w:tc>
          <w:tcPr>
            <w:tcW w:type="dxa" w:w="5040"/>
            <w:vAlign w:val="center"/>
          </w:tcPr>
          <w:p>
            <w:pPr>
              <w:spacing w:after="0"/>
            </w:pPr>
            <w:r/>
            <w:r>
              <w:rPr>
                <w:rFonts w:ascii="Aptos" w:hAnsi="Aptos"/>
                <w:b w:val="0"/>
                <w:sz w:val="16"/>
              </w:rPr>
              <w:t>manufacturing_performance</w:t>
            </w:r>
          </w:p>
        </w:tc>
        <w:tc>
          <w:tcPr>
            <w:tcW w:type="dxa" w:w="5040"/>
            <w:vAlign w:val="center"/>
          </w:tcPr>
          <w:p>
            <w:pPr>
              <w:spacing w:after="0"/>
            </w:pPr>
            <w:r/>
            <w:r>
              <w:rPr>
                <w:rFonts w:ascii="Aptos" w:hAnsi="Aptos"/>
                <w:b w:val="0"/>
                <w:sz w:val="16"/>
              </w:rPr>
              <w:t>Production output, yield, utilisation, batch status and capacity context.</w:t>
            </w:r>
          </w:p>
        </w:tc>
      </w:tr>
      <w:tr>
        <w:tc>
          <w:tcPr>
            <w:tcW w:type="dxa" w:w="5040"/>
            <w:vAlign w:val="center"/>
            <w:shd w:fill="F0F5FA"/>
          </w:tcPr>
          <w:p>
            <w:pPr>
              <w:spacing w:after="0"/>
            </w:pPr>
            <w:r/>
            <w:r>
              <w:rPr>
                <w:rFonts w:ascii="Aptos" w:hAnsi="Aptos"/>
                <w:b w:val="0"/>
                <w:sz w:val="16"/>
              </w:rPr>
              <w:t>quality_regulatory</w:t>
            </w:r>
          </w:p>
        </w:tc>
        <w:tc>
          <w:tcPr>
            <w:tcW w:type="dxa" w:w="5040"/>
            <w:vAlign w:val="center"/>
            <w:shd w:fill="F0F5FA"/>
          </w:tcPr>
          <w:p>
            <w:pPr>
              <w:spacing w:after="0"/>
            </w:pPr>
            <w:r/>
            <w:r>
              <w:rPr>
                <w:rFonts w:ascii="Aptos" w:hAnsi="Aptos"/>
                <w:b w:val="0"/>
                <w:sz w:val="16"/>
              </w:rPr>
              <w:t>Quality and regulatory events combined for cross-domain reporting.</w:t>
            </w:r>
          </w:p>
        </w:tc>
      </w:tr>
      <w:tr>
        <w:tc>
          <w:tcPr>
            <w:tcW w:type="dxa" w:w="5040"/>
            <w:vAlign w:val="center"/>
          </w:tcPr>
          <w:p>
            <w:pPr>
              <w:spacing w:after="0"/>
            </w:pPr>
            <w:r/>
            <w:r>
              <w:rPr>
                <w:rFonts w:ascii="Aptos" w:hAnsi="Aptos"/>
                <w:b w:val="0"/>
                <w:sz w:val="16"/>
              </w:rPr>
              <w:t>clinical_safety</w:t>
            </w:r>
          </w:p>
        </w:tc>
        <w:tc>
          <w:tcPr>
            <w:tcW w:type="dxa" w:w="5040"/>
            <w:vAlign w:val="center"/>
          </w:tcPr>
          <w:p>
            <w:pPr>
              <w:spacing w:after="0"/>
            </w:pPr>
            <w:r/>
            <w:r>
              <w:rPr>
                <w:rFonts w:ascii="Aptos" w:hAnsi="Aptos"/>
                <w:b w:val="0"/>
                <w:sz w:val="16"/>
              </w:rPr>
              <w:t>Clinical programs/trials joined with safety/adverse-event records.</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82B5B"/>
          </w:tcPr>
          <w:p>
            <w:pPr>
              <w:spacing w:after="0"/>
            </w:pPr>
            <w:r/>
            <w:r>
              <w:rPr>
                <w:rFonts w:ascii="Aptos" w:hAnsi="Aptos"/>
                <w:b/>
                <w:color w:val="FFFFFF"/>
                <w:sz w:val="17"/>
              </w:rPr>
              <w:t>Shared dimension</w:t>
            </w:r>
          </w:p>
        </w:tc>
        <w:tc>
          <w:tcPr>
            <w:tcW w:type="dxa" w:w="5040"/>
            <w:vAlign w:val="center"/>
            <w:shd w:fill="082B5B"/>
          </w:tcPr>
          <w:p>
            <w:pPr>
              <w:spacing w:after="0"/>
            </w:pPr>
            <w:r/>
            <w:r>
              <w:rPr>
                <w:rFonts w:ascii="Aptos" w:hAnsi="Aptos"/>
                <w:b/>
                <w:color w:val="FFFFFF"/>
                <w:sz w:val="17"/>
              </w:rPr>
              <w:t>Business key and principal attributes</w:t>
            </w:r>
          </w:p>
        </w:tc>
      </w:tr>
      <w:tr>
        <w:tc>
          <w:tcPr>
            <w:tcW w:type="dxa" w:w="5040"/>
            <w:vAlign w:val="center"/>
          </w:tcPr>
          <w:p>
            <w:pPr>
              <w:spacing w:after="0"/>
            </w:pPr>
            <w:r/>
            <w:r>
              <w:rPr>
                <w:rFonts w:ascii="Aptos" w:hAnsi="Aptos"/>
                <w:b w:val="0"/>
                <w:sz w:val="16"/>
              </w:rPr>
              <w:t>dim_product</w:t>
            </w:r>
          </w:p>
        </w:tc>
        <w:tc>
          <w:tcPr>
            <w:tcW w:type="dxa" w:w="5040"/>
            <w:vAlign w:val="center"/>
          </w:tcPr>
          <w:p>
            <w:pPr>
              <w:spacing w:after="0"/>
            </w:pPr>
            <w:r/>
            <w:r>
              <w:rPr>
                <w:rFonts w:ascii="Aptos" w:hAnsi="Aptos"/>
                <w:b w:val="0"/>
                <w:sz w:val="16"/>
              </w:rPr>
              <w:t>ProductID; ProductName; TherapeuticArea; DosageForm; ProductType; StorageClass</w:t>
            </w:r>
          </w:p>
        </w:tc>
      </w:tr>
      <w:tr>
        <w:tc>
          <w:tcPr>
            <w:tcW w:type="dxa" w:w="5040"/>
            <w:vAlign w:val="center"/>
            <w:shd w:fill="F0F5FA"/>
          </w:tcPr>
          <w:p>
            <w:pPr>
              <w:spacing w:after="0"/>
            </w:pPr>
            <w:r/>
            <w:r>
              <w:rPr>
                <w:rFonts w:ascii="Aptos" w:hAnsi="Aptos"/>
                <w:b w:val="0"/>
                <w:sz w:val="16"/>
              </w:rPr>
              <w:t>dim_country</w:t>
            </w:r>
          </w:p>
        </w:tc>
        <w:tc>
          <w:tcPr>
            <w:tcW w:type="dxa" w:w="5040"/>
            <w:vAlign w:val="center"/>
            <w:shd w:fill="F0F5FA"/>
          </w:tcPr>
          <w:p>
            <w:pPr>
              <w:spacing w:after="0"/>
            </w:pPr>
            <w:r/>
            <w:r>
              <w:rPr>
                <w:rFonts w:ascii="Aptos" w:hAnsi="Aptos"/>
                <w:b w:val="0"/>
                <w:sz w:val="16"/>
              </w:rPr>
              <w:t>CountryCode; Country; Region</w:t>
            </w:r>
          </w:p>
        </w:tc>
      </w:tr>
      <w:tr>
        <w:tc>
          <w:tcPr>
            <w:tcW w:type="dxa" w:w="5040"/>
            <w:vAlign w:val="center"/>
          </w:tcPr>
          <w:p>
            <w:pPr>
              <w:spacing w:after="0"/>
            </w:pPr>
            <w:r/>
            <w:r>
              <w:rPr>
                <w:rFonts w:ascii="Aptos" w:hAnsi="Aptos"/>
                <w:b w:val="0"/>
                <w:sz w:val="16"/>
              </w:rPr>
              <w:t>dim_supplier</w:t>
            </w:r>
          </w:p>
        </w:tc>
        <w:tc>
          <w:tcPr>
            <w:tcW w:type="dxa" w:w="5040"/>
            <w:vAlign w:val="center"/>
          </w:tcPr>
          <w:p>
            <w:pPr>
              <w:spacing w:after="0"/>
            </w:pPr>
            <w:r/>
            <w:r>
              <w:rPr>
                <w:rFonts w:ascii="Aptos" w:hAnsi="Aptos"/>
                <w:b w:val="0"/>
                <w:sz w:val="16"/>
              </w:rPr>
              <w:t>SupplierID; SupplierName; CountryCode; MaterialCategory; BaseUnitCost; NominalLeadTimeDays; StrategicRisk</w:t>
            </w:r>
          </w:p>
        </w:tc>
      </w:tr>
      <w:tr>
        <w:tc>
          <w:tcPr>
            <w:tcW w:type="dxa" w:w="5040"/>
            <w:vAlign w:val="center"/>
            <w:shd w:fill="F0F5FA"/>
          </w:tcPr>
          <w:p>
            <w:pPr>
              <w:spacing w:after="0"/>
            </w:pPr>
            <w:r/>
            <w:r>
              <w:rPr>
                <w:rFonts w:ascii="Aptos" w:hAnsi="Aptos"/>
                <w:b w:val="0"/>
                <w:sz w:val="16"/>
              </w:rPr>
              <w:t>dim_plant</w:t>
            </w:r>
          </w:p>
        </w:tc>
        <w:tc>
          <w:tcPr>
            <w:tcW w:type="dxa" w:w="5040"/>
            <w:vAlign w:val="center"/>
            <w:shd w:fill="F0F5FA"/>
          </w:tcPr>
          <w:p>
            <w:pPr>
              <w:spacing w:after="0"/>
            </w:pPr>
            <w:r/>
            <w:r>
              <w:rPr>
                <w:rFonts w:ascii="Aptos" w:hAnsi="Aptos"/>
                <w:b w:val="0"/>
                <w:sz w:val="16"/>
              </w:rPr>
              <w:t>PlantID; PlantName; CountryCode; PlantType; MonthlyCapacityUnits</w:t>
            </w:r>
          </w:p>
        </w:tc>
      </w:tr>
      <w:tr>
        <w:tc>
          <w:tcPr>
            <w:tcW w:type="dxa" w:w="5040"/>
            <w:vAlign w:val="center"/>
          </w:tcPr>
          <w:p>
            <w:pPr>
              <w:spacing w:after="0"/>
            </w:pPr>
            <w:r/>
            <w:r>
              <w:rPr>
                <w:rFonts w:ascii="Aptos" w:hAnsi="Aptos"/>
                <w:b w:val="0"/>
                <w:sz w:val="16"/>
              </w:rPr>
              <w:t>dim_distribution_centre</w:t>
            </w:r>
          </w:p>
        </w:tc>
        <w:tc>
          <w:tcPr>
            <w:tcW w:type="dxa" w:w="5040"/>
            <w:vAlign w:val="center"/>
          </w:tcPr>
          <w:p>
            <w:pPr>
              <w:spacing w:after="0"/>
            </w:pPr>
            <w:r/>
            <w:r>
              <w:rPr>
                <w:rFonts w:ascii="Aptos" w:hAnsi="Aptos"/>
                <w:b w:val="0"/>
                <w:sz w:val="16"/>
              </w:rPr>
              <w:t>DCID; DCName; CountryCode; StorageCapacityUnits</w:t>
            </w:r>
          </w:p>
        </w:tc>
      </w:tr>
    </w:tbl>
    <w:p>
      <w:pPr>
        <w:spacing w:after="20"/>
      </w:pPr>
    </w:p>
    <w:p>
      <w:pPr>
        <w:pStyle w:val="Heading2"/>
      </w:pPr>
      <w:r>
        <w:t>Dimensional modelling decisions</w:t>
      </w:r>
    </w:p>
    <w:p>
      <w:pPr>
        <w:pStyle w:val="ListBullet"/>
        <w:spacing w:after="40"/>
      </w:pPr>
      <w:r>
        <w:t>Keep descriptive dimension attributes in shared Gold dimensions and retain business keys in Gold analytical tables.</w:t>
      </w:r>
    </w:p>
    <w:p>
      <w:pPr>
        <w:pStyle w:val="ListBullet"/>
        <w:spacing w:after="40"/>
      </w:pPr>
      <w:r>
        <w:t>Power BI relationships should connect dimensions to facts using the corresponding keys.</w:t>
      </w:r>
    </w:p>
    <w:p>
      <w:pPr>
        <w:pStyle w:val="ListBullet"/>
        <w:spacing w:after="40"/>
      </w:pPr>
      <w:r>
        <w:t>Remove dimension-derived descriptive columns from fact tables where the shared dimension supplies the same attribute.</w:t>
      </w:r>
    </w:p>
    <w:p>
      <w:pPr>
        <w:pStyle w:val="ListBullet"/>
        <w:spacing w:after="40"/>
      </w:pPr>
      <w:r>
        <w:t>Retain joins that define the analytical grain of a fact, such as inventory joined to demand, quality joined to regulatory events, and trials joined to adverse events.</w:t>
      </w:r>
    </w:p>
    <w:p>
      <w:pPr>
        <w:pStyle w:val="ListBullet"/>
        <w:spacing w:after="40"/>
      </w:pPr>
      <w:r>
        <w:t>Use distinct event IDs for event counts where joins can create duplicate rows.</w:t>
      </w:r>
    </w:p>
    <w:p>
      <w:pPr>
        <w:pStyle w:val="ListBullet"/>
        <w:spacing w:after="40"/>
      </w:pPr>
      <w:r>
        <w:t>Aggregate trial enrollment at TrialID grain before summing when a trial has multiple related adverse-event rows.</w:t>
      </w:r>
    </w:p>
    <w:p>
      <w:pPr>
        <w:pStyle w:val="Heading1"/>
      </w:pPr>
      <w:r>
        <w:t>6. Data Inventory and Known Grain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82B5B"/>
          </w:tcPr>
          <w:p>
            <w:pPr>
              <w:spacing w:after="0"/>
            </w:pPr>
            <w:r/>
            <w:r>
              <w:rPr>
                <w:rFonts w:ascii="Aptos" w:hAnsi="Aptos"/>
                <w:b/>
                <w:color w:val="FFFFFF"/>
                <w:sz w:val="17"/>
              </w:rPr>
              <w:t>Dataset</w:t>
            </w:r>
          </w:p>
        </w:tc>
        <w:tc>
          <w:tcPr>
            <w:tcW w:type="dxa" w:w="3360"/>
            <w:vAlign w:val="center"/>
            <w:shd w:fill="082B5B"/>
          </w:tcPr>
          <w:p>
            <w:pPr>
              <w:spacing w:after="0"/>
            </w:pPr>
            <w:r/>
            <w:r>
              <w:rPr>
                <w:rFonts w:ascii="Aptos" w:hAnsi="Aptos"/>
                <w:b/>
                <w:color w:val="FFFFFF"/>
                <w:sz w:val="17"/>
              </w:rPr>
              <w:t>Key fields</w:t>
            </w:r>
          </w:p>
        </w:tc>
        <w:tc>
          <w:tcPr>
            <w:tcW w:type="dxa" w:w="3360"/>
            <w:vAlign w:val="center"/>
            <w:shd w:fill="082B5B"/>
          </w:tcPr>
          <w:p>
            <w:pPr>
              <w:spacing w:after="0"/>
            </w:pPr>
            <w:r/>
            <w:r>
              <w:rPr>
                <w:rFonts w:ascii="Aptos" w:hAnsi="Aptos"/>
                <w:b/>
                <w:color w:val="FFFFFF"/>
                <w:sz w:val="17"/>
              </w:rPr>
              <w:t>Grain / modelling note</w:t>
            </w:r>
          </w:p>
        </w:tc>
      </w:tr>
      <w:tr>
        <w:tc>
          <w:tcPr>
            <w:tcW w:type="dxa" w:w="3360"/>
            <w:vAlign w:val="center"/>
          </w:tcPr>
          <w:p>
            <w:pPr>
              <w:spacing w:after="0"/>
            </w:pPr>
            <w:r/>
            <w:r>
              <w:rPr>
                <w:rFonts w:ascii="Aptos" w:hAnsi="Aptos"/>
                <w:b w:val="0"/>
                <w:sz w:val="16"/>
              </w:rPr>
              <w:t>sales</w:t>
            </w:r>
          </w:p>
        </w:tc>
        <w:tc>
          <w:tcPr>
            <w:tcW w:type="dxa" w:w="3360"/>
            <w:vAlign w:val="center"/>
          </w:tcPr>
          <w:p>
            <w:pPr>
              <w:spacing w:after="0"/>
            </w:pPr>
            <w:r/>
            <w:r>
              <w:rPr>
                <w:rFonts w:ascii="Aptos" w:hAnsi="Aptos"/>
                <w:b w:val="0"/>
                <w:sz w:val="16"/>
              </w:rPr>
              <w:t>SalesID, SaleDate, ProductID, CountryCode, UnitsSold, UnitPrice, Channel, NetSales</w:t>
            </w:r>
          </w:p>
        </w:tc>
        <w:tc>
          <w:tcPr>
            <w:tcW w:type="dxa" w:w="3360"/>
            <w:vAlign w:val="center"/>
          </w:tcPr>
          <w:p>
            <w:pPr>
              <w:spacing w:after="0"/>
            </w:pPr>
            <w:r/>
            <w:r>
              <w:rPr>
                <w:rFonts w:ascii="Aptos" w:hAnsi="Aptos"/>
                <w:b w:val="0"/>
                <w:sz w:val="16"/>
              </w:rPr>
              <w:t>Sales transaction/record grain; no customer identifier.</w:t>
            </w:r>
          </w:p>
        </w:tc>
      </w:tr>
      <w:tr>
        <w:tc>
          <w:tcPr>
            <w:tcW w:type="dxa" w:w="3360"/>
            <w:vAlign w:val="center"/>
            <w:shd w:fill="F0F5FA"/>
          </w:tcPr>
          <w:p>
            <w:pPr>
              <w:spacing w:after="0"/>
            </w:pPr>
            <w:r/>
            <w:r>
              <w:rPr>
                <w:rFonts w:ascii="Aptos" w:hAnsi="Aptos"/>
                <w:b w:val="0"/>
                <w:sz w:val="16"/>
              </w:rPr>
              <w:t>demand_forecast_actual</w:t>
            </w:r>
          </w:p>
        </w:tc>
        <w:tc>
          <w:tcPr>
            <w:tcW w:type="dxa" w:w="3360"/>
            <w:vAlign w:val="center"/>
            <w:shd w:fill="F0F5FA"/>
          </w:tcPr>
          <w:p>
            <w:pPr>
              <w:spacing w:after="0"/>
            </w:pPr>
            <w:r/>
            <w:r>
              <w:rPr>
                <w:rFonts w:ascii="Aptos" w:hAnsi="Aptos"/>
                <w:b w:val="0"/>
                <w:sz w:val="16"/>
              </w:rPr>
              <w:t>Month, ProductID, CountryCode, ForecastUnits, ActualDemandUnits, ForecastBiasUnits, ForecastErrorPct</w:t>
            </w:r>
          </w:p>
        </w:tc>
        <w:tc>
          <w:tcPr>
            <w:tcW w:type="dxa" w:w="3360"/>
            <w:vAlign w:val="center"/>
            <w:shd w:fill="F0F5FA"/>
          </w:tcPr>
          <w:p>
            <w:pPr>
              <w:spacing w:after="0"/>
            </w:pPr>
            <w:r/>
            <w:r>
              <w:rPr>
                <w:rFonts w:ascii="Aptos" w:hAnsi="Aptos"/>
                <w:b w:val="0"/>
                <w:sz w:val="16"/>
              </w:rPr>
              <w:t>Monthly product-country demand grain.</w:t>
            </w:r>
          </w:p>
        </w:tc>
      </w:tr>
      <w:tr>
        <w:tc>
          <w:tcPr>
            <w:tcW w:type="dxa" w:w="3360"/>
            <w:vAlign w:val="center"/>
          </w:tcPr>
          <w:p>
            <w:pPr>
              <w:spacing w:after="0"/>
            </w:pPr>
            <w:r/>
            <w:r>
              <w:rPr>
                <w:rFonts w:ascii="Aptos" w:hAnsi="Aptos"/>
                <w:b w:val="0"/>
                <w:sz w:val="16"/>
              </w:rPr>
              <w:t>inventory_monthly</w:t>
            </w:r>
          </w:p>
        </w:tc>
        <w:tc>
          <w:tcPr>
            <w:tcW w:type="dxa" w:w="3360"/>
            <w:vAlign w:val="center"/>
          </w:tcPr>
          <w:p>
            <w:pPr>
              <w:spacing w:after="0"/>
            </w:pPr>
            <w:r/>
            <w:r>
              <w:rPr>
                <w:rFonts w:ascii="Aptos" w:hAnsi="Aptos"/>
                <w:b w:val="0"/>
                <w:sz w:val="16"/>
              </w:rPr>
              <w:t>Month, ProductID, CountryCode, OnHandUnits, SafetyStockUnits, InventoryDays, StockoutRisk</w:t>
            </w:r>
          </w:p>
        </w:tc>
        <w:tc>
          <w:tcPr>
            <w:tcW w:type="dxa" w:w="3360"/>
            <w:vAlign w:val="center"/>
          </w:tcPr>
          <w:p>
            <w:pPr>
              <w:spacing w:after="0"/>
            </w:pPr>
            <w:r/>
            <w:r>
              <w:rPr>
                <w:rFonts w:ascii="Aptos" w:hAnsi="Aptos"/>
                <w:b w:val="0"/>
                <w:sz w:val="16"/>
              </w:rPr>
              <w:t>Monthly product-country inventory grain.</w:t>
            </w:r>
          </w:p>
        </w:tc>
      </w:tr>
      <w:tr>
        <w:tc>
          <w:tcPr>
            <w:tcW w:type="dxa" w:w="3360"/>
            <w:vAlign w:val="center"/>
            <w:shd w:fill="F0F5FA"/>
          </w:tcPr>
          <w:p>
            <w:pPr>
              <w:spacing w:after="0"/>
            </w:pPr>
            <w:r/>
            <w:r>
              <w:rPr>
                <w:rFonts w:ascii="Aptos" w:hAnsi="Aptos"/>
                <w:b w:val="0"/>
                <w:sz w:val="16"/>
              </w:rPr>
              <w:t>supplier_performance_monthly</w:t>
            </w:r>
          </w:p>
        </w:tc>
        <w:tc>
          <w:tcPr>
            <w:tcW w:type="dxa" w:w="3360"/>
            <w:vAlign w:val="center"/>
            <w:shd w:fill="F0F5FA"/>
          </w:tcPr>
          <w:p>
            <w:pPr>
              <w:spacing w:after="0"/>
            </w:pPr>
            <w:r/>
            <w:r>
              <w:rPr>
                <w:rFonts w:ascii="Aptos" w:hAnsi="Aptos"/>
                <w:b w:val="0"/>
                <w:sz w:val="16"/>
              </w:rPr>
              <w:t>SupplierID, Month, OnTimeDeliveryPct, QualityAcceptancePct, AvgLeadTimeDays, DeliveryCount</w:t>
            </w:r>
          </w:p>
        </w:tc>
        <w:tc>
          <w:tcPr>
            <w:tcW w:type="dxa" w:w="3360"/>
            <w:vAlign w:val="center"/>
            <w:shd w:fill="F0F5FA"/>
          </w:tcPr>
          <w:p>
            <w:pPr>
              <w:spacing w:after="0"/>
            </w:pPr>
            <w:r/>
            <w:r>
              <w:rPr>
                <w:rFonts w:ascii="Aptos" w:hAnsi="Aptos"/>
                <w:b w:val="0"/>
                <w:sz w:val="16"/>
              </w:rPr>
              <w:t>Monthly supplier grain.</w:t>
            </w:r>
          </w:p>
        </w:tc>
      </w:tr>
      <w:tr>
        <w:tc>
          <w:tcPr>
            <w:tcW w:type="dxa" w:w="3360"/>
            <w:vAlign w:val="center"/>
          </w:tcPr>
          <w:p>
            <w:pPr>
              <w:spacing w:after="0"/>
            </w:pPr>
            <w:r/>
            <w:r>
              <w:rPr>
                <w:rFonts w:ascii="Aptos" w:hAnsi="Aptos"/>
                <w:b w:val="0"/>
                <w:sz w:val="16"/>
              </w:rPr>
              <w:t>purchase_orders</w:t>
            </w:r>
          </w:p>
        </w:tc>
        <w:tc>
          <w:tcPr>
            <w:tcW w:type="dxa" w:w="3360"/>
            <w:vAlign w:val="center"/>
          </w:tcPr>
          <w:p>
            <w:pPr>
              <w:spacing w:after="0"/>
            </w:pPr>
            <w:r/>
            <w:r>
              <w:rPr>
                <w:rFonts w:ascii="Aptos" w:hAnsi="Aptos"/>
                <w:b w:val="0"/>
                <w:sz w:val="16"/>
              </w:rPr>
              <w:t>PurchaseOrderID, OrderDate, SupplierID, ProductID, OrderedUnits, ExpectedReceiptDate, ActualReceiptDate, UnitCost, POStatus</w:t>
            </w:r>
          </w:p>
        </w:tc>
        <w:tc>
          <w:tcPr>
            <w:tcW w:type="dxa" w:w="3360"/>
            <w:vAlign w:val="center"/>
          </w:tcPr>
          <w:p>
            <w:pPr>
              <w:spacing w:after="0"/>
            </w:pPr>
            <w:r/>
            <w:r>
              <w:rPr>
                <w:rFonts w:ascii="Aptos" w:hAnsi="Aptos"/>
                <w:b w:val="0"/>
                <w:sz w:val="16"/>
              </w:rPr>
              <w:t>Purchase-order grain.</w:t>
            </w:r>
          </w:p>
        </w:tc>
      </w:tr>
      <w:tr>
        <w:tc>
          <w:tcPr>
            <w:tcW w:type="dxa" w:w="3360"/>
            <w:vAlign w:val="center"/>
            <w:shd w:fill="F0F5FA"/>
          </w:tcPr>
          <w:p>
            <w:pPr>
              <w:spacing w:after="0"/>
            </w:pPr>
            <w:r/>
            <w:r>
              <w:rPr>
                <w:rFonts w:ascii="Aptos" w:hAnsi="Aptos"/>
                <w:b w:val="0"/>
                <w:sz w:val="16"/>
              </w:rPr>
              <w:t>shipments</w:t>
            </w:r>
          </w:p>
        </w:tc>
        <w:tc>
          <w:tcPr>
            <w:tcW w:type="dxa" w:w="3360"/>
            <w:vAlign w:val="center"/>
            <w:shd w:fill="F0F5FA"/>
          </w:tcPr>
          <w:p>
            <w:pPr>
              <w:spacing w:after="0"/>
            </w:pPr>
            <w:r/>
            <w:r>
              <w:rPr>
                <w:rFonts w:ascii="Aptos" w:hAnsi="Aptos"/>
                <w:b w:val="0"/>
                <w:sz w:val="16"/>
              </w:rPr>
              <w:t>ShipmentID, ShipmentDate, ProductID, OriginDCID, DestinationCountryCode, PlannedUnits, PlannedTransitDays, ActualDelayDays, TransportMode, ShippedUnits, OnTimeFlag</w:t>
            </w:r>
          </w:p>
        </w:tc>
        <w:tc>
          <w:tcPr>
            <w:tcW w:type="dxa" w:w="3360"/>
            <w:vAlign w:val="center"/>
            <w:shd w:fill="F0F5FA"/>
          </w:tcPr>
          <w:p>
            <w:pPr>
              <w:spacing w:after="0"/>
            </w:pPr>
            <w:r/>
            <w:r>
              <w:rPr>
                <w:rFonts w:ascii="Aptos" w:hAnsi="Aptos"/>
                <w:b w:val="0"/>
                <w:sz w:val="16"/>
              </w:rPr>
              <w:t>Shipment grain.</w:t>
            </w:r>
          </w:p>
        </w:tc>
      </w:tr>
      <w:tr>
        <w:tc>
          <w:tcPr>
            <w:tcW w:type="dxa" w:w="3360"/>
            <w:vAlign w:val="center"/>
          </w:tcPr>
          <w:p>
            <w:pPr>
              <w:spacing w:after="0"/>
            </w:pPr>
            <w:r/>
            <w:r>
              <w:rPr>
                <w:rFonts w:ascii="Aptos" w:hAnsi="Aptos"/>
                <w:b w:val="0"/>
                <w:sz w:val="16"/>
              </w:rPr>
              <w:t>production_batches</w:t>
            </w:r>
          </w:p>
        </w:tc>
        <w:tc>
          <w:tcPr>
            <w:tcW w:type="dxa" w:w="3360"/>
            <w:vAlign w:val="center"/>
          </w:tcPr>
          <w:p>
            <w:pPr>
              <w:spacing w:after="0"/>
            </w:pPr>
            <w:r/>
            <w:r>
              <w:rPr>
                <w:rFonts w:ascii="Aptos" w:hAnsi="Aptos"/>
                <w:b w:val="0"/>
                <w:sz w:val="16"/>
              </w:rPr>
              <w:t>BatchID, ProductionDate, ProductID, PlantID, PlannedUnits, YieldPct, BatchStatus, ProducedUnits</w:t>
            </w:r>
          </w:p>
        </w:tc>
        <w:tc>
          <w:tcPr>
            <w:tcW w:type="dxa" w:w="3360"/>
            <w:vAlign w:val="center"/>
          </w:tcPr>
          <w:p>
            <w:pPr>
              <w:spacing w:after="0"/>
            </w:pPr>
            <w:r/>
            <w:r>
              <w:rPr>
                <w:rFonts w:ascii="Aptos" w:hAnsi="Aptos"/>
                <w:b w:val="0"/>
                <w:sz w:val="16"/>
              </w:rPr>
              <w:t>Batch grain.</w:t>
            </w:r>
          </w:p>
        </w:tc>
      </w:tr>
      <w:tr>
        <w:tc>
          <w:tcPr>
            <w:tcW w:type="dxa" w:w="3360"/>
            <w:vAlign w:val="center"/>
            <w:shd w:fill="F0F5FA"/>
          </w:tcPr>
          <w:p>
            <w:pPr>
              <w:spacing w:after="0"/>
            </w:pPr>
            <w:r/>
            <w:r>
              <w:rPr>
                <w:rFonts w:ascii="Aptos" w:hAnsi="Aptos"/>
                <w:b w:val="0"/>
                <w:sz w:val="16"/>
              </w:rPr>
              <w:t>plant_capacity_monthly</w:t>
            </w:r>
          </w:p>
        </w:tc>
        <w:tc>
          <w:tcPr>
            <w:tcW w:type="dxa" w:w="3360"/>
            <w:vAlign w:val="center"/>
            <w:shd w:fill="F0F5FA"/>
          </w:tcPr>
          <w:p>
            <w:pPr>
              <w:spacing w:after="0"/>
            </w:pPr>
            <w:r/>
            <w:r>
              <w:rPr>
                <w:rFonts w:ascii="Aptos" w:hAnsi="Aptos"/>
                <w:b w:val="0"/>
                <w:sz w:val="16"/>
              </w:rPr>
              <w:t>Month, PlantID, AvailableCapacityUnits, ProducedUnits, UtilisationPct, CapacityStatus</w:t>
            </w:r>
          </w:p>
        </w:tc>
        <w:tc>
          <w:tcPr>
            <w:tcW w:type="dxa" w:w="3360"/>
            <w:vAlign w:val="center"/>
            <w:shd w:fill="F0F5FA"/>
          </w:tcPr>
          <w:p>
            <w:pPr>
              <w:spacing w:after="0"/>
            </w:pPr>
            <w:r/>
            <w:r>
              <w:rPr>
                <w:rFonts w:ascii="Aptos" w:hAnsi="Aptos"/>
                <w:b w:val="0"/>
                <w:sz w:val="16"/>
              </w:rPr>
              <w:t>Monthly plant grain.</w:t>
            </w:r>
          </w:p>
        </w:tc>
      </w:tr>
      <w:tr>
        <w:tc>
          <w:tcPr>
            <w:tcW w:type="dxa" w:w="3360"/>
            <w:vAlign w:val="center"/>
          </w:tcPr>
          <w:p>
            <w:pPr>
              <w:spacing w:after="0"/>
            </w:pPr>
            <w:r/>
            <w:r>
              <w:rPr>
                <w:rFonts w:ascii="Aptos" w:hAnsi="Aptos"/>
                <w:b w:val="0"/>
                <w:sz w:val="16"/>
              </w:rPr>
              <w:t>quality_events</w:t>
            </w:r>
          </w:p>
        </w:tc>
        <w:tc>
          <w:tcPr>
            <w:tcW w:type="dxa" w:w="3360"/>
            <w:vAlign w:val="center"/>
          </w:tcPr>
          <w:p>
            <w:pPr>
              <w:spacing w:after="0"/>
            </w:pPr>
            <w:r/>
            <w:r>
              <w:rPr>
                <w:rFonts w:ascii="Aptos" w:hAnsi="Aptos"/>
                <w:b w:val="0"/>
                <w:sz w:val="16"/>
              </w:rPr>
              <w:t>QualityEventID, EventDate, ProductID, PlantID, SupplierID, EventType, Severity, ClosedFlag, ResolutionDays</w:t>
            </w:r>
          </w:p>
        </w:tc>
        <w:tc>
          <w:tcPr>
            <w:tcW w:type="dxa" w:w="3360"/>
            <w:vAlign w:val="center"/>
          </w:tcPr>
          <w:p>
            <w:pPr>
              <w:spacing w:after="0"/>
            </w:pPr>
            <w:r/>
            <w:r>
              <w:rPr>
                <w:rFonts w:ascii="Aptos" w:hAnsi="Aptos"/>
                <w:b w:val="0"/>
                <w:sz w:val="16"/>
              </w:rPr>
              <w:t>Quality-event grain.</w:t>
            </w:r>
          </w:p>
        </w:tc>
      </w:tr>
      <w:tr>
        <w:tc>
          <w:tcPr>
            <w:tcW w:type="dxa" w:w="3360"/>
            <w:vAlign w:val="center"/>
            <w:shd w:fill="F0F5FA"/>
          </w:tcPr>
          <w:p>
            <w:pPr>
              <w:spacing w:after="0"/>
            </w:pPr>
            <w:r/>
            <w:r>
              <w:rPr>
                <w:rFonts w:ascii="Aptos" w:hAnsi="Aptos"/>
                <w:b w:val="0"/>
                <w:sz w:val="16"/>
              </w:rPr>
              <w:t>regulatory_events</w:t>
            </w:r>
          </w:p>
        </w:tc>
        <w:tc>
          <w:tcPr>
            <w:tcW w:type="dxa" w:w="3360"/>
            <w:vAlign w:val="center"/>
            <w:shd w:fill="F0F5FA"/>
          </w:tcPr>
          <w:p>
            <w:pPr>
              <w:spacing w:after="0"/>
            </w:pPr>
            <w:r/>
            <w:r>
              <w:rPr>
                <w:rFonts w:ascii="Aptos" w:hAnsi="Aptos"/>
                <w:b w:val="0"/>
                <w:sz w:val="16"/>
              </w:rPr>
              <w:t>RegulatoryEventID, EventDate, ProductID, CountryCode, EventType, Status, Priority</w:t>
            </w:r>
          </w:p>
        </w:tc>
        <w:tc>
          <w:tcPr>
            <w:tcW w:type="dxa" w:w="3360"/>
            <w:vAlign w:val="center"/>
            <w:shd w:fill="F0F5FA"/>
          </w:tcPr>
          <w:p>
            <w:pPr>
              <w:spacing w:after="0"/>
            </w:pPr>
            <w:r/>
            <w:r>
              <w:rPr>
                <w:rFonts w:ascii="Aptos" w:hAnsi="Aptos"/>
                <w:b w:val="0"/>
                <w:sz w:val="16"/>
              </w:rPr>
              <w:t>Regulatory-event grain.</w:t>
            </w:r>
          </w:p>
        </w:tc>
      </w:tr>
      <w:tr>
        <w:tc>
          <w:tcPr>
            <w:tcW w:type="dxa" w:w="3360"/>
            <w:vAlign w:val="center"/>
          </w:tcPr>
          <w:p>
            <w:pPr>
              <w:spacing w:after="0"/>
            </w:pPr>
            <w:r/>
            <w:r>
              <w:rPr>
                <w:rFonts w:ascii="Aptos" w:hAnsi="Aptos"/>
                <w:b w:val="0"/>
                <w:sz w:val="16"/>
              </w:rPr>
              <w:t>clinical_trials</w:t>
            </w:r>
          </w:p>
        </w:tc>
        <w:tc>
          <w:tcPr>
            <w:tcW w:type="dxa" w:w="3360"/>
            <w:vAlign w:val="center"/>
          </w:tcPr>
          <w:p>
            <w:pPr>
              <w:spacing w:after="0"/>
            </w:pPr>
            <w:r/>
            <w:r>
              <w:rPr>
                <w:rFonts w:ascii="Aptos" w:hAnsi="Aptos"/>
                <w:b w:val="0"/>
                <w:sz w:val="16"/>
              </w:rPr>
              <w:t>TrialID, ProgramID, StartDate, TargetEnrollment, ActualEnrollment, RecruitmentStatus, TrialType, EnrollmentAchievementPct</w:t>
            </w:r>
          </w:p>
        </w:tc>
        <w:tc>
          <w:tcPr>
            <w:tcW w:type="dxa" w:w="3360"/>
            <w:vAlign w:val="center"/>
          </w:tcPr>
          <w:p>
            <w:pPr>
              <w:spacing w:after="0"/>
            </w:pPr>
            <w:r/>
            <w:r>
              <w:rPr>
                <w:rFonts w:ascii="Aptos" w:hAnsi="Aptos"/>
                <w:b w:val="0"/>
                <w:sz w:val="16"/>
              </w:rPr>
              <w:t>Trial grain; aggregate before joining to event-level data.</w:t>
            </w:r>
          </w:p>
        </w:tc>
      </w:tr>
      <w:tr>
        <w:tc>
          <w:tcPr>
            <w:tcW w:type="dxa" w:w="3360"/>
            <w:vAlign w:val="center"/>
            <w:shd w:fill="F0F5FA"/>
          </w:tcPr>
          <w:p>
            <w:pPr>
              <w:spacing w:after="0"/>
            </w:pPr>
            <w:r/>
            <w:r>
              <w:rPr>
                <w:rFonts w:ascii="Aptos" w:hAnsi="Aptos"/>
                <w:b w:val="0"/>
                <w:sz w:val="16"/>
              </w:rPr>
              <w:t>adverse_events</w:t>
            </w:r>
          </w:p>
        </w:tc>
        <w:tc>
          <w:tcPr>
            <w:tcW w:type="dxa" w:w="3360"/>
            <w:vAlign w:val="center"/>
            <w:shd w:fill="F0F5FA"/>
          </w:tcPr>
          <w:p>
            <w:pPr>
              <w:spacing w:after="0"/>
            </w:pPr>
            <w:r/>
            <w:r>
              <w:rPr>
                <w:rFonts w:ascii="Aptos" w:hAnsi="Aptos"/>
                <w:b w:val="0"/>
                <w:sz w:val="16"/>
              </w:rPr>
              <w:t>AdverseEventID, ReportDate, ProductID, CountryCode, EventTerm, SeriousFlag, Outcome, PatientAge, PatientSex</w:t>
            </w:r>
          </w:p>
        </w:tc>
        <w:tc>
          <w:tcPr>
            <w:tcW w:type="dxa" w:w="3360"/>
            <w:vAlign w:val="center"/>
            <w:shd w:fill="F0F5FA"/>
          </w:tcPr>
          <w:p>
            <w:pPr>
              <w:spacing w:after="0"/>
            </w:pPr>
            <w:r/>
            <w:r>
              <w:rPr>
                <w:rFonts w:ascii="Aptos" w:hAnsi="Aptos"/>
                <w:b w:val="0"/>
                <w:sz w:val="16"/>
              </w:rPr>
              <w:t>Adverse-event grain; no explicit closure status.</w:t>
            </w:r>
          </w:p>
        </w:tc>
      </w:tr>
    </w:tbl>
    <w:p>
      <w:pPr>
        <w:spacing w:after="20"/>
      </w:pPr>
    </w:p>
    <w:p>
      <w:r>
        <w:t>The documented Gold quality_regulatory join links quality and regulatory events by ProductID and may multiply records. The clinical_safety join links trial and adverse-event records and may also multiply records. Distinct identifiers and correct grain-aware measures are essential.</w:t>
      </w:r>
    </w:p>
    <w:p>
      <w:pPr>
        <w:pStyle w:val="Heading1"/>
      </w:pPr>
      <w:r>
        <w:t>7. Power BI Semantic Model</w:t>
      </w:r>
    </w:p>
    <w:p>
      <w:r>
        <w:t>Power BI consumes the Gold dimensions and analytical tables. The semantic model should use shared dimensions for slicers and relationships, with measures centralised in a dedicated measures table where appropriate.</w:t>
      </w:r>
    </w:p>
    <w:p>
      <w:pPr>
        <w:pStyle w:val="Heading2"/>
      </w:pPr>
      <w:r>
        <w:t>Relationship guidance</w:t>
      </w:r>
    </w:p>
    <w:p>
      <w:pPr>
        <w:pStyle w:val="ListBullet"/>
        <w:spacing w:after="40"/>
      </w:pPr>
      <w:r>
        <w:t>dim_product[ProductID] to each applicable fact ProductID.</w:t>
      </w:r>
    </w:p>
    <w:p>
      <w:pPr>
        <w:pStyle w:val="ListBullet"/>
        <w:spacing w:after="40"/>
      </w:pPr>
      <w:r>
        <w:t>dim_country[CountryCode] to each applicable fact CountryCode.</w:t>
      </w:r>
    </w:p>
    <w:p>
      <w:pPr>
        <w:pStyle w:val="ListBullet"/>
        <w:spacing w:after="40"/>
      </w:pPr>
      <w:r>
        <w:t>dim_supplier[SupplierID] to supplier-risk and quality facts where applicable.</w:t>
      </w:r>
    </w:p>
    <w:p>
      <w:pPr>
        <w:pStyle w:val="ListBullet"/>
        <w:spacing w:after="40"/>
      </w:pPr>
      <w:r>
        <w:t>dim_plant[PlantID] to manufacturing and quality facts.</w:t>
      </w:r>
    </w:p>
    <w:p>
      <w:pPr>
        <w:pStyle w:val="ListBullet"/>
        <w:spacing w:after="40"/>
      </w:pPr>
      <w:r>
        <w:t>dim_distribution_centre[DCID] to shipment origin DC fields where applicable.</w:t>
      </w:r>
    </w:p>
    <w:p>
      <w:pPr>
        <w:pStyle w:val="ListBullet"/>
        <w:spacing w:after="40"/>
      </w:pPr>
      <w:r>
        <w:t>Use a dedicated calendar table for date filtering and mark it as the model's date table.</w:t>
      </w:r>
    </w:p>
    <w:p>
      <w:pPr>
        <w:pStyle w:val="ListBullet"/>
        <w:spacing w:after="40"/>
      </w:pPr>
      <w:r>
        <w:t>Use single-direction dimension-to-fact filtering as the default unless a documented requirement needs otherwise.</w:t>
      </w:r>
    </w:p>
    <w:p>
      <w:pPr>
        <w:pStyle w:val="ListBullet"/>
        <w:spacing w:after="40"/>
      </w:pPr>
      <w:r>
        <w:t>Check relationship cardinality and avoid ambiguous filter paths before publishing.</w:t>
      </w:r>
    </w:p>
    <w:p>
      <w:pPr>
        <w:pStyle w:val="Heading2"/>
      </w:pPr>
      <w:r>
        <w:t>Date and comparison behaviour</w:t>
      </w:r>
    </w:p>
    <w:p>
      <w:r>
        <w:t>The report uses date-range sliders and Year-Month slicers. Month-over-month comparisons should identify the latest selected date, derive the full current month and previous month, then remove the selected date filter before applying full-month date ranges. This supports a selection ending mid-month while comparing the full month to the full prior month. Validate this behaviour against the report's intended semantics and available data.</w:t>
      </w:r>
    </w:p>
    <w:p>
      <w:r>
        <w:t>Reference pattern:</w:t>
      </w:r>
    </w:p>
    <w:p>
      <w:r>
        <w:rPr>
          <w:rFonts w:ascii="Consolas" w:hAnsi="Consolas"/>
          <w:sz w:val="16"/>
        </w:rPr>
        <w:t>VAR MaxSelectedDate =</w:t>
        <w:br/>
        <w:t xml:space="preserve">    MAXX(ALLSELECTED('Master Calendar'[Date]), 'Master Calendar'[Date])</w:t>
        <w:br/>
        <w:t>VAR CurrentMonthStart =</w:t>
        <w:br/>
        <w:t xml:space="preserve">    DATE(YEAR(MaxSelectedDate), MONTH(MaxSelectedDate), 1)</w:t>
        <w:br/>
        <w:t>VAR CurrentMonthEnd =</w:t>
        <w:br/>
        <w:t xml:space="preserve">    EOMONTH(MaxSelectedDate, 0)</w:t>
        <w:br/>
        <w:t>VAR PreviousMonthStart =</w:t>
        <w:br/>
        <w:t xml:space="preserve">    EOMONTH(MaxSelectedDate, -2) + 1</w:t>
        <w:br/>
        <w:t>VAR PreviousMonthEnd =</w:t>
        <w:br/>
        <w:t xml:space="preserve">    EOMONTH(MaxSelectedDate, -1)</w:t>
      </w:r>
    </w:p>
    <w:p>
      <w:pPr>
        <w:pStyle w:val="Heading1"/>
      </w:pPr>
      <w:r>
        <w:t>8. Power BI Report Pages</w:t>
      </w:r>
    </w:p>
    <w:p>
      <w:r>
        <w:t>The report uses a consistent Bayer-inspired design system: dark navy navigation/header, pale background, white visual cards, blue chart accents, and distinct green/red/magenta insight panels.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82B5B"/>
          </w:tcPr>
          <w:p>
            <w:pPr>
              <w:spacing w:after="0"/>
            </w:pPr>
            <w:r/>
            <w:r>
              <w:rPr>
                <w:rFonts w:ascii="Aptos" w:hAnsi="Aptos"/>
                <w:b/>
                <w:color w:val="FFFFFF"/>
                <w:sz w:val="17"/>
              </w:rPr>
              <w:t>Page</w:t>
            </w:r>
          </w:p>
        </w:tc>
        <w:tc>
          <w:tcPr>
            <w:tcW w:type="dxa" w:w="5040"/>
            <w:vAlign w:val="center"/>
            <w:shd w:fill="082B5B"/>
          </w:tcPr>
          <w:p>
            <w:pPr>
              <w:spacing w:after="0"/>
            </w:pPr>
            <w:r/>
            <w:r>
              <w:rPr>
                <w:rFonts w:ascii="Aptos" w:hAnsi="Aptos"/>
                <w:b/>
                <w:color w:val="FFFFFF"/>
                <w:sz w:val="17"/>
              </w:rPr>
              <w:t>Purpose and agreed visuals</w:t>
            </w:r>
          </w:p>
        </w:tc>
      </w:tr>
      <w:tr>
        <w:tc>
          <w:tcPr>
            <w:tcW w:type="dxa" w:w="5040"/>
            <w:vAlign w:val="center"/>
          </w:tcPr>
          <w:p>
            <w:pPr>
              <w:spacing w:after="0"/>
            </w:pPr>
            <w:r/>
            <w:r>
              <w:rPr>
                <w:rFonts w:ascii="Aptos" w:hAnsi="Aptos"/>
                <w:b w:val="0"/>
                <w:sz w:val="16"/>
              </w:rPr>
              <w:t>Executive Overview</w:t>
            </w:r>
          </w:p>
        </w:tc>
        <w:tc>
          <w:tcPr>
            <w:tcW w:type="dxa" w:w="5040"/>
            <w:vAlign w:val="center"/>
          </w:tcPr>
          <w:p>
            <w:pPr>
              <w:spacing w:after="0"/>
            </w:pPr>
            <w:r/>
            <w:r>
              <w:rPr>
                <w:rFonts w:ascii="Aptos" w:hAnsi="Aptos"/>
                <w:b w:val="0"/>
                <w:sz w:val="16"/>
              </w:rPr>
              <w:t>Enterprise KPIs; monthly actual vs forecast demand; enterprise health score; stockout risk; quality and regulatory trends; clinical/safety signal; country overview; Improvements, Risks, Action Points.</w:t>
            </w:r>
          </w:p>
        </w:tc>
      </w:tr>
      <w:tr>
        <w:tc>
          <w:tcPr>
            <w:tcW w:type="dxa" w:w="5040"/>
            <w:vAlign w:val="center"/>
            <w:shd w:fill="F0F5FA"/>
          </w:tcPr>
          <w:p>
            <w:pPr>
              <w:spacing w:after="0"/>
            </w:pPr>
            <w:r/>
            <w:r>
              <w:rPr>
                <w:rFonts w:ascii="Aptos" w:hAnsi="Aptos"/>
                <w:b w:val="0"/>
                <w:sz w:val="16"/>
              </w:rPr>
              <w:t>Supply Chain</w:t>
            </w:r>
          </w:p>
        </w:tc>
        <w:tc>
          <w:tcPr>
            <w:tcW w:type="dxa" w:w="5040"/>
            <w:vAlign w:val="center"/>
            <w:shd w:fill="F0F5FA"/>
          </w:tcPr>
          <w:p>
            <w:pPr>
              <w:spacing w:after="0"/>
            </w:pPr>
            <w:r/>
            <w:r>
              <w:rPr>
                <w:rFonts w:ascii="Aptos" w:hAnsi="Aptos"/>
                <w:b w:val="0"/>
                <w:sz w:val="16"/>
              </w:rPr>
              <w:t>On-Time Delivery %, Inventory Days, Stockout Risk Items, Suppliers With Open Risk Events; on-time delivery trend; inventory-days trend; supplier performance Top 10; supplier risk by severity; inventory at risk by country; shipment performance by transport mode.</w:t>
            </w:r>
          </w:p>
        </w:tc>
      </w:tr>
      <w:tr>
        <w:tc>
          <w:tcPr>
            <w:tcW w:type="dxa" w:w="5040"/>
            <w:vAlign w:val="center"/>
          </w:tcPr>
          <w:p>
            <w:pPr>
              <w:spacing w:after="0"/>
            </w:pPr>
            <w:r/>
            <w:r>
              <w:rPr>
                <w:rFonts w:ascii="Aptos" w:hAnsi="Aptos"/>
                <w:b w:val="0"/>
                <w:sz w:val="16"/>
              </w:rPr>
              <w:t>Manufacturing</w:t>
            </w:r>
          </w:p>
        </w:tc>
        <w:tc>
          <w:tcPr>
            <w:tcW w:type="dxa" w:w="5040"/>
            <w:vAlign w:val="center"/>
          </w:tcPr>
          <w:p>
            <w:pPr>
              <w:spacing w:after="0"/>
            </w:pPr>
            <w:r/>
            <w:r>
              <w:rPr>
                <w:rFonts w:ascii="Aptos" w:hAnsi="Aptos"/>
                <w:b w:val="0"/>
                <w:sz w:val="16"/>
              </w:rPr>
              <w:t>Production Output; Capacity Utilization %; Production Yield %; Batch Completion %; production output trend; plant capacity utilization; yield trend; batch status; production achievement by plant; yield by product; insight panels.</w:t>
            </w:r>
          </w:p>
        </w:tc>
      </w:tr>
      <w:tr>
        <w:tc>
          <w:tcPr>
            <w:tcW w:type="dxa" w:w="5040"/>
            <w:vAlign w:val="center"/>
            <w:shd w:fill="F0F5FA"/>
          </w:tcPr>
          <w:p>
            <w:pPr>
              <w:spacing w:after="0"/>
            </w:pPr>
            <w:r/>
            <w:r>
              <w:rPr>
                <w:rFonts w:ascii="Aptos" w:hAnsi="Aptos"/>
                <w:b w:val="0"/>
                <w:sz w:val="16"/>
              </w:rPr>
              <w:t>Commercial Demand</w:t>
            </w:r>
          </w:p>
        </w:tc>
        <w:tc>
          <w:tcPr>
            <w:tcW w:type="dxa" w:w="5040"/>
            <w:vAlign w:val="center"/>
            <w:shd w:fill="F0F5FA"/>
          </w:tcPr>
          <w:p>
            <w:pPr>
              <w:spacing w:after="0"/>
            </w:pPr>
            <w:r/>
            <w:r>
              <w:rPr>
                <w:rFonts w:ascii="Aptos" w:hAnsi="Aptos"/>
                <w:b w:val="0"/>
                <w:sz w:val="16"/>
              </w:rPr>
              <w:t>Sales Revenue; Units Sold; Forecast Demand Next 3 Months; Demand Attainment %; combined units/revenue trend; revenue by channel; revenue by therapeutic area; Top 10 products by revenue; revenue by region; forecast accuracy by therapeutic area; insight panels.</w:t>
            </w:r>
          </w:p>
        </w:tc>
      </w:tr>
      <w:tr>
        <w:tc>
          <w:tcPr>
            <w:tcW w:type="dxa" w:w="5040"/>
            <w:vAlign w:val="center"/>
          </w:tcPr>
          <w:p>
            <w:pPr>
              <w:spacing w:after="0"/>
            </w:pPr>
            <w:r/>
            <w:r>
              <w:rPr>
                <w:rFonts w:ascii="Aptos" w:hAnsi="Aptos"/>
                <w:b w:val="0"/>
                <w:sz w:val="16"/>
              </w:rPr>
              <w:t>Quality and Regulatory</w:t>
            </w:r>
          </w:p>
        </w:tc>
        <w:tc>
          <w:tcPr>
            <w:tcW w:type="dxa" w:w="5040"/>
            <w:vAlign w:val="center"/>
          </w:tcPr>
          <w:p>
            <w:pPr>
              <w:spacing w:after="0"/>
            </w:pPr>
            <w:r/>
            <w:r>
              <w:rPr>
                <w:rFonts w:ascii="Aptos" w:hAnsi="Aptos"/>
                <w:b w:val="0"/>
                <w:sz w:val="16"/>
              </w:rPr>
              <w:t>Total Quality Events; Open Quality Events; Total Regulatory Events; Open Regulatory Events; quality trend; quality by severity; events by type; regulatory events by country; regulatory status breakdown; quality events by plant; insight panels.</w:t>
            </w:r>
          </w:p>
        </w:tc>
      </w:tr>
      <w:tr>
        <w:tc>
          <w:tcPr>
            <w:tcW w:type="dxa" w:w="5040"/>
            <w:vAlign w:val="center"/>
            <w:shd w:fill="F0F5FA"/>
          </w:tcPr>
          <w:p>
            <w:pPr>
              <w:spacing w:after="0"/>
            </w:pPr>
            <w:r/>
            <w:r>
              <w:rPr>
                <w:rFonts w:ascii="Aptos" w:hAnsi="Aptos"/>
                <w:b w:val="0"/>
                <w:sz w:val="16"/>
              </w:rPr>
              <w:t>Clinical and Safety</w:t>
            </w:r>
          </w:p>
        </w:tc>
        <w:tc>
          <w:tcPr>
            <w:tcW w:type="dxa" w:w="5040"/>
            <w:vAlign w:val="center"/>
            <w:shd w:fill="F0F5FA"/>
          </w:tcPr>
          <w:p>
            <w:pPr>
              <w:spacing w:after="0"/>
            </w:pPr>
            <w:r/>
            <w:r>
              <w:rPr>
                <w:rFonts w:ascii="Aptos" w:hAnsi="Aptos"/>
                <w:b w:val="0"/>
                <w:sz w:val="16"/>
              </w:rPr>
              <w:t>Total Clinical Trials; Active Trials; Total Safety Cases; Open Safety Cases; clinical-trial trend; safety-cases trend; safety cases by severity; trials by phase; safety cases by preferred term; safety cases by country; insight panels.</w:t>
            </w:r>
          </w:p>
        </w:tc>
      </w:tr>
    </w:tbl>
    <w:p>
      <w:pPr>
        <w:spacing w:after="20"/>
      </w:pPr>
    </w:p>
    <w:p>
      <w:pPr>
        <w:pStyle w:val="Heading2"/>
      </w:pPr>
      <w:r>
        <w:t>Commercial Demand data limitations</w:t>
      </w:r>
    </w:p>
    <w:p>
      <w:pPr>
        <w:pStyle w:val="ListBullet"/>
        <w:spacing w:after="40"/>
      </w:pPr>
      <w:r>
        <w:t>The source sales fields include SalesID, SaleDate, ProductID, CountryCode, UnitsSold, UnitPrice, Channel, and NetSales.</w:t>
      </w:r>
    </w:p>
    <w:p>
      <w:pPr>
        <w:pStyle w:val="ListBullet"/>
        <w:spacing w:after="40"/>
      </w:pPr>
      <w:r>
        <w:t>Customer counts and customer-segment revenue are not available because customer identifiers/segments are absent.</w:t>
      </w:r>
    </w:p>
    <w:p>
      <w:pPr>
        <w:pStyle w:val="ListBullet"/>
        <w:spacing w:after="40"/>
      </w:pPr>
      <w:r>
        <w:t>Market share is not available without competitor or total-market data.</w:t>
      </w:r>
    </w:p>
    <w:p>
      <w:pPr>
        <w:pStyle w:val="ListBullet"/>
        <w:spacing w:after="40"/>
      </w:pPr>
      <w:r>
        <w:t>Therapeutic-area analyses require the ProductID relationship to dim_product.</w:t>
      </w:r>
    </w:p>
    <w:p>
      <w:pPr>
        <w:pStyle w:val="ListBullet"/>
        <w:spacing w:after="40"/>
      </w:pPr>
      <w:r>
        <w:t>Demand attainment can be calculated as actual demand divided by forecast demand, but define the intended aggregation and period carefully.</w:t>
      </w:r>
    </w:p>
    <w:p>
      <w:pPr>
        <w:pStyle w:val="Heading2"/>
      </w:pPr>
      <w:r>
        <w:t>Quality and Regulatory data limitations</w:t>
      </w:r>
    </w:p>
    <w:p>
      <w:pPr>
        <w:pStyle w:val="ListBullet"/>
        <w:spacing w:after="40"/>
      </w:pPr>
      <w:r>
        <w:t>Use DISTINCTCOUNT(QualityEventID) and DISTINCTCOUNT(RegulatoryEventID) for event counts.</w:t>
      </w:r>
    </w:p>
    <w:p>
      <w:pPr>
        <w:pStyle w:val="ListBullet"/>
        <w:spacing w:after="40"/>
      </w:pPr>
      <w:r>
        <w:t>Use the actual ClosedFlag values to determine open quality events.</w:t>
      </w:r>
    </w:p>
    <w:p>
      <w:pPr>
        <w:pStyle w:val="ListBullet"/>
        <w:spacing w:after="40"/>
      </w:pPr>
      <w:r>
        <w:t>Use the actual RegulatoryStatus values for open regulatory events.</w:t>
      </w:r>
    </w:p>
    <w:p>
      <w:pPr>
        <w:pStyle w:val="ListBullet"/>
        <w:spacing w:after="40"/>
      </w:pPr>
      <w:r>
        <w:t>Do not assume a combined table's row count equals event count.</w:t>
      </w:r>
    </w:p>
    <w:p>
      <w:pPr>
        <w:pStyle w:val="Heading2"/>
      </w:pPr>
      <w:r>
        <w:t>Clinical and Safety data limitations</w:t>
      </w:r>
    </w:p>
    <w:p>
      <w:pPr>
        <w:pStyle w:val="ListBullet"/>
        <w:spacing w:after="40"/>
      </w:pPr>
      <w:r>
        <w:t>Total clinical trials should count distinct TrialID.</w:t>
      </w:r>
    </w:p>
    <w:p>
      <w:pPr>
        <w:pStyle w:val="ListBullet"/>
        <w:spacing w:after="40"/>
      </w:pPr>
      <w:r>
        <w:t>Active trials require a clear rule based on the RecruitmentStatus values actually present; confirm the valid status list.</w:t>
      </w:r>
    </w:p>
    <w:p>
      <w:pPr>
        <w:pStyle w:val="ListBullet"/>
        <w:spacing w:after="40"/>
      </w:pPr>
      <w:r>
        <w:t>Total safety cases should count distinct AdverseEventID.</w:t>
      </w:r>
    </w:p>
    <w:p>
      <w:pPr>
        <w:pStyle w:val="ListBullet"/>
        <w:spacing w:after="40"/>
      </w:pPr>
      <w:r>
        <w:t>The documented adverse_events schema has no dedicated closure status. Do not infer Open Safety Cases directly from Outcome without explicitly defining and labelling a proxy.</w:t>
      </w:r>
    </w:p>
    <w:p>
      <w:pPr>
        <w:pStyle w:val="ListBullet"/>
        <w:spacing w:after="40"/>
      </w:pPr>
      <w:r>
        <w:t>Trial-level enrollment should be aggregated once per TrialID to avoid duplication caused by joining adverse events.</w:t>
      </w:r>
    </w:p>
    <w:p>
      <w:pPr>
        <w:pStyle w:val="Heading1"/>
      </w:pPr>
      <w:r>
        <w:t>9. KPI and Measure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82B5B"/>
          </w:tcPr>
          <w:p>
            <w:pPr>
              <w:spacing w:after="0"/>
            </w:pPr>
            <w:r/>
            <w:r>
              <w:rPr>
                <w:rFonts w:ascii="Aptos" w:hAnsi="Aptos"/>
                <w:b/>
                <w:color w:val="FFFFFF"/>
                <w:sz w:val="17"/>
              </w:rPr>
              <w:t>Measure</w:t>
            </w:r>
          </w:p>
        </w:tc>
        <w:tc>
          <w:tcPr>
            <w:tcW w:type="dxa" w:w="5040"/>
            <w:vAlign w:val="center"/>
            <w:shd w:fill="082B5B"/>
          </w:tcPr>
          <w:p>
            <w:pPr>
              <w:spacing w:after="0"/>
            </w:pPr>
            <w:r/>
            <w:r>
              <w:rPr>
                <w:rFonts w:ascii="Aptos" w:hAnsi="Aptos"/>
                <w:b/>
                <w:color w:val="FFFFFF"/>
                <w:sz w:val="17"/>
              </w:rPr>
              <w:t>Definition / caution</w:t>
            </w:r>
          </w:p>
        </w:tc>
      </w:tr>
      <w:tr>
        <w:tc>
          <w:tcPr>
            <w:tcW w:type="dxa" w:w="5040"/>
            <w:vAlign w:val="center"/>
          </w:tcPr>
          <w:p>
            <w:pPr>
              <w:spacing w:after="0"/>
            </w:pPr>
            <w:r/>
            <w:r>
              <w:rPr>
                <w:rFonts w:ascii="Aptos" w:hAnsi="Aptos"/>
                <w:b w:val="0"/>
                <w:sz w:val="16"/>
              </w:rPr>
              <w:t>Total Sales Revenue</w:t>
            </w:r>
          </w:p>
        </w:tc>
        <w:tc>
          <w:tcPr>
            <w:tcW w:type="dxa" w:w="5040"/>
            <w:vAlign w:val="center"/>
          </w:tcPr>
          <w:p>
            <w:pPr>
              <w:spacing w:after="0"/>
            </w:pPr>
            <w:r/>
            <w:r>
              <w:rPr>
                <w:rFonts w:ascii="Aptos" w:hAnsi="Aptos"/>
                <w:b w:val="0"/>
                <w:sz w:val="16"/>
              </w:rPr>
              <w:t>Sum of NetSales from the sales fact.</w:t>
            </w:r>
          </w:p>
        </w:tc>
      </w:tr>
      <w:tr>
        <w:tc>
          <w:tcPr>
            <w:tcW w:type="dxa" w:w="5040"/>
            <w:vAlign w:val="center"/>
            <w:shd w:fill="F0F5FA"/>
          </w:tcPr>
          <w:p>
            <w:pPr>
              <w:spacing w:after="0"/>
            </w:pPr>
            <w:r/>
            <w:r>
              <w:rPr>
                <w:rFonts w:ascii="Aptos" w:hAnsi="Aptos"/>
                <w:b w:val="0"/>
                <w:sz w:val="16"/>
              </w:rPr>
              <w:t>Total Units Sold</w:t>
            </w:r>
          </w:p>
        </w:tc>
        <w:tc>
          <w:tcPr>
            <w:tcW w:type="dxa" w:w="5040"/>
            <w:vAlign w:val="center"/>
            <w:shd w:fill="F0F5FA"/>
          </w:tcPr>
          <w:p>
            <w:pPr>
              <w:spacing w:after="0"/>
            </w:pPr>
            <w:r/>
            <w:r>
              <w:rPr>
                <w:rFonts w:ascii="Aptos" w:hAnsi="Aptos"/>
                <w:b w:val="0"/>
                <w:sz w:val="16"/>
              </w:rPr>
              <w:t>Sum of UnitsSold from the sales fact.</w:t>
            </w:r>
          </w:p>
        </w:tc>
      </w:tr>
      <w:tr>
        <w:tc>
          <w:tcPr>
            <w:tcW w:type="dxa" w:w="5040"/>
            <w:vAlign w:val="center"/>
          </w:tcPr>
          <w:p>
            <w:pPr>
              <w:spacing w:after="0"/>
            </w:pPr>
            <w:r/>
            <w:r>
              <w:rPr>
                <w:rFonts w:ascii="Aptos" w:hAnsi="Aptos"/>
                <w:b w:val="0"/>
                <w:sz w:val="16"/>
              </w:rPr>
              <w:t>Forecast Demand Next 3 Months</w:t>
            </w:r>
          </w:p>
        </w:tc>
        <w:tc>
          <w:tcPr>
            <w:tcW w:type="dxa" w:w="5040"/>
            <w:vAlign w:val="center"/>
          </w:tcPr>
          <w:p>
            <w:pPr>
              <w:spacing w:after="0"/>
            </w:pPr>
            <w:r/>
            <w:r>
              <w:rPr>
                <w:rFonts w:ascii="Aptos" w:hAnsi="Aptos"/>
                <w:b w:val="0"/>
                <w:sz w:val="16"/>
              </w:rPr>
              <w:t>Sum ForecastUnits over a clearly defined forward-looking three-month window; ensure the date logic genuinely selects future months.</w:t>
            </w:r>
          </w:p>
        </w:tc>
      </w:tr>
      <w:tr>
        <w:tc>
          <w:tcPr>
            <w:tcW w:type="dxa" w:w="5040"/>
            <w:vAlign w:val="center"/>
            <w:shd w:fill="F0F5FA"/>
          </w:tcPr>
          <w:p>
            <w:pPr>
              <w:spacing w:after="0"/>
            </w:pPr>
            <w:r/>
            <w:r>
              <w:rPr>
                <w:rFonts w:ascii="Aptos" w:hAnsi="Aptos"/>
                <w:b w:val="0"/>
                <w:sz w:val="16"/>
              </w:rPr>
              <w:t>Demand Attainment %</w:t>
            </w:r>
          </w:p>
        </w:tc>
        <w:tc>
          <w:tcPr>
            <w:tcW w:type="dxa" w:w="5040"/>
            <w:vAlign w:val="center"/>
            <w:shd w:fill="F0F5FA"/>
          </w:tcPr>
          <w:p>
            <w:pPr>
              <w:spacing w:after="0"/>
            </w:pPr>
            <w:r/>
            <w:r>
              <w:rPr>
                <w:rFonts w:ascii="Aptos" w:hAnsi="Aptos"/>
                <w:b w:val="0"/>
                <w:sz w:val="16"/>
              </w:rPr>
              <w:t>Actual demand divided by forecast demand, using aligned periods and compatible grain.</w:t>
            </w:r>
          </w:p>
        </w:tc>
      </w:tr>
      <w:tr>
        <w:tc>
          <w:tcPr>
            <w:tcW w:type="dxa" w:w="5040"/>
            <w:vAlign w:val="center"/>
          </w:tcPr>
          <w:p>
            <w:pPr>
              <w:spacing w:after="0"/>
            </w:pPr>
            <w:r/>
            <w:r>
              <w:rPr>
                <w:rFonts w:ascii="Aptos" w:hAnsi="Aptos"/>
                <w:b w:val="0"/>
                <w:sz w:val="16"/>
              </w:rPr>
              <w:t>On-Time Delivery %</w:t>
            </w:r>
          </w:p>
        </w:tc>
        <w:tc>
          <w:tcPr>
            <w:tcW w:type="dxa" w:w="5040"/>
            <w:vAlign w:val="center"/>
          </w:tcPr>
          <w:p>
            <w:pPr>
              <w:spacing w:after="0"/>
            </w:pPr>
            <w:r/>
            <w:r>
              <w:rPr>
                <w:rFonts w:ascii="Aptos" w:hAnsi="Aptos"/>
                <w:b w:val="0"/>
                <w:sz w:val="16"/>
              </w:rPr>
              <w:t>Delivery-count-weighted average of supplier on-time delivery percentage, or shipment-level OnTimeFlag if that is the intended definition. Do not mix the two grains.</w:t>
            </w:r>
          </w:p>
        </w:tc>
      </w:tr>
      <w:tr>
        <w:tc>
          <w:tcPr>
            <w:tcW w:type="dxa" w:w="5040"/>
            <w:vAlign w:val="center"/>
            <w:shd w:fill="F0F5FA"/>
          </w:tcPr>
          <w:p>
            <w:pPr>
              <w:spacing w:after="0"/>
            </w:pPr>
            <w:r/>
            <w:r>
              <w:rPr>
                <w:rFonts w:ascii="Aptos" w:hAnsi="Aptos"/>
                <w:b w:val="0"/>
                <w:sz w:val="16"/>
              </w:rPr>
              <w:t>Inventory Days</w:t>
            </w:r>
          </w:p>
        </w:tc>
        <w:tc>
          <w:tcPr>
            <w:tcW w:type="dxa" w:w="5040"/>
            <w:vAlign w:val="center"/>
            <w:shd w:fill="F0F5FA"/>
          </w:tcPr>
          <w:p>
            <w:pPr>
              <w:spacing w:after="0"/>
            </w:pPr>
            <w:r/>
            <w:r>
              <w:rPr>
                <w:rFonts w:ascii="Aptos" w:hAnsi="Aptos"/>
                <w:b w:val="0"/>
                <w:sz w:val="16"/>
              </w:rPr>
              <w:t>Average or appropriately weighted inventory-days measure; document the chosen aggregation.</w:t>
            </w:r>
          </w:p>
        </w:tc>
      </w:tr>
      <w:tr>
        <w:tc>
          <w:tcPr>
            <w:tcW w:type="dxa" w:w="5040"/>
            <w:vAlign w:val="center"/>
          </w:tcPr>
          <w:p>
            <w:pPr>
              <w:spacing w:after="0"/>
            </w:pPr>
            <w:r/>
            <w:r>
              <w:rPr>
                <w:rFonts w:ascii="Aptos" w:hAnsi="Aptos"/>
                <w:b w:val="0"/>
                <w:sz w:val="16"/>
              </w:rPr>
              <w:t>Stockout Risk Items</w:t>
            </w:r>
          </w:p>
        </w:tc>
        <w:tc>
          <w:tcPr>
            <w:tcW w:type="dxa" w:w="5040"/>
            <w:vAlign w:val="center"/>
          </w:tcPr>
          <w:p>
            <w:pPr>
              <w:spacing w:after="0"/>
            </w:pPr>
            <w:r/>
            <w:r>
              <w:rPr>
                <w:rFonts w:ascii="Aptos" w:hAnsi="Aptos"/>
                <w:b w:val="0"/>
                <w:sz w:val="16"/>
              </w:rPr>
              <w:t>Distinct ProductID/CountryCode combinations with StockoutRisk = High, not raw row count.</w:t>
            </w:r>
          </w:p>
        </w:tc>
      </w:tr>
      <w:tr>
        <w:tc>
          <w:tcPr>
            <w:tcW w:type="dxa" w:w="5040"/>
            <w:vAlign w:val="center"/>
            <w:shd w:fill="F0F5FA"/>
          </w:tcPr>
          <w:p>
            <w:pPr>
              <w:spacing w:after="0"/>
            </w:pPr>
            <w:r/>
            <w:r>
              <w:rPr>
                <w:rFonts w:ascii="Aptos" w:hAnsi="Aptos"/>
                <w:b w:val="0"/>
                <w:sz w:val="16"/>
              </w:rPr>
              <w:t>Production Utilization %</w:t>
            </w:r>
          </w:p>
        </w:tc>
        <w:tc>
          <w:tcPr>
            <w:tcW w:type="dxa" w:w="5040"/>
            <w:vAlign w:val="center"/>
            <w:shd w:fill="F0F5FA"/>
          </w:tcPr>
          <w:p>
            <w:pPr>
              <w:spacing w:after="0"/>
            </w:pPr>
            <w:r/>
            <w:r>
              <w:rPr>
                <w:rFonts w:ascii="Aptos" w:hAnsi="Aptos"/>
                <w:b w:val="0"/>
                <w:sz w:val="16"/>
              </w:rPr>
              <w:t>Average or weighted utilization; verify whether source values are stored as 0–1 or 0–100.</w:t>
            </w:r>
          </w:p>
        </w:tc>
      </w:tr>
      <w:tr>
        <w:tc>
          <w:tcPr>
            <w:tcW w:type="dxa" w:w="5040"/>
            <w:vAlign w:val="center"/>
          </w:tcPr>
          <w:p>
            <w:pPr>
              <w:spacing w:after="0"/>
            </w:pPr>
            <w:r/>
            <w:r>
              <w:rPr>
                <w:rFonts w:ascii="Aptos" w:hAnsi="Aptos"/>
                <w:b w:val="0"/>
                <w:sz w:val="16"/>
              </w:rPr>
              <w:t>Quality Events</w:t>
            </w:r>
          </w:p>
        </w:tc>
        <w:tc>
          <w:tcPr>
            <w:tcW w:type="dxa" w:w="5040"/>
            <w:vAlign w:val="center"/>
          </w:tcPr>
          <w:p>
            <w:pPr>
              <w:spacing w:after="0"/>
            </w:pPr>
            <w:r/>
            <w:r>
              <w:rPr>
                <w:rFonts w:ascii="Aptos" w:hAnsi="Aptos"/>
                <w:b w:val="0"/>
                <w:sz w:val="16"/>
              </w:rPr>
              <w:t>Distinct QualityEventID.</w:t>
            </w:r>
          </w:p>
        </w:tc>
      </w:tr>
      <w:tr>
        <w:tc>
          <w:tcPr>
            <w:tcW w:type="dxa" w:w="5040"/>
            <w:vAlign w:val="center"/>
            <w:shd w:fill="F0F5FA"/>
          </w:tcPr>
          <w:p>
            <w:pPr>
              <w:spacing w:after="0"/>
            </w:pPr>
            <w:r/>
            <w:r>
              <w:rPr>
                <w:rFonts w:ascii="Aptos" w:hAnsi="Aptos"/>
                <w:b w:val="0"/>
                <w:sz w:val="16"/>
              </w:rPr>
              <w:t>Regulatory Events</w:t>
            </w:r>
          </w:p>
        </w:tc>
        <w:tc>
          <w:tcPr>
            <w:tcW w:type="dxa" w:w="5040"/>
            <w:vAlign w:val="center"/>
            <w:shd w:fill="F0F5FA"/>
          </w:tcPr>
          <w:p>
            <w:pPr>
              <w:spacing w:after="0"/>
            </w:pPr>
            <w:r/>
            <w:r>
              <w:rPr>
                <w:rFonts w:ascii="Aptos" w:hAnsi="Aptos"/>
                <w:b w:val="0"/>
                <w:sz w:val="16"/>
              </w:rPr>
              <w:t>Distinct RegulatoryEventID.</w:t>
            </w:r>
          </w:p>
        </w:tc>
      </w:tr>
      <w:tr>
        <w:tc>
          <w:tcPr>
            <w:tcW w:type="dxa" w:w="5040"/>
            <w:vAlign w:val="center"/>
          </w:tcPr>
          <w:p>
            <w:pPr>
              <w:spacing w:after="0"/>
            </w:pPr>
            <w:r/>
            <w:r>
              <w:rPr>
                <w:rFonts w:ascii="Aptos" w:hAnsi="Aptos"/>
                <w:b w:val="0"/>
                <w:sz w:val="16"/>
              </w:rPr>
              <w:t>Total Clinical Trials</w:t>
            </w:r>
          </w:p>
        </w:tc>
        <w:tc>
          <w:tcPr>
            <w:tcW w:type="dxa" w:w="5040"/>
            <w:vAlign w:val="center"/>
          </w:tcPr>
          <w:p>
            <w:pPr>
              <w:spacing w:after="0"/>
            </w:pPr>
            <w:r/>
            <w:r>
              <w:rPr>
                <w:rFonts w:ascii="Aptos" w:hAnsi="Aptos"/>
                <w:b w:val="0"/>
                <w:sz w:val="16"/>
              </w:rPr>
              <w:t>Distinct TrialID.</w:t>
            </w:r>
          </w:p>
        </w:tc>
      </w:tr>
      <w:tr>
        <w:tc>
          <w:tcPr>
            <w:tcW w:type="dxa" w:w="5040"/>
            <w:vAlign w:val="center"/>
            <w:shd w:fill="F0F5FA"/>
          </w:tcPr>
          <w:p>
            <w:pPr>
              <w:spacing w:after="0"/>
            </w:pPr>
            <w:r/>
            <w:r>
              <w:rPr>
                <w:rFonts w:ascii="Aptos" w:hAnsi="Aptos"/>
                <w:b w:val="0"/>
                <w:sz w:val="16"/>
              </w:rPr>
              <w:t>Active Trials</w:t>
            </w:r>
          </w:p>
        </w:tc>
        <w:tc>
          <w:tcPr>
            <w:tcW w:type="dxa" w:w="5040"/>
            <w:vAlign w:val="center"/>
            <w:shd w:fill="F0F5FA"/>
          </w:tcPr>
          <w:p>
            <w:pPr>
              <w:spacing w:after="0"/>
            </w:pPr>
            <w:r/>
            <w:r>
              <w:rPr>
                <w:rFonts w:ascii="Aptos" w:hAnsi="Aptos"/>
                <w:b w:val="0"/>
                <w:sz w:val="16"/>
              </w:rPr>
              <w:t>Distinct TrialID filtered by a validated active-status definition.</w:t>
            </w:r>
          </w:p>
        </w:tc>
      </w:tr>
      <w:tr>
        <w:tc>
          <w:tcPr>
            <w:tcW w:type="dxa" w:w="5040"/>
            <w:vAlign w:val="center"/>
          </w:tcPr>
          <w:p>
            <w:pPr>
              <w:spacing w:after="0"/>
            </w:pPr>
            <w:r/>
            <w:r>
              <w:rPr>
                <w:rFonts w:ascii="Aptos" w:hAnsi="Aptos"/>
                <w:b w:val="0"/>
                <w:sz w:val="16"/>
              </w:rPr>
              <w:t>Total Safety Cases</w:t>
            </w:r>
          </w:p>
        </w:tc>
        <w:tc>
          <w:tcPr>
            <w:tcW w:type="dxa" w:w="5040"/>
            <w:vAlign w:val="center"/>
          </w:tcPr>
          <w:p>
            <w:pPr>
              <w:spacing w:after="0"/>
            </w:pPr>
            <w:r/>
            <w:r>
              <w:rPr>
                <w:rFonts w:ascii="Aptos" w:hAnsi="Aptos"/>
                <w:b w:val="0"/>
                <w:sz w:val="16"/>
              </w:rPr>
              <w:t>Distinct AdverseEventID.</w:t>
            </w:r>
          </w:p>
        </w:tc>
      </w:tr>
      <w:tr>
        <w:tc>
          <w:tcPr>
            <w:tcW w:type="dxa" w:w="5040"/>
            <w:vAlign w:val="center"/>
            <w:shd w:fill="F0F5FA"/>
          </w:tcPr>
          <w:p>
            <w:pPr>
              <w:spacing w:after="0"/>
            </w:pPr>
            <w:r/>
            <w:r>
              <w:rPr>
                <w:rFonts w:ascii="Aptos" w:hAnsi="Aptos"/>
                <w:b w:val="0"/>
                <w:sz w:val="16"/>
              </w:rPr>
              <w:t>Open Safety Cases</w:t>
            </w:r>
          </w:p>
        </w:tc>
        <w:tc>
          <w:tcPr>
            <w:tcW w:type="dxa" w:w="5040"/>
            <w:vAlign w:val="center"/>
            <w:shd w:fill="F0F5FA"/>
          </w:tcPr>
          <w:p>
            <w:pPr>
              <w:spacing w:after="0"/>
            </w:pPr>
            <w:r/>
            <w:r>
              <w:rPr>
                <w:rFonts w:ascii="Aptos" w:hAnsi="Aptos"/>
                <w:b w:val="0"/>
                <w:sz w:val="16"/>
              </w:rPr>
              <w:t>Not directly supported by the documented source schema unless an explicit status field or a clearly defined proxy is added.</w:t>
            </w:r>
          </w:p>
        </w:tc>
      </w:tr>
    </w:tbl>
    <w:p>
      <w:pPr>
        <w:spacing w:after="20"/>
      </w:pPr>
    </w:p>
    <w:p>
      <w:r>
        <w:t>Month-over-month insight measures should use the same underlying definitions as the KPI cards. Fallback text should indicate that no qualifying movement was detected, not claim that no risk exists.</w:t>
      </w:r>
    </w:p>
    <w:p>
      <w:pPr>
        <w:pStyle w:val="Heading1"/>
      </w:pPr>
      <w:r>
        <w:t>10. Dynamic Improvements, Risks and Action Points</w:t>
      </w:r>
    </w:p>
    <w:p>
      <w:r>
        <w:t>Each page has three text measures designed to respond to report filters. Improvements highlight positive movement, Risks highlight adverse movement, and Action Points translate negative movement into follow-up actions. The measures return a fallback message when no qualifying conditions are met so the panels are not blank.</w:t>
      </w:r>
    </w:p>
    <w:p>
      <w:r>
        <w:t>Implementation principles:</w:t>
      </w:r>
    </w:p>
    <w:p>
      <w:pPr>
        <w:pStyle w:val="ListBullet"/>
        <w:spacing w:after="40"/>
      </w:pPr>
      <w:r>
        <w:t>Base insights on agreed page KPIs and their valid supporting measures only.</w:t>
      </w:r>
    </w:p>
    <w:p>
      <w:pPr>
        <w:pStyle w:val="ListBullet"/>
        <w:spacing w:after="40"/>
      </w:pPr>
      <w:r>
        <w:t>Use consistent month-over-month comparisons and handle divide-by-zero or missing prior-period values.</w:t>
      </w:r>
    </w:p>
    <w:p>
      <w:pPr>
        <w:pStyle w:val="ListBullet"/>
        <w:spacing w:after="40"/>
      </w:pPr>
      <w:r>
        <w:t>Prioritise a small number of the most relevant insights so the panels remain readable.</w:t>
      </w:r>
    </w:p>
    <w:p>
      <w:pPr>
        <w:pStyle w:val="ListBullet"/>
        <w:spacing w:after="40"/>
      </w:pPr>
      <w:r>
        <w:t>Avoid interpreting increased event counts as proof of worsening underlying quality without considering reporting volumes and context.</w:t>
      </w:r>
    </w:p>
    <w:p>
      <w:pPr>
        <w:pStyle w:val="ListBullet"/>
        <w:spacing w:after="40"/>
      </w:pPr>
      <w:r>
        <w:t>For safety, quality, and regulatory use cases, phrase insights as monitoring signals and investigation prompts, not as clinical or legal conclusions.</w:t>
      </w:r>
    </w:p>
    <w:p>
      <w:pPr>
        <w:pStyle w:val="Heading1"/>
      </w:pPr>
      <w:r>
        <w:t>11. Automation, Refresh and Operations</w:t>
      </w:r>
    </w:p>
    <w:p>
      <w:pPr>
        <w:pStyle w:val="Heading2"/>
      </w:pPr>
      <w:r>
        <w:t>Successful automated chain</w:t>
      </w:r>
    </w:p>
    <w:p>
      <w:pPr>
        <w:pStyle w:val="ListNumber"/>
        <w:spacing w:after="40"/>
      </w:pPr>
      <w:r>
        <w:t>EventBridge schedule invokes daily_inventory_generator.</w:t>
      </w:r>
    </w:p>
    <w:p>
      <w:pPr>
        <w:pStyle w:val="ListNumber"/>
        <w:spacing w:after="40"/>
      </w:pPr>
      <w:r>
        <w:t>Lambda writes operational data to S3.</w:t>
      </w:r>
    </w:p>
    <w:p>
      <w:pPr>
        <w:pStyle w:val="ListNumber"/>
        <w:spacing w:after="40"/>
      </w:pPr>
      <w:r>
        <w:t>Databricks file-arrival trigger detects new files.</w:t>
      </w:r>
    </w:p>
    <w:p>
      <w:pPr>
        <w:pStyle w:val="ListNumber"/>
        <w:spacing w:after="40"/>
      </w:pPr>
      <w:r>
        <w:t>Lakeflow pipeline executes Bronze, Silver, and Gold transformations.</w:t>
      </w:r>
    </w:p>
    <w:p>
      <w:pPr>
        <w:pStyle w:val="ListNumber"/>
        <w:spacing w:after="40"/>
      </w:pPr>
      <w:r>
        <w:t>Lakeflow Job waits for pipeline success and then runs the Power BI refresh task.</w:t>
      </w:r>
    </w:p>
    <w:p>
      <w:pPr>
        <w:pStyle w:val="ListNumber"/>
        <w:spacing w:after="40"/>
      </w:pPr>
      <w:r>
        <w:t>Power BI semantic model refresh completes, making updated data available to the report.</w:t>
      </w:r>
    </w:p>
    <w:p>
      <w:pPr>
        <w:pStyle w:val="Heading2"/>
      </w:pPr>
      <w:r>
        <w:t>Operational checks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82B5B"/>
          </w:tcPr>
          <w:p>
            <w:pPr>
              <w:spacing w:after="0"/>
            </w:pPr>
            <w:r/>
            <w:r>
              <w:rPr>
                <w:rFonts w:ascii="Aptos" w:hAnsi="Aptos"/>
                <w:b/>
                <w:color w:val="FFFFFF"/>
                <w:sz w:val="17"/>
              </w:rPr>
              <w:t>Symptom</w:t>
            </w:r>
          </w:p>
        </w:tc>
        <w:tc>
          <w:tcPr>
            <w:tcW w:type="dxa" w:w="5040"/>
            <w:vAlign w:val="center"/>
            <w:shd w:fill="082B5B"/>
          </w:tcPr>
          <w:p>
            <w:pPr>
              <w:spacing w:after="0"/>
            </w:pPr>
            <w:r/>
            <w:r>
              <w:rPr>
                <w:rFonts w:ascii="Aptos" w:hAnsi="Aptos"/>
                <w:b/>
                <w:color w:val="FFFFFF"/>
                <w:sz w:val="17"/>
              </w:rPr>
              <w:t>Checks</w:t>
            </w:r>
          </w:p>
        </w:tc>
      </w:tr>
      <w:tr>
        <w:tc>
          <w:tcPr>
            <w:tcW w:type="dxa" w:w="5040"/>
            <w:vAlign w:val="center"/>
          </w:tcPr>
          <w:p>
            <w:pPr>
              <w:spacing w:after="0"/>
            </w:pPr>
            <w:r/>
            <w:r>
              <w:rPr>
                <w:rFonts w:ascii="Aptos" w:hAnsi="Aptos"/>
                <w:b w:val="0"/>
                <w:sz w:val="16"/>
              </w:rPr>
              <w:t>No new files in S3</w:t>
            </w:r>
          </w:p>
        </w:tc>
        <w:tc>
          <w:tcPr>
            <w:tcW w:type="dxa" w:w="5040"/>
            <w:vAlign w:val="center"/>
          </w:tcPr>
          <w:p>
            <w:pPr>
              <w:spacing w:after="0"/>
            </w:pPr>
            <w:r/>
            <w:r>
              <w:rPr>
                <w:rFonts w:ascii="Aptos" w:hAnsi="Aptos"/>
                <w:b w:val="0"/>
                <w:sz w:val="16"/>
              </w:rPr>
              <w:t>Inspect EventBridge schedule, Lambda invocation status/logs, permissions, and destination prefixes.</w:t>
            </w:r>
          </w:p>
        </w:tc>
      </w:tr>
      <w:tr>
        <w:tc>
          <w:tcPr>
            <w:tcW w:type="dxa" w:w="5040"/>
            <w:vAlign w:val="center"/>
            <w:shd w:fill="F0F5FA"/>
          </w:tcPr>
          <w:p>
            <w:pPr>
              <w:spacing w:after="0"/>
            </w:pPr>
            <w:r/>
            <w:r>
              <w:rPr>
                <w:rFonts w:ascii="Aptos" w:hAnsi="Aptos"/>
                <w:b w:val="0"/>
                <w:sz w:val="16"/>
              </w:rPr>
              <w:t>Files exist but pipeline did not run</w:t>
            </w:r>
          </w:p>
        </w:tc>
        <w:tc>
          <w:tcPr>
            <w:tcW w:type="dxa" w:w="5040"/>
            <w:vAlign w:val="center"/>
            <w:shd w:fill="F0F5FA"/>
          </w:tcPr>
          <w:p>
            <w:pPr>
              <w:spacing w:after="0"/>
            </w:pPr>
            <w:r/>
            <w:r>
              <w:rPr>
                <w:rFonts w:ascii="Aptos" w:hAnsi="Aptos"/>
                <w:b w:val="0"/>
                <w:sz w:val="16"/>
              </w:rPr>
              <w:t>Check file-arrival trigger state, watched storage path, file-arrival delay, and pipeline/job run history.</w:t>
            </w:r>
          </w:p>
        </w:tc>
      </w:tr>
      <w:tr>
        <w:tc>
          <w:tcPr>
            <w:tcW w:type="dxa" w:w="5040"/>
            <w:vAlign w:val="center"/>
          </w:tcPr>
          <w:p>
            <w:pPr>
              <w:spacing w:after="0"/>
            </w:pPr>
            <w:r/>
            <w:r>
              <w:rPr>
                <w:rFonts w:ascii="Aptos" w:hAnsi="Aptos"/>
                <w:b w:val="0"/>
                <w:sz w:val="16"/>
              </w:rPr>
              <w:t>Pipeline fails</w:t>
            </w:r>
          </w:p>
        </w:tc>
        <w:tc>
          <w:tcPr>
            <w:tcW w:type="dxa" w:w="5040"/>
            <w:vAlign w:val="center"/>
          </w:tcPr>
          <w:p>
            <w:pPr>
              <w:spacing w:after="0"/>
            </w:pPr>
            <w:r/>
            <w:r>
              <w:rPr>
                <w:rFonts w:ascii="Aptos" w:hAnsi="Aptos"/>
                <w:b w:val="0"/>
                <w:sz w:val="16"/>
              </w:rPr>
              <w:t>Inspect the failing task and source file/schema. Verify file paths, schema inference, and table ownership.</w:t>
            </w:r>
          </w:p>
        </w:tc>
      </w:tr>
      <w:tr>
        <w:tc>
          <w:tcPr>
            <w:tcW w:type="dxa" w:w="5040"/>
            <w:vAlign w:val="center"/>
            <w:shd w:fill="F0F5FA"/>
          </w:tcPr>
          <w:p>
            <w:pPr>
              <w:spacing w:after="0"/>
            </w:pPr>
            <w:r/>
            <w:r>
              <w:rPr>
                <w:rFonts w:ascii="Aptos" w:hAnsi="Aptos"/>
                <w:b w:val="0"/>
                <w:sz w:val="16"/>
              </w:rPr>
              <w:t>Gold counts unexpectedly inflate</w:t>
            </w:r>
          </w:p>
        </w:tc>
        <w:tc>
          <w:tcPr>
            <w:tcW w:type="dxa" w:w="5040"/>
            <w:vAlign w:val="center"/>
            <w:shd w:fill="F0F5FA"/>
          </w:tcPr>
          <w:p>
            <w:pPr>
              <w:spacing w:after="0"/>
            </w:pPr>
            <w:r/>
            <w:r>
              <w:rPr>
                <w:rFonts w:ascii="Aptos" w:hAnsi="Aptos"/>
                <w:b w:val="0"/>
                <w:sz w:val="16"/>
              </w:rPr>
              <w:t>Check join grain, distinct keys, and whether one-to-many joins multiply fact rows.</w:t>
            </w:r>
          </w:p>
        </w:tc>
      </w:tr>
      <w:tr>
        <w:tc>
          <w:tcPr>
            <w:tcW w:type="dxa" w:w="5040"/>
            <w:vAlign w:val="center"/>
          </w:tcPr>
          <w:p>
            <w:pPr>
              <w:spacing w:after="0"/>
            </w:pPr>
            <w:r/>
            <w:r>
              <w:rPr>
                <w:rFonts w:ascii="Aptos" w:hAnsi="Aptos"/>
                <w:b w:val="0"/>
                <w:sz w:val="16"/>
              </w:rPr>
              <w:t>Power BI data is stale</w:t>
            </w:r>
          </w:p>
        </w:tc>
        <w:tc>
          <w:tcPr>
            <w:tcW w:type="dxa" w:w="5040"/>
            <w:vAlign w:val="center"/>
          </w:tcPr>
          <w:p>
            <w:pPr>
              <w:spacing w:after="0"/>
            </w:pPr>
            <w:r/>
            <w:r>
              <w:rPr>
                <w:rFonts w:ascii="Aptos" w:hAnsi="Aptos"/>
                <w:b w:val="0"/>
                <w:sz w:val="16"/>
              </w:rPr>
              <w:t>Confirm pipeline succeeded, dependent Power BI refresh task ran, connection authentication is valid, and semantic-model refresh history is successful.</w:t>
            </w:r>
          </w:p>
        </w:tc>
      </w:tr>
      <w:tr>
        <w:tc>
          <w:tcPr>
            <w:tcW w:type="dxa" w:w="5040"/>
            <w:vAlign w:val="center"/>
            <w:shd w:fill="F0F5FA"/>
          </w:tcPr>
          <w:p>
            <w:pPr>
              <w:spacing w:after="0"/>
            </w:pPr>
            <w:r/>
            <w:r>
              <w:rPr>
                <w:rFonts w:ascii="Aptos" w:hAnsi="Aptos"/>
                <w:b w:val="0"/>
                <w:sz w:val="16"/>
              </w:rPr>
              <w:t>A visual shows blank or implausible comparisons</w:t>
            </w:r>
          </w:p>
        </w:tc>
        <w:tc>
          <w:tcPr>
            <w:tcW w:type="dxa" w:w="5040"/>
            <w:vAlign w:val="center"/>
            <w:shd w:fill="F0F5FA"/>
          </w:tcPr>
          <w:p>
            <w:pPr>
              <w:spacing w:after="0"/>
            </w:pPr>
            <w:r/>
            <w:r>
              <w:rPr>
                <w:rFonts w:ascii="Aptos" w:hAnsi="Aptos"/>
                <w:b w:val="0"/>
                <w:sz w:val="16"/>
              </w:rPr>
              <w:t>Check selected date context, full-month comparison logic, prior-month availability, relationships, and measure denominator.</w:t>
            </w:r>
          </w:p>
        </w:tc>
      </w:tr>
    </w:tbl>
    <w:p>
      <w:pPr>
        <w:spacing w:after="20"/>
      </w:pPr>
    </w:p>
    <w:p>
      <w:pPr>
        <w:pStyle w:val="Heading2"/>
      </w:pPr>
      <w:r>
        <w:t>Security and credentials</w:t>
      </w:r>
    </w:p>
    <w:p>
      <w:pPr>
        <w:pStyle w:val="ListBullet"/>
        <w:spacing w:after="40"/>
      </w:pPr>
      <w:r>
        <w:t>Do not hardcode AWS keys, tokens, or Power BI credentials in source code or documentation.</w:t>
      </w:r>
    </w:p>
    <w:p>
      <w:pPr>
        <w:pStyle w:val="ListBullet"/>
        <w:spacing w:after="40"/>
      </w:pPr>
      <w:r>
        <w:t>Use AWS IAM roles/policies with least privilege for Lambda and S3 access.</w:t>
      </w:r>
    </w:p>
    <w:p>
      <w:pPr>
        <w:pStyle w:val="ListBullet"/>
        <w:spacing w:after="40"/>
      </w:pPr>
      <w:r>
        <w:t>Use the configured Databricks and Power BI connection mechanisms and review permissions periodically.</w:t>
      </w:r>
    </w:p>
    <w:p>
      <w:pPr>
        <w:pStyle w:val="ListBullet"/>
        <w:spacing w:after="40"/>
      </w:pPr>
      <w:r>
        <w:t>Keep synthetic data clearly labelled, especially if screenshots or portfolio materials are shared publicly.</w:t>
      </w:r>
    </w:p>
    <w:p>
      <w:pPr>
        <w:pStyle w:val="Heading1"/>
      </w:pPr>
      <w:r>
        <w:t>12. Validation and Testing Checklist</w:t>
      </w:r>
    </w:p>
    <w:p>
      <w:pPr>
        <w:pStyle w:val="ListBullet"/>
        <w:spacing w:after="40"/>
      </w:pPr>
      <w:r>
        <w:t>Confirm Lambda writes expected files to each domain prefix.</w:t>
      </w:r>
    </w:p>
    <w:p>
      <w:pPr>
        <w:pStyle w:val="ListBullet"/>
        <w:spacing w:after="40"/>
      </w:pPr>
      <w:r>
        <w:t>Confirm static master-data files remain stable across runs.</w:t>
      </w:r>
    </w:p>
    <w:p>
      <w:pPr>
        <w:pStyle w:val="ListBullet"/>
        <w:spacing w:after="40"/>
      </w:pPr>
      <w:r>
        <w:t>Confirm the Databricks file-arrival trigger detects newly written files.</w:t>
      </w:r>
    </w:p>
    <w:p>
      <w:pPr>
        <w:pStyle w:val="ListBullet"/>
        <w:spacing w:after="40"/>
      </w:pPr>
      <w:r>
        <w:t>Confirm pipeline success and row counts for Bronze, Silver, and Gold.</w:t>
      </w:r>
    </w:p>
    <w:p>
      <w:pPr>
        <w:pStyle w:val="ListBullet"/>
        <w:spacing w:after="40"/>
      </w:pPr>
      <w:r>
        <w:t>Validate primary keys and referential integrity for product, country, supplier, plant, and distribution-centre dimensions.</w:t>
      </w:r>
    </w:p>
    <w:p>
      <w:pPr>
        <w:pStyle w:val="ListBullet"/>
        <w:spacing w:after="40"/>
      </w:pPr>
      <w:r>
        <w:t>Reconcile distinct event counts to source IDs to detect join multiplication.</w:t>
      </w:r>
    </w:p>
    <w:p>
      <w:pPr>
        <w:pStyle w:val="ListBullet"/>
        <w:spacing w:after="40"/>
      </w:pPr>
      <w:r>
        <w:t>Validate trial enrollment at distinct TrialID grain.</w:t>
      </w:r>
    </w:p>
    <w:p>
      <w:pPr>
        <w:pStyle w:val="ListBullet"/>
        <w:spacing w:after="40"/>
      </w:pPr>
      <w:r>
        <w:t>Test date slicers, Year-Month filters, country/product filters, and cross-filtering between visuals.</w:t>
      </w:r>
    </w:p>
    <w:p>
      <w:pPr>
        <w:pStyle w:val="ListBullet"/>
        <w:spacing w:after="40"/>
      </w:pPr>
      <w:r>
        <w:t>Test month-over-month calculations for full-month comparisons when the selected end date falls mid-month.</w:t>
      </w:r>
    </w:p>
    <w:p>
      <w:pPr>
        <w:pStyle w:val="ListBullet"/>
        <w:spacing w:after="40"/>
      </w:pPr>
      <w:r>
        <w:t>Check fallback text for Improvements, Risks, and Action Points.</w:t>
      </w:r>
    </w:p>
    <w:p>
      <w:pPr>
        <w:pStyle w:val="ListBullet"/>
        <w:spacing w:after="40"/>
      </w:pPr>
      <w:r>
        <w:t>Confirm Power BI refresh runs only after successful pipeline completion.</w:t>
      </w:r>
    </w:p>
    <w:p>
      <w:pPr>
        <w:pStyle w:val="ListBullet"/>
        <w:spacing w:after="40"/>
      </w:pPr>
      <w:r>
        <w:t>Validate dashboard figures against source-level SQL aggregates before publishing.</w:t>
      </w:r>
    </w:p>
    <w:p>
      <w:pPr>
        <w:pStyle w:val="Heading1"/>
      </w:pPr>
      <w:r>
        <w:t>13. Portfolio Presentation</w:t>
      </w:r>
    </w:p>
    <w:p>
      <w:r>
        <w:t>Suggested project summary:</w:t>
      </w:r>
    </w:p>
    <w:p>
      <w:pPr>
        <w:ind w:left="360" w:right="360"/>
      </w:pPr>
      <w:r>
        <w:rPr>
          <w:i/>
        </w:rPr>
        <w:t>Built an automated pharmaceutical enterprise analytics platform using AWS Lambda, EventBridge Scheduler, Amazon S3, Databricks Lakeflow, and Power BI. Implemented a Bronze/Silver/Gold lakehouse architecture, shared dimensional modelling, incremental file-arrival ingestion, and dependent semantic-model refresh orchestration. Developed executive and domain dashboards for supply chain, manufacturing, commercial demand, quality and regulatory, and clinical safety using reusable DAX measures and dynamic risk/action insights.</w:t>
      </w:r>
    </w:p>
    <w:p>
      <w:r>
        <w:t>When presenting the project, explicitly disclose that the data is synthetic. Focus on the architecture, modelling decisions, automation, validation, and dashboard design rather than claiming real pharmaceutical outcomes.</w:t>
      </w:r>
    </w:p>
    <w:p>
      <w:pPr>
        <w:pStyle w:val="Heading1"/>
      </w:pPr>
      <w:r>
        <w:t>14. Reference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82B5B"/>
          </w:tcPr>
          <w:p>
            <w:pPr>
              <w:spacing w:after="0"/>
            </w:pPr>
            <w:r/>
            <w:r>
              <w:rPr>
                <w:rFonts w:ascii="Aptos" w:hAnsi="Aptos"/>
                <w:b/>
                <w:color w:val="FFFFFF"/>
                <w:sz w:val="17"/>
              </w:rPr>
              <w:t>Component</w:t>
            </w:r>
          </w:p>
        </w:tc>
        <w:tc>
          <w:tcPr>
            <w:tcW w:type="dxa" w:w="5040"/>
            <w:vAlign w:val="center"/>
            <w:shd w:fill="082B5B"/>
          </w:tcPr>
          <w:p>
            <w:pPr>
              <w:spacing w:after="0"/>
            </w:pPr>
            <w:r/>
            <w:r>
              <w:rPr>
                <w:rFonts w:ascii="Aptos" w:hAnsi="Aptos"/>
                <w:b/>
                <w:color w:val="FFFFFF"/>
                <w:sz w:val="17"/>
              </w:rPr>
              <w:t>Known project value</w:t>
            </w:r>
          </w:p>
        </w:tc>
      </w:tr>
      <w:tr>
        <w:tc>
          <w:tcPr>
            <w:tcW w:type="dxa" w:w="5040"/>
            <w:vAlign w:val="center"/>
          </w:tcPr>
          <w:p>
            <w:pPr>
              <w:spacing w:after="0"/>
            </w:pPr>
            <w:r/>
            <w:r>
              <w:rPr>
                <w:rFonts w:ascii="Aptos" w:hAnsi="Aptos"/>
                <w:b w:val="0"/>
                <w:sz w:val="16"/>
              </w:rPr>
              <w:t>AWS S3 bucket</w:t>
            </w:r>
          </w:p>
        </w:tc>
        <w:tc>
          <w:tcPr>
            <w:tcW w:type="dxa" w:w="5040"/>
            <w:vAlign w:val="center"/>
          </w:tcPr>
          <w:p>
            <w:pPr>
              <w:spacing w:after="0"/>
            </w:pPr>
            <w:r/>
            <w:r>
              <w:rPr>
                <w:rFonts w:ascii="Aptos" w:hAnsi="Aptos"/>
                <w:b w:val="0"/>
                <w:sz w:val="16"/>
              </w:rPr>
              <w:t>my-projects-data-sherrif</w:t>
            </w:r>
          </w:p>
        </w:tc>
      </w:tr>
      <w:tr>
        <w:tc>
          <w:tcPr>
            <w:tcW w:type="dxa" w:w="5040"/>
            <w:vAlign w:val="center"/>
            <w:shd w:fill="F0F5FA"/>
          </w:tcPr>
          <w:p>
            <w:pPr>
              <w:spacing w:after="0"/>
            </w:pPr>
            <w:r/>
            <w:r>
              <w:rPr>
                <w:rFonts w:ascii="Aptos" w:hAnsi="Aptos"/>
                <w:b w:val="0"/>
                <w:sz w:val="16"/>
              </w:rPr>
              <w:t>Lambda function</w:t>
            </w:r>
          </w:p>
        </w:tc>
        <w:tc>
          <w:tcPr>
            <w:tcW w:type="dxa" w:w="5040"/>
            <w:vAlign w:val="center"/>
            <w:shd w:fill="F0F5FA"/>
          </w:tcPr>
          <w:p>
            <w:pPr>
              <w:spacing w:after="0"/>
            </w:pPr>
            <w:r/>
            <w:r>
              <w:rPr>
                <w:rFonts w:ascii="Aptos" w:hAnsi="Aptos"/>
                <w:b w:val="0"/>
                <w:sz w:val="16"/>
              </w:rPr>
              <w:t>daily_inventory_generator</w:t>
            </w:r>
          </w:p>
        </w:tc>
      </w:tr>
      <w:tr>
        <w:tc>
          <w:tcPr>
            <w:tcW w:type="dxa" w:w="5040"/>
            <w:vAlign w:val="center"/>
          </w:tcPr>
          <w:p>
            <w:pPr>
              <w:spacing w:after="0"/>
            </w:pPr>
            <w:r/>
            <w:r>
              <w:rPr>
                <w:rFonts w:ascii="Aptos" w:hAnsi="Aptos"/>
                <w:b w:val="0"/>
                <w:sz w:val="16"/>
              </w:rPr>
              <w:t>Databricks catalog</w:t>
            </w:r>
          </w:p>
        </w:tc>
        <w:tc>
          <w:tcPr>
            <w:tcW w:type="dxa" w:w="5040"/>
            <w:vAlign w:val="center"/>
          </w:tcPr>
          <w:p>
            <w:pPr>
              <w:spacing w:after="0"/>
            </w:pPr>
            <w:r/>
            <w:r>
              <w:rPr>
                <w:rFonts w:ascii="Aptos" w:hAnsi="Aptos"/>
                <w:b w:val="0"/>
                <w:sz w:val="16"/>
              </w:rPr>
              <w:t>prod_global</w:t>
            </w:r>
          </w:p>
        </w:tc>
      </w:tr>
      <w:tr>
        <w:tc>
          <w:tcPr>
            <w:tcW w:type="dxa" w:w="5040"/>
            <w:vAlign w:val="center"/>
            <w:shd w:fill="F0F5FA"/>
          </w:tcPr>
          <w:p>
            <w:pPr>
              <w:spacing w:after="0"/>
            </w:pPr>
            <w:r/>
            <w:r>
              <w:rPr>
                <w:rFonts w:ascii="Aptos" w:hAnsi="Aptos"/>
                <w:b w:val="0"/>
                <w:sz w:val="16"/>
              </w:rPr>
              <w:t>Databricks Bronze schema</w:t>
            </w:r>
          </w:p>
        </w:tc>
        <w:tc>
          <w:tcPr>
            <w:tcW w:type="dxa" w:w="5040"/>
            <w:vAlign w:val="center"/>
            <w:shd w:fill="F0F5FA"/>
          </w:tcPr>
          <w:p>
            <w:pPr>
              <w:spacing w:after="0"/>
            </w:pPr>
            <w:r/>
            <w:r>
              <w:rPr>
                <w:rFonts w:ascii="Aptos" w:hAnsi="Aptos"/>
                <w:b w:val="0"/>
                <w:sz w:val="16"/>
              </w:rPr>
              <w:t>bronze_layer</w:t>
            </w:r>
          </w:p>
        </w:tc>
      </w:tr>
      <w:tr>
        <w:tc>
          <w:tcPr>
            <w:tcW w:type="dxa" w:w="5040"/>
            <w:vAlign w:val="center"/>
          </w:tcPr>
          <w:p>
            <w:pPr>
              <w:spacing w:after="0"/>
            </w:pPr>
            <w:r/>
            <w:r>
              <w:rPr>
                <w:rFonts w:ascii="Aptos" w:hAnsi="Aptos"/>
                <w:b w:val="0"/>
                <w:sz w:val="16"/>
              </w:rPr>
              <w:t>Databricks Silver schema</w:t>
            </w:r>
          </w:p>
        </w:tc>
        <w:tc>
          <w:tcPr>
            <w:tcW w:type="dxa" w:w="5040"/>
            <w:vAlign w:val="center"/>
          </w:tcPr>
          <w:p>
            <w:pPr>
              <w:spacing w:after="0"/>
            </w:pPr>
            <w:r/>
            <w:r>
              <w:rPr>
                <w:rFonts w:ascii="Aptos" w:hAnsi="Aptos"/>
                <w:b w:val="0"/>
                <w:sz w:val="16"/>
              </w:rPr>
              <w:t>silver_layer</w:t>
            </w:r>
          </w:p>
        </w:tc>
      </w:tr>
      <w:tr>
        <w:tc>
          <w:tcPr>
            <w:tcW w:type="dxa" w:w="5040"/>
            <w:vAlign w:val="center"/>
            <w:shd w:fill="F0F5FA"/>
          </w:tcPr>
          <w:p>
            <w:pPr>
              <w:spacing w:after="0"/>
            </w:pPr>
            <w:r/>
            <w:r>
              <w:rPr>
                <w:rFonts w:ascii="Aptos" w:hAnsi="Aptos"/>
                <w:b w:val="0"/>
                <w:sz w:val="16"/>
              </w:rPr>
              <w:t>Databricks Gold schema</w:t>
            </w:r>
          </w:p>
        </w:tc>
        <w:tc>
          <w:tcPr>
            <w:tcW w:type="dxa" w:w="5040"/>
            <w:vAlign w:val="center"/>
            <w:shd w:fill="F0F5FA"/>
          </w:tcPr>
          <w:p>
            <w:pPr>
              <w:spacing w:after="0"/>
            </w:pPr>
            <w:r/>
            <w:r>
              <w:rPr>
                <w:rFonts w:ascii="Aptos" w:hAnsi="Aptos"/>
                <w:b w:val="0"/>
                <w:sz w:val="16"/>
              </w:rPr>
              <w:t>gold_layer</w:t>
            </w:r>
          </w:p>
        </w:tc>
      </w:tr>
      <w:tr>
        <w:tc>
          <w:tcPr>
            <w:tcW w:type="dxa" w:w="5040"/>
            <w:vAlign w:val="center"/>
          </w:tcPr>
          <w:p>
            <w:pPr>
              <w:spacing w:after="0"/>
            </w:pPr>
            <w:r/>
            <w:r>
              <w:rPr>
                <w:rFonts w:ascii="Aptos" w:hAnsi="Aptos"/>
                <w:b w:val="0"/>
                <w:sz w:val="16"/>
              </w:rPr>
              <w:t>Lakeflow pipeline</w:t>
            </w:r>
          </w:p>
        </w:tc>
        <w:tc>
          <w:tcPr>
            <w:tcW w:type="dxa" w:w="5040"/>
            <w:vAlign w:val="center"/>
          </w:tcPr>
          <w:p>
            <w:pPr>
              <w:spacing w:after="0"/>
            </w:pPr>
            <w:r/>
            <w:r>
              <w:rPr>
                <w:rFonts w:ascii="Aptos" w:hAnsi="Aptos"/>
                <w:b w:val="0"/>
                <w:sz w:val="16"/>
              </w:rPr>
              <w:t>pharm_data_pipeline</w:t>
            </w:r>
          </w:p>
        </w:tc>
      </w:tr>
      <w:tr>
        <w:tc>
          <w:tcPr>
            <w:tcW w:type="dxa" w:w="5040"/>
            <w:vAlign w:val="center"/>
            <w:shd w:fill="F0F5FA"/>
          </w:tcPr>
          <w:p>
            <w:pPr>
              <w:spacing w:after="0"/>
            </w:pPr>
            <w:r/>
            <w:r>
              <w:rPr>
                <w:rFonts w:ascii="Aptos" w:hAnsi="Aptos"/>
                <w:b w:val="0"/>
                <w:sz w:val="16"/>
              </w:rPr>
              <w:t>Lakeflow job Power BI task</w:t>
            </w:r>
          </w:p>
        </w:tc>
        <w:tc>
          <w:tcPr>
            <w:tcW w:type="dxa" w:w="5040"/>
            <w:vAlign w:val="center"/>
            <w:shd w:fill="F0F5FA"/>
          </w:tcPr>
          <w:p>
            <w:pPr>
              <w:spacing w:after="0"/>
            </w:pPr>
            <w:r/>
            <w:r>
              <w:rPr>
                <w:rFonts w:ascii="Aptos" w:hAnsi="Aptos"/>
                <w:b w:val="0"/>
                <w:sz w:val="16"/>
              </w:rPr>
              <w:t>pharm_data_refresh</w:t>
            </w:r>
          </w:p>
        </w:tc>
      </w:tr>
      <w:tr>
        <w:tc>
          <w:tcPr>
            <w:tcW w:type="dxa" w:w="5040"/>
            <w:vAlign w:val="center"/>
          </w:tcPr>
          <w:p>
            <w:pPr>
              <w:spacing w:after="0"/>
            </w:pPr>
            <w:r/>
            <w:r>
              <w:rPr>
                <w:rFonts w:ascii="Aptos" w:hAnsi="Aptos"/>
                <w:b w:val="0"/>
                <w:sz w:val="16"/>
              </w:rPr>
              <w:t>Power BI connection</w:t>
            </w:r>
          </w:p>
        </w:tc>
        <w:tc>
          <w:tcPr>
            <w:tcW w:type="dxa" w:w="5040"/>
            <w:vAlign w:val="center"/>
          </w:tcPr>
          <w:p>
            <w:pPr>
              <w:spacing w:after="0"/>
            </w:pPr>
            <w:r/>
            <w:r>
              <w:rPr>
                <w:rFonts w:ascii="Aptos" w:hAnsi="Aptos"/>
                <w:b w:val="0"/>
                <w:sz w:val="16"/>
              </w:rPr>
              <w:t>power_bi_connection</w:t>
            </w:r>
          </w:p>
        </w:tc>
      </w:tr>
      <w:tr>
        <w:tc>
          <w:tcPr>
            <w:tcW w:type="dxa" w:w="5040"/>
            <w:vAlign w:val="center"/>
            <w:shd w:fill="F0F5FA"/>
          </w:tcPr>
          <w:p>
            <w:pPr>
              <w:spacing w:after="0"/>
            </w:pPr>
            <w:r/>
            <w:r>
              <w:rPr>
                <w:rFonts w:ascii="Aptos" w:hAnsi="Aptos"/>
                <w:b w:val="0"/>
                <w:sz w:val="16"/>
              </w:rPr>
              <w:t>Power BI workspace</w:t>
            </w:r>
          </w:p>
        </w:tc>
        <w:tc>
          <w:tcPr>
            <w:tcW w:type="dxa" w:w="5040"/>
            <w:vAlign w:val="center"/>
            <w:shd w:fill="F0F5FA"/>
          </w:tcPr>
          <w:p>
            <w:pPr>
              <w:spacing w:after="0"/>
            </w:pPr>
            <w:r/>
            <w:r>
              <w:rPr>
                <w:rFonts w:ascii="Aptos" w:hAnsi="Aptos"/>
                <w:b w:val="0"/>
                <w:sz w:val="16"/>
              </w:rPr>
              <w:t>Prod</w:t>
            </w:r>
          </w:p>
        </w:tc>
      </w:tr>
      <w:tr>
        <w:tc>
          <w:tcPr>
            <w:tcW w:type="dxa" w:w="5040"/>
            <w:vAlign w:val="center"/>
          </w:tcPr>
          <w:p>
            <w:pPr>
              <w:spacing w:after="0"/>
            </w:pPr>
            <w:r/>
            <w:r>
              <w:rPr>
                <w:rFonts w:ascii="Aptos" w:hAnsi="Aptos"/>
                <w:b w:val="0"/>
                <w:sz w:val="16"/>
              </w:rPr>
              <w:t>Power BI semantic model</w:t>
            </w:r>
          </w:p>
        </w:tc>
        <w:tc>
          <w:tcPr>
            <w:tcW w:type="dxa" w:w="5040"/>
            <w:vAlign w:val="center"/>
          </w:tcPr>
          <w:p>
            <w:pPr>
              <w:spacing w:after="0"/>
            </w:pPr>
            <w:r/>
            <w:r>
              <w:rPr>
                <w:rFonts w:ascii="Aptos" w:hAnsi="Aptos"/>
                <w:b w:val="0"/>
                <w:sz w:val="16"/>
              </w:rPr>
              <w:t>Pharma Dashboard</w:t>
            </w:r>
          </w:p>
        </w:tc>
      </w:tr>
      <w:tr>
        <w:tc>
          <w:tcPr>
            <w:tcW w:type="dxa" w:w="5040"/>
            <w:vAlign w:val="center"/>
            <w:shd w:fill="F0F5FA"/>
          </w:tcPr>
          <w:p>
            <w:pPr>
              <w:spacing w:after="0"/>
            </w:pPr>
            <w:r/>
            <w:r>
              <w:rPr>
                <w:rFonts w:ascii="Aptos" w:hAnsi="Aptos"/>
                <w:b w:val="0"/>
                <w:sz w:val="16"/>
              </w:rPr>
              <w:t>File-arrival wait after last change</w:t>
            </w:r>
          </w:p>
        </w:tc>
        <w:tc>
          <w:tcPr>
            <w:tcW w:type="dxa" w:w="5040"/>
            <w:vAlign w:val="center"/>
            <w:shd w:fill="F0F5FA"/>
          </w:tcPr>
          <w:p>
            <w:pPr>
              <w:spacing w:after="0"/>
            </w:pPr>
            <w:r/>
            <w:r>
              <w:rPr>
                <w:rFonts w:ascii="Aptos" w:hAnsi="Aptos"/>
                <w:b w:val="0"/>
                <w:sz w:val="16"/>
              </w:rPr>
              <w:t>00h05m</w:t>
            </w:r>
          </w:p>
        </w:tc>
      </w:tr>
    </w:tbl>
    <w:p>
      <w:pPr>
        <w:spacing w:after="20"/>
      </w:pPr>
    </w:p>
    <w:p>
      <w:r>
        <w:t>Some implementation details were not present in the available project notes, including exact EventBridge cadence, complete Lambda source code, full SQL definitions for every Gold object, final Power BI relationship diagram, and the validated status values for active trials/open safety cases. Document those from the deployed configuration rather than inferring them.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Pharma Enterprise Data &amp; Analytics Platform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2B5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61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61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2B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