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750412" w:rsidRDefault="00654A44">
      <w:pPr>
        <w:pStyle w:val="Heading2"/>
        <w:widowControl/>
        <w:rPr>
          <w:rFonts w:ascii="Arial" w:hAnsi="Arial" w:cs="Arial"/>
        </w:rPr>
      </w:pPr>
      <w:r w:rsidRPr="00750412">
        <w:rPr>
          <w:rFonts w:ascii="Arial" w:hAnsi="Arial" w:cs="Arial"/>
        </w:rPr>
        <w:t>Supplementary Methods</w:t>
      </w:r>
    </w:p>
    <w:p w:rsidR="00000000" w:rsidRPr="00B65EF3" w:rsidRDefault="00654A44">
      <w:pPr>
        <w:pStyle w:val="Heading3"/>
        <w:widowControl/>
        <w:spacing w:before="200"/>
        <w:rPr>
          <w:rFonts w:ascii="Arial" w:hAnsi="Arial" w:cs="Arial"/>
          <w:sz w:val="28"/>
          <w:szCs w:val="28"/>
        </w:rPr>
      </w:pPr>
      <w:r w:rsidRPr="00B65EF3">
        <w:rPr>
          <w:rFonts w:ascii="Arial" w:hAnsi="Arial" w:cs="Arial"/>
          <w:sz w:val="28"/>
          <w:szCs w:val="28"/>
        </w:rPr>
        <w:t>Bayesian mode</w:t>
      </w:r>
      <w:r w:rsidRPr="00B65EF3">
        <w:rPr>
          <w:rFonts w:ascii="Arial" w:hAnsi="Arial" w:cs="Arial"/>
          <w:sz w:val="28"/>
          <w:szCs w:val="28"/>
        </w:rPr>
        <w:t>ls of IFN-I resistance of HIV-1 plasma isolates from longitudinally sampled participants</w:t>
      </w:r>
    </w:p>
    <w:p w:rsidR="00000000" w:rsidRPr="00750412" w:rsidRDefault="00654A44">
      <w:pPr>
        <w:spacing w:before="8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To create a simple model of the temporal dynamics of type I interferon (IFN-I) resistance, </w:t>
      </w:r>
      <w:r w:rsidR="00B65EF3" w:rsidRPr="00B65EF3">
        <w:rPr>
          <w:rFonts w:ascii="Arial" w:hAnsi="Arial" w:cs="Arial"/>
        </w:rPr>
        <w:t>IFNα2</w:t>
      </w:r>
      <w:r w:rsidRPr="00750412">
        <w:rPr>
          <w:rFonts w:ascii="Arial" w:hAnsi="Arial" w:cs="Arial"/>
        </w:rPr>
        <w:t xml:space="preserve"> and </w:t>
      </w:r>
      <w:r w:rsidR="00B65EF3" w:rsidRPr="00B65EF3">
        <w:rPr>
          <w:rFonts w:ascii="Arial" w:hAnsi="Arial" w:cs="Arial"/>
        </w:rPr>
        <w:t>IFN</w:t>
      </w:r>
      <w:r w:rsidR="00B65EF3" w:rsidRPr="00B65EF3">
        <w:rPr>
          <w:rFonts w:ascii="Symbol" w:hAnsi="Symbol" w:cs="Arial"/>
        </w:rPr>
        <w:t></w:t>
      </w:r>
      <w:r w:rsidRPr="00750412">
        <w:rPr>
          <w:rFonts w:ascii="Arial" w:hAnsi="Arial" w:cs="Arial"/>
        </w:rPr>
        <w:t xml:space="preserve"> </w:t>
      </w:r>
      <w:r w:rsidR="00DE2ADC" w:rsidRPr="00DE2ADC">
        <w:rPr>
          <w:rFonts w:ascii="Arial" w:hAnsi="Arial" w:cs="Arial"/>
        </w:rPr>
        <w:t>IC</w:t>
      </w:r>
      <w:r w:rsidR="00DE2ADC" w:rsidRPr="00DE2ADC">
        <w:rPr>
          <w:rFonts w:ascii="Arial" w:hAnsi="Arial" w:cs="Arial"/>
          <w:vertAlign w:val="subscript"/>
        </w:rPr>
        <w:t>50</w:t>
      </w:r>
      <w:r w:rsidRPr="00750412">
        <w:rPr>
          <w:rFonts w:ascii="Arial" w:hAnsi="Arial" w:cs="Arial"/>
        </w:rPr>
        <w:t xml:space="preserve"> values were each modeled using a Bayesian change point hierarchical model. The model is based on a segmented regression of the log </w:t>
      </w:r>
      <w:r w:rsidR="00DE2ADC" w:rsidRPr="00DE2ADC">
        <w:rPr>
          <w:rFonts w:ascii="Arial" w:hAnsi="Arial" w:cs="Arial"/>
        </w:rPr>
        <w:t>IC</w:t>
      </w:r>
      <w:r w:rsidR="00DE2ADC" w:rsidRPr="00DE2ADC">
        <w:rPr>
          <w:rFonts w:ascii="Arial" w:hAnsi="Arial" w:cs="Arial"/>
          <w:vertAlign w:val="subscript"/>
        </w:rPr>
        <w:t>50</w:t>
      </w:r>
      <w:r w:rsidRPr="00750412">
        <w:rPr>
          <w:rFonts w:ascii="Arial" w:hAnsi="Arial" w:cs="Arial"/>
        </w:rPr>
        <w:t xml:space="preserve"> making the following simplifying assumpt</w:t>
      </w:r>
      <w:r w:rsidRPr="00750412">
        <w:rPr>
          <w:rFonts w:ascii="Arial" w:hAnsi="Arial" w:cs="Arial"/>
        </w:rPr>
        <w:t xml:space="preserve">ions: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Each participant has a level of resistance at the acute infection stage drawn from separate population-level distributions for typical, non- or fast progressors.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Each participant has a drop (or rise) in IFN-I resistance from acute levels drawn </w:t>
      </w:r>
      <w:r w:rsidRPr="00750412">
        <w:rPr>
          <w:rFonts w:ascii="Arial" w:hAnsi="Arial" w:cs="Arial"/>
          <w:sz w:val="24"/>
          <w:szCs w:val="24"/>
        </w:rPr>
        <w:t xml:space="preserve">from separate population-level distributions for typical, non- or fast progressors.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Each participant has a time to nadir drawn from separate population-level distributions for typical, non- or fast progressors.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Resistance changes linearly from onset </w:t>
      </w:r>
      <w:r w:rsidRPr="00750412">
        <w:rPr>
          <w:rFonts w:ascii="Arial" w:hAnsi="Arial" w:cs="Arial"/>
          <w:sz w:val="24"/>
          <w:szCs w:val="24"/>
        </w:rPr>
        <w:t xml:space="preserve">of symptoms to time of nadir.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The nadir of IFN-I resistance represents a changepoint in the data. Following this point, changes in IFN-I resistance are modeled as a linear function of CD4+ T cell count changes away from the count found at nadir.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>Wher</w:t>
      </w:r>
      <w:r w:rsidRPr="00750412">
        <w:rPr>
          <w:rFonts w:ascii="Arial" w:hAnsi="Arial" w:cs="Arial"/>
          <w:sz w:val="24"/>
          <w:szCs w:val="24"/>
        </w:rPr>
        <w:t xml:space="preserve">e data is not present, CD4+ T cell counts are assumed to be linearly interpolated between adjacent observations. </w:t>
      </w:r>
    </w:p>
    <w:p w:rsidR="00000000" w:rsidRPr="00750412" w:rsidRDefault="00654A44">
      <w:pPr>
        <w:spacing w:before="8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The log </w:t>
      </w:r>
      <w:r w:rsidR="00DE2ADC" w:rsidRPr="00DE2ADC">
        <w:rPr>
          <w:rFonts w:ascii="Arial" w:hAnsi="Arial" w:cs="Arial"/>
        </w:rPr>
        <w:t>IC</w:t>
      </w:r>
      <w:r w:rsidR="00DE2ADC" w:rsidRPr="00DE2ADC">
        <w:rPr>
          <w:rFonts w:ascii="Arial" w:hAnsi="Arial" w:cs="Arial"/>
          <w:vertAlign w:val="subscript"/>
        </w:rPr>
        <w:t>50</w:t>
      </w:r>
      <w:r w:rsidRPr="00750412">
        <w:rPr>
          <w:rFonts w:ascii="Arial" w:hAnsi="Arial" w:cs="Arial"/>
        </w:rPr>
        <w:t xml:space="preserve"> observation from each viral isolate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38100" cy="1016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modeled as a normal </w:t>
      </w:r>
      <w:r w:rsidRPr="00750412">
        <w:rPr>
          <w:rFonts w:ascii="Arial" w:hAnsi="Arial" w:cs="Arial"/>
        </w:rPr>
        <w:t xml:space="preserve">distribution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435100" cy="1524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with mean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14300" cy="762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where: </w:t>
      </w:r>
    </w:p>
    <w:p w:rsidR="00000000" w:rsidRPr="00750412" w:rsidRDefault="00654A44">
      <w:pPr>
        <w:pStyle w:val="bitmapCenter"/>
        <w:tabs>
          <w:tab w:val="center" w:pos="3450"/>
          <w:tab w:val="right" w:pos="690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5562600" cy="4318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where the parameters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27000" cy="1016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represent the level of IFN-I resistance at symptom onset,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01600" cy="1524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represents the change from symptom onset to nadir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01600" cy="1016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represents the time of nadir in pers</w:t>
      </w:r>
      <w:r w:rsidRPr="00750412">
        <w:rPr>
          <w:rFonts w:ascii="Arial" w:hAnsi="Arial" w:cs="Arial"/>
        </w:rPr>
        <w:t xml:space="preserve">on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. Study participant data is represented by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317500" cy="1270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corresponding to the time since onset of symptoms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482600" cy="1143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recording the participant from which isolate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38100" cy="1016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collected,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419100" cy="1524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containing the estimated CD4+ T cell count for person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at time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76200" cy="1016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</w:t>
      </w:r>
      <w:r w:rsidR="00750412" w:rsidRPr="00750412">
        <w:rPr>
          <w:rFonts w:ascii="Arial" w:hAnsi="Arial" w:cs="Arial"/>
          <w:position w:val="-11"/>
        </w:rPr>
        <w:drawing>
          <wp:inline distT="0" distB="0" distL="0" distR="0">
            <wp:extent cx="825500" cy="1651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is the disease progression type (fast/non/typical) for participant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. The hierarchical probabilities for these parameters were: </w:t>
      </w:r>
    </w:p>
    <w:p w:rsidR="00000000" w:rsidRPr="00750412" w:rsidRDefault="00654A44">
      <w:pPr>
        <w:pStyle w:val="bitmapCenter"/>
        <w:tabs>
          <w:tab w:val="center" w:pos="3450"/>
          <w:tab w:val="right" w:pos="690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lastRenderedPageBreak/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4902200" cy="29972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where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each participant and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1460500" cy="1397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represents a negative binomial distribution parameterized such that the expected value is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76200" cy="635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the variance is </w:t>
      </w:r>
      <w:r w:rsidR="00750412" w:rsidRPr="00750412">
        <w:rPr>
          <w:rFonts w:ascii="Arial" w:hAnsi="Arial" w:cs="Arial"/>
          <w:position w:val="-13"/>
        </w:rPr>
        <w:drawing>
          <wp:inline distT="0" distB="0" distL="0" distR="0">
            <wp:extent cx="393700" cy="2286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. All hyperparameters were given prior probabilities of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1219200" cy="1397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for parameters representing the means of a distribution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308100" cy="1524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for parame</w:t>
      </w:r>
      <w:r w:rsidRPr="00750412">
        <w:rPr>
          <w:rFonts w:ascii="Arial" w:hAnsi="Arial" w:cs="Arial"/>
        </w:rPr>
        <w:t xml:space="preserve">ters representing standard deviations other than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444500" cy="152400"/>
            <wp:effectExtent l="0" t="0" r="0" b="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419100" cy="1524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which were given a flat prior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231900" cy="152400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>.</w:t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For computational efficiency, the nadir time parameter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50800" cy="63500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discretized to weekly intervals, assumed to fall within 1 to 150 weeks after symptom onset and marginalized out of the joint probability: </w:t>
      </w:r>
    </w:p>
    <w:p w:rsidR="00000000" w:rsidRPr="00750412" w:rsidRDefault="00654A44">
      <w:pPr>
        <w:pStyle w:val="equation"/>
        <w:tabs>
          <w:tab w:val="center" w:pos="345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4800600" cy="431800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where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101600" cy="12700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</w:t>
      </w:r>
      <w:r w:rsidRPr="00750412">
        <w:rPr>
          <w:rFonts w:ascii="Arial" w:hAnsi="Arial" w:cs="Arial"/>
        </w:rPr>
        <w:t xml:space="preserve">presents all parameters other than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50800" cy="63500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203200" cy="88900"/>
            <wp:effectExtent l="0" t="0" r="0" b="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is defined the same as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14300" cy="76200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: </w:t>
      </w:r>
    </w:p>
    <w:p w:rsidR="00000000" w:rsidRPr="00750412" w:rsidRDefault="00654A44">
      <w:pPr>
        <w:pStyle w:val="equation"/>
        <w:tabs>
          <w:tab w:val="center" w:pos="345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5041900" cy="4064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Posterior probabilities were estimated with </w:t>
      </w:r>
      <w:r w:rsidRPr="00750412">
        <w:rPr>
          <w:rFonts w:ascii="Arial" w:hAnsi="Arial" w:cs="Arial"/>
        </w:rPr>
        <w:t>50 Markov chain Monte Carlo chains of 5000 iterations each using Stan (</w:t>
      </w:r>
      <w:r w:rsidRPr="00750412">
        <w:rPr>
          <w:rFonts w:ascii="Arial" w:hAnsi="Arial" w:cs="Arial"/>
          <w:i/>
          <w:iCs/>
        </w:rPr>
        <w:t>90</w:t>
      </w:r>
      <w:r w:rsidRPr="00750412">
        <w:rPr>
          <w:rFonts w:ascii="Arial" w:hAnsi="Arial" w:cs="Arial"/>
        </w:rPr>
        <w:t>).</w:t>
      </w:r>
    </w:p>
    <w:p w:rsidR="00000000" w:rsidRPr="00B65EF3" w:rsidRDefault="00654A44">
      <w:pPr>
        <w:pStyle w:val="Heading3"/>
        <w:widowControl/>
        <w:spacing w:before="140"/>
        <w:rPr>
          <w:rFonts w:ascii="Arial" w:hAnsi="Arial" w:cs="Arial"/>
          <w:sz w:val="28"/>
          <w:szCs w:val="28"/>
        </w:rPr>
      </w:pPr>
      <w:r w:rsidRPr="00B65EF3">
        <w:rPr>
          <w:rFonts w:ascii="Arial" w:hAnsi="Arial" w:cs="Arial"/>
          <w:sz w:val="28"/>
          <w:szCs w:val="28"/>
        </w:rPr>
        <w:t>Bayesian models of IFN-I resistance of outgrowth and rebound HIV-1 isolates</w:t>
      </w:r>
    </w:p>
    <w:p w:rsidR="00000000" w:rsidRPr="00750412" w:rsidRDefault="00654A44">
      <w:pPr>
        <w:spacing w:before="8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To compare the IFN-I resistance of viral isolates derived from plasma samples collected during acute, chronic and rebound infections, as well as from viably frozen PBMCs collected during ART suppression (QVOA), </w:t>
      </w:r>
      <w:r w:rsidR="00DE2ADC" w:rsidRPr="00B65EF3">
        <w:rPr>
          <w:rFonts w:ascii="Arial" w:hAnsi="Arial" w:cs="Arial"/>
        </w:rPr>
        <w:t>IFNα2</w:t>
      </w:r>
      <w:r w:rsidRPr="00750412">
        <w:rPr>
          <w:rFonts w:ascii="Arial" w:hAnsi="Arial" w:cs="Arial"/>
        </w:rPr>
        <w:t xml:space="preserve"> and </w:t>
      </w:r>
      <w:r w:rsidR="00DE2ADC" w:rsidRPr="00B65EF3">
        <w:rPr>
          <w:rFonts w:ascii="Arial" w:hAnsi="Arial" w:cs="Arial"/>
        </w:rPr>
        <w:t>IFN</w:t>
      </w:r>
      <w:r w:rsidR="00DE2ADC" w:rsidRPr="00B65EF3">
        <w:rPr>
          <w:rFonts w:ascii="Symbol" w:hAnsi="Symbol" w:cs="Arial"/>
        </w:rPr>
        <w:t></w:t>
      </w:r>
      <w:r w:rsidRPr="00750412">
        <w:rPr>
          <w:rFonts w:ascii="Arial" w:hAnsi="Arial" w:cs="Arial"/>
        </w:rPr>
        <w:t xml:space="preserve"> </w:t>
      </w:r>
      <w:r w:rsidRPr="00750412">
        <w:rPr>
          <w:rFonts w:ascii="Arial" w:hAnsi="Arial" w:cs="Arial"/>
        </w:rPr>
        <w:t xml:space="preserve">values were modeled using a Bayesian hierarchical model. The model is based on the assumptions that: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Isolates found at acute infection form a base level of IFN-I resistance for </w:t>
      </w:r>
      <w:r w:rsidRPr="00750412">
        <w:rPr>
          <w:rFonts w:ascii="Arial" w:hAnsi="Arial" w:cs="Arial"/>
          <w:sz w:val="24"/>
          <w:szCs w:val="24"/>
        </w:rPr>
        <w:t xml:space="preserve">a given person. Resistances in virus isolated from chronic, ART suppressed and rebound infection for this person are modelled as changes from this initial level.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lastRenderedPageBreak/>
        <w:t>•</w:t>
      </w:r>
      <w:r w:rsidRPr="00750412">
        <w:rPr>
          <w:rFonts w:ascii="Arial" w:hAnsi="Arial" w:cs="Arial"/>
          <w:sz w:val="24"/>
          <w:szCs w:val="24"/>
        </w:rPr>
        <w:tab/>
        <w:t>The mean</w:t>
      </w:r>
      <w:r w:rsidRPr="00750412">
        <w:rPr>
          <w:rFonts w:ascii="Arial" w:hAnsi="Arial" w:cs="Arial"/>
          <w:sz w:val="24"/>
          <w:szCs w:val="24"/>
        </w:rPr>
        <w:t xml:space="preserve"> </w:t>
      </w:r>
      <w:r w:rsidR="00DE2ADC" w:rsidRPr="00DE2ADC">
        <w:rPr>
          <w:rFonts w:ascii="Arial" w:hAnsi="Arial" w:cs="Arial"/>
          <w:sz w:val="24"/>
          <w:szCs w:val="24"/>
        </w:rPr>
        <w:t>IC</w:t>
      </w:r>
      <w:r w:rsidR="00DE2ADC" w:rsidRPr="00DE2ADC">
        <w:rPr>
          <w:rFonts w:ascii="Arial" w:hAnsi="Arial" w:cs="Arial"/>
          <w:sz w:val="24"/>
          <w:szCs w:val="24"/>
          <w:vertAlign w:val="subscript"/>
        </w:rPr>
        <w:t>50</w:t>
      </w:r>
      <w:r w:rsidRPr="00750412">
        <w:rPr>
          <w:rFonts w:ascii="Arial" w:hAnsi="Arial" w:cs="Arial"/>
          <w:sz w:val="24"/>
          <w:szCs w:val="24"/>
        </w:rPr>
        <w:t xml:space="preserve"> level within each person for acute isolates </w:t>
      </w:r>
      <w:r w:rsidRPr="00750412">
        <w:rPr>
          <w:rFonts w:ascii="Arial" w:hAnsi="Arial" w:cs="Arial"/>
          <w:sz w:val="24"/>
          <w:szCs w:val="24"/>
        </w:rPr>
        <w:t xml:space="preserve">and the change from acute levels for chronic, QVOA and rebound isolates are drawn from a population-level distribution for that type.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>QVOA isolates are separated into to two populations; a “pre” group composed of QVOA viruses isolated from study partici</w:t>
      </w:r>
      <w:r w:rsidRPr="00750412">
        <w:rPr>
          <w:rFonts w:ascii="Arial" w:hAnsi="Arial" w:cs="Arial"/>
          <w:sz w:val="24"/>
          <w:szCs w:val="24"/>
        </w:rPr>
        <w:t xml:space="preserve">pants prior to or in the absence of treatment interruption (ATI) and a “post” group of QVOA viruses isolated from participants following ATI and reinitiation of ART.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>In both QVOA populations, the viruses can include some proportion of rebound-like isola</w:t>
      </w:r>
      <w:r w:rsidRPr="00750412">
        <w:rPr>
          <w:rFonts w:ascii="Arial" w:hAnsi="Arial" w:cs="Arial"/>
          <w:sz w:val="24"/>
          <w:szCs w:val="24"/>
        </w:rPr>
        <w:t xml:space="preserve">tes. This mixture is modeled in both pre- and post-treatment so that differences in mixture proportion between the two populations can be assessed.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Variation in the potency of INF-I used to experimentally determine </w:t>
      </w:r>
      <w:r w:rsidR="00DE2ADC" w:rsidRPr="00DE2ADC">
        <w:rPr>
          <w:rFonts w:ascii="Arial" w:hAnsi="Arial" w:cs="Arial"/>
          <w:sz w:val="24"/>
          <w:szCs w:val="24"/>
        </w:rPr>
        <w:t>IC</w:t>
      </w:r>
      <w:r w:rsidR="00DE2ADC" w:rsidRPr="00DE2ADC">
        <w:rPr>
          <w:rFonts w:ascii="Arial" w:hAnsi="Arial" w:cs="Arial"/>
          <w:sz w:val="24"/>
          <w:szCs w:val="24"/>
          <w:vertAlign w:val="subscript"/>
        </w:rPr>
        <w:t>50</w:t>
      </w:r>
      <w:r w:rsidRPr="00750412">
        <w:rPr>
          <w:rFonts w:ascii="Arial" w:hAnsi="Arial" w:cs="Arial"/>
          <w:sz w:val="24"/>
          <w:szCs w:val="24"/>
        </w:rPr>
        <w:t xml:space="preserve"> </w:t>
      </w:r>
      <w:r w:rsidRPr="00750412">
        <w:rPr>
          <w:rFonts w:ascii="Arial" w:hAnsi="Arial" w:cs="Arial"/>
          <w:sz w:val="24"/>
          <w:szCs w:val="24"/>
        </w:rPr>
        <w:t xml:space="preserve">values may shift the inferred resistance for isolates tested in other studies. This effect is modeled as a multiplicative shift in </w:t>
      </w:r>
      <w:r w:rsidR="00DE2ADC" w:rsidRPr="00DE2ADC">
        <w:rPr>
          <w:rFonts w:ascii="Arial" w:hAnsi="Arial" w:cs="Arial"/>
          <w:sz w:val="24"/>
          <w:szCs w:val="24"/>
        </w:rPr>
        <w:t>IC</w:t>
      </w:r>
      <w:r w:rsidR="00DE2ADC" w:rsidRPr="00DE2ADC">
        <w:rPr>
          <w:rFonts w:ascii="Arial" w:hAnsi="Arial" w:cs="Arial"/>
          <w:sz w:val="24"/>
          <w:szCs w:val="24"/>
          <w:vertAlign w:val="subscript"/>
        </w:rPr>
        <w:t>50</w:t>
      </w:r>
      <w:r w:rsidRPr="00750412">
        <w:rPr>
          <w:rFonts w:ascii="Arial" w:hAnsi="Arial" w:cs="Arial"/>
          <w:sz w:val="24"/>
          <w:szCs w:val="24"/>
        </w:rPr>
        <w:t xml:space="preserve"> for all isolates measured outside this study (acute recipient and chronic donor isolat</w:t>
      </w:r>
      <w:r w:rsidRPr="00750412">
        <w:rPr>
          <w:rFonts w:ascii="Arial" w:hAnsi="Arial" w:cs="Arial"/>
          <w:sz w:val="24"/>
          <w:szCs w:val="24"/>
        </w:rPr>
        <w:t xml:space="preserve">es from ref. 50). </w:t>
      </w:r>
    </w:p>
    <w:p w:rsidR="00000000" w:rsidRPr="00750412" w:rsidRDefault="00654A44">
      <w:pPr>
        <w:pStyle w:val="List"/>
        <w:spacing w:before="50"/>
        <w:ind w:left="600" w:hanging="300"/>
        <w:rPr>
          <w:rFonts w:ascii="Arial" w:hAnsi="Arial" w:cs="Arial"/>
          <w:sz w:val="24"/>
          <w:szCs w:val="24"/>
        </w:rPr>
      </w:pPr>
      <w:r w:rsidRPr="00750412">
        <w:rPr>
          <w:rFonts w:ascii="Arial" w:hAnsi="Arial" w:cs="Arial"/>
          <w:sz w:val="24"/>
          <w:szCs w:val="24"/>
        </w:rPr>
        <w:t>•</w:t>
      </w:r>
      <w:r w:rsidRPr="00750412">
        <w:rPr>
          <w:rFonts w:ascii="Arial" w:hAnsi="Arial" w:cs="Arial"/>
          <w:sz w:val="24"/>
          <w:szCs w:val="24"/>
        </w:rPr>
        <w:tab/>
        <w:t xml:space="preserve">Isolates from participants who received exogenous </w:t>
      </w:r>
      <w:r w:rsidR="00DE2ADC" w:rsidRPr="00B65EF3">
        <w:rPr>
          <w:rFonts w:ascii="Arial" w:hAnsi="Arial" w:cs="Arial"/>
          <w:sz w:val="24"/>
          <w:szCs w:val="24"/>
        </w:rPr>
        <w:t>IFNα2</w:t>
      </w:r>
      <w:r w:rsidRPr="00750412">
        <w:rPr>
          <w:rFonts w:ascii="Arial" w:hAnsi="Arial" w:cs="Arial"/>
          <w:sz w:val="24"/>
          <w:szCs w:val="24"/>
        </w:rPr>
        <w:t xml:space="preserve"> during treatment interruption may display altered interferon resistance. This effect is modeled as a multiplicative shift in </w:t>
      </w:r>
      <w:r w:rsidR="00DE2ADC" w:rsidRPr="00DE2ADC">
        <w:rPr>
          <w:rFonts w:ascii="Arial" w:hAnsi="Arial" w:cs="Arial"/>
          <w:sz w:val="24"/>
          <w:szCs w:val="24"/>
        </w:rPr>
        <w:t>IC</w:t>
      </w:r>
      <w:r w:rsidR="00DE2ADC" w:rsidRPr="00DE2ADC">
        <w:rPr>
          <w:rFonts w:ascii="Arial" w:hAnsi="Arial" w:cs="Arial"/>
          <w:sz w:val="24"/>
          <w:szCs w:val="24"/>
          <w:vertAlign w:val="subscript"/>
        </w:rPr>
        <w:t>50</w:t>
      </w:r>
      <w:r w:rsidRPr="00750412">
        <w:rPr>
          <w:rFonts w:ascii="Arial" w:hAnsi="Arial" w:cs="Arial"/>
          <w:sz w:val="24"/>
          <w:szCs w:val="24"/>
        </w:rPr>
        <w:t xml:space="preserve"> for all rebound isolates from such participants (participants 004, 030, and 044 from ref. 38). </w:t>
      </w:r>
    </w:p>
    <w:p w:rsidR="00000000" w:rsidRPr="00750412" w:rsidRDefault="00654A44">
      <w:pPr>
        <w:spacing w:before="8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The log </w:t>
      </w:r>
      <w:r w:rsidR="00DE2ADC" w:rsidRPr="00DE2ADC">
        <w:rPr>
          <w:rFonts w:ascii="Arial" w:hAnsi="Arial" w:cs="Arial"/>
        </w:rPr>
        <w:t>IC</w:t>
      </w:r>
      <w:r w:rsidR="00DE2ADC" w:rsidRPr="00DE2ADC">
        <w:rPr>
          <w:rFonts w:ascii="Arial" w:hAnsi="Arial" w:cs="Arial"/>
          <w:vertAlign w:val="subscript"/>
        </w:rPr>
        <w:t>50</w:t>
      </w:r>
      <w:r w:rsidRPr="00750412">
        <w:rPr>
          <w:rFonts w:ascii="Arial" w:hAnsi="Arial" w:cs="Arial"/>
        </w:rPr>
        <w:t xml:space="preserve"> observation from each viral isolate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38100" cy="101600"/>
            <wp:effectExtent l="0" t="0" r="0" b="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from acute, chronic and </w:t>
      </w:r>
      <w:r w:rsidRPr="00750412">
        <w:rPr>
          <w:rFonts w:ascii="Arial" w:hAnsi="Arial" w:cs="Arial"/>
        </w:rPr>
        <w:t xml:space="preserve">rebound isolates was modeled as a normal distribution: </w:t>
      </w:r>
    </w:p>
    <w:p w:rsidR="00000000" w:rsidRPr="00750412" w:rsidRDefault="00654A44">
      <w:pPr>
        <w:pStyle w:val="equation"/>
        <w:tabs>
          <w:tab w:val="center" w:pos="345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2247900" cy="165100"/>
            <wp:effectExtent l="0" t="0" r="0" b="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with the mean resistance for isolate type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from person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76200" cy="101600"/>
            <wp:effectExtent l="0" t="0" r="0" b="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: </w:t>
      </w:r>
    </w:p>
    <w:p w:rsidR="00000000" w:rsidRPr="00750412" w:rsidRDefault="00654A44">
      <w:pPr>
        <w:pStyle w:val="bitmapCenter"/>
        <w:tabs>
          <w:tab w:val="center" w:pos="3450"/>
          <w:tab w:val="right" w:pos="690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4660900" cy="596900"/>
            <wp:effectExtent l="0" t="0" r="0" b="0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where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317500" cy="139700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whether isolate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38100" cy="101600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isolated during acute, chronic, QVOA or rebound infection from participant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482600" cy="1143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419100" cy="127000"/>
            <wp:effectExtent l="0" t="0" r="0" b="0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when isolates from person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76200" cy="101600"/>
            <wp:effectExtent l="0" t="0" r="0" b="0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were tested in another study and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292100" cy="127000"/>
            <wp:effectExtent l="0" t="0" r="0" b="0"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when person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76200" cy="101600"/>
            <wp:effectExtent l="0" t="0" r="0" b="0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treated with exogenous IFN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152400" cy="101600"/>
            <wp:effectExtent l="0" t="0" r="0" b="0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prior to and during treatment interruption. Parameters a</w:t>
      </w:r>
      <w:r w:rsidRPr="00750412">
        <w:rPr>
          <w:rFonts w:ascii="Arial" w:hAnsi="Arial" w:cs="Arial"/>
        </w:rPr>
        <w:t xml:space="preserve">re included for the mean resistance level during acute infection for each person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139700" cy="88900"/>
            <wp:effectExtent l="0" t="0" r="0" b="0"/>
            <wp:docPr id="61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standard deviation of isolates of type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within a person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27000" cy="101600"/>
            <wp:effectExtent l="0" t="0" r="0" b="0"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standard </w:t>
      </w:r>
      <w:r w:rsidRPr="00750412">
        <w:rPr>
          <w:rFonts w:ascii="Arial" w:hAnsi="Arial" w:cs="Arial"/>
        </w:rPr>
        <w:t xml:space="preserve">deviation of mean resistance for type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isolates among people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39700" cy="114300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change from acute levels in isolates of type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 a given participant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203200" cy="114300"/>
            <wp:effectExtent l="0" t="0" r="0" b="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the effects of exogenous IFN treatment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177800" cy="10160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batch to batch variation in IFN in isolates assayed in previous studies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317500" cy="101600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. </w:t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For QVOA isolates, the </w:t>
      </w:r>
      <w:r w:rsidR="00DE2ADC" w:rsidRPr="00DE2ADC">
        <w:rPr>
          <w:rFonts w:ascii="Arial" w:hAnsi="Arial" w:cs="Arial"/>
        </w:rPr>
        <w:t>IC</w:t>
      </w:r>
      <w:r w:rsidR="00DE2ADC" w:rsidRPr="00DE2ADC">
        <w:rPr>
          <w:rFonts w:ascii="Arial" w:hAnsi="Arial" w:cs="Arial"/>
          <w:vertAlign w:val="subscript"/>
        </w:rPr>
        <w:t>50</w:t>
      </w:r>
      <w:r w:rsidRPr="00750412">
        <w:rPr>
          <w:rFonts w:ascii="Arial" w:hAnsi="Arial" w:cs="Arial"/>
        </w:rPr>
        <w:t xml:space="preserve"> was modeled as a mixture of two populations such that: </w:t>
      </w:r>
    </w:p>
    <w:p w:rsidR="00000000" w:rsidRPr="00750412" w:rsidRDefault="00654A44">
      <w:pPr>
        <w:pStyle w:val="equation"/>
        <w:tabs>
          <w:tab w:val="center" w:pos="345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4394200" cy="609600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lastRenderedPageBreak/>
        <w:t xml:space="preserve">where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546100" cy="152400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whether isolate </w:t>
      </w:r>
      <w:r w:rsidR="00750412" w:rsidRPr="00750412">
        <w:rPr>
          <w:rFonts w:ascii="Arial" w:hAnsi="Arial" w:cs="Arial"/>
        </w:rPr>
        <w:drawing>
          <wp:inline distT="0" distB="0" distL="0" distR="0">
            <wp:extent cx="38100" cy="101600"/>
            <wp:effectExtent l="0" t="0" r="0" b="0"/>
            <wp:docPr id="7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was isolated pre- or post-ATI and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228600" cy="114300"/>
            <wp:effectExtent l="0" t="0" r="0" b="0"/>
            <wp:docPr id="74" name="Pictur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266700" cy="114300"/>
            <wp:effectExtent l="0" t="0" r="0" b="0"/>
            <wp:docPr id="75" name="Pictur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re</w:t>
      </w:r>
      <w:r w:rsidRPr="00750412">
        <w:rPr>
          <w:rFonts w:ascii="Arial" w:hAnsi="Arial" w:cs="Arial"/>
        </w:rPr>
        <w:t>present the proportion of rebound-like virus present in pre- and post-ATI QVOA isolates.</w:t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The hierarchical parameter priors were modeled as: </w:t>
      </w:r>
    </w:p>
    <w:p w:rsidR="00000000" w:rsidRPr="00750412" w:rsidRDefault="00654A44">
      <w:pPr>
        <w:pStyle w:val="bitmapCenter"/>
        <w:tabs>
          <w:tab w:val="center" w:pos="3450"/>
          <w:tab w:val="right" w:pos="6900"/>
        </w:tabs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ab/>
      </w:r>
      <w:r w:rsidR="00750412" w:rsidRPr="00750412">
        <w:rPr>
          <w:rFonts w:ascii="Arial" w:hAnsi="Arial" w:cs="Arial"/>
        </w:rPr>
        <w:drawing>
          <wp:inline distT="0" distB="0" distL="0" distR="0">
            <wp:extent cx="1460500" cy="812800"/>
            <wp:effectExtent l="0" t="0" r="0" b="0"/>
            <wp:docPr id="76" name="Pictur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 xml:space="preserve">where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63500" cy="101600"/>
            <wp:effectExtent l="0" t="0" r="0" b="0"/>
            <wp:docPr id="77" name="Pictur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indicates the isolate type (acute, chronic, QVOA, rebound). All </w:t>
      </w:r>
      <w:r w:rsidR="00750412" w:rsidRPr="00750412">
        <w:rPr>
          <w:rFonts w:ascii="Arial" w:hAnsi="Arial" w:cs="Arial"/>
          <w:position w:val="-5"/>
        </w:rPr>
        <w:drawing>
          <wp:inline distT="0" distB="0" distL="0" distR="0">
            <wp:extent cx="139700" cy="88900"/>
            <wp:effectExtent l="0" t="0" r="0" b="0"/>
            <wp:docPr id="78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,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203200" cy="114300"/>
            <wp:effectExtent l="0" t="0" r="0" b="0"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were given flat priors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282700" cy="152400"/>
            <wp:effectExtent l="0" t="0" r="0" b="0"/>
            <wp:docPr id="8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 xml:space="preserve"> and </w:t>
      </w:r>
      <w:r w:rsidR="00750412" w:rsidRPr="00750412">
        <w:rPr>
          <w:rFonts w:ascii="Arial" w:hAnsi="Arial" w:cs="Arial"/>
          <w:position w:val="-7"/>
        </w:rPr>
        <w:drawing>
          <wp:inline distT="0" distB="0" distL="0" distR="0">
            <wp:extent cx="1422400" cy="152400"/>
            <wp:effectExtent l="0" t="0" r="0" b="0"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412">
        <w:rPr>
          <w:rFonts w:ascii="Arial" w:hAnsi="Arial" w:cs="Arial"/>
        </w:rPr>
        <w:t>.</w:t>
      </w:r>
    </w:p>
    <w:p w:rsidR="00654A44" w:rsidRPr="00750412" w:rsidRDefault="00654A44">
      <w:pPr>
        <w:spacing w:before="20"/>
        <w:rPr>
          <w:rFonts w:ascii="Arial" w:hAnsi="Arial" w:cs="Arial"/>
        </w:rPr>
      </w:pPr>
      <w:r w:rsidRPr="00750412">
        <w:rPr>
          <w:rFonts w:ascii="Arial" w:hAnsi="Arial" w:cs="Arial"/>
        </w:rPr>
        <w:t>Posterior probabilities were estimated with 50 Markov chain Monte Carlo chains of 5,000 iterations each using Stan (90).</w:t>
      </w:r>
    </w:p>
    <w:sectPr w:rsidR="00654A44" w:rsidRPr="00750412">
      <w:footerReference w:type="default" r:id="rId72"/>
      <w:pgSz w:w="12280" w:h="15900"/>
      <w:pgMar w:top="1445" w:right="1445" w:bottom="1445" w:left="14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4A44" w:rsidRDefault="00654A44">
      <w:r>
        <w:separator/>
      </w:r>
    </w:p>
  </w:endnote>
  <w:endnote w:type="continuationSeparator" w:id="0">
    <w:p w:rsidR="00654A44" w:rsidRDefault="0065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654A44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4A44" w:rsidRDefault="00654A44">
      <w:r>
        <w:separator/>
      </w:r>
    </w:p>
  </w:footnote>
  <w:footnote w:type="continuationSeparator" w:id="0">
    <w:p w:rsidR="00654A44" w:rsidRDefault="00654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2"/>
    <w:rsid w:val="00654A44"/>
    <w:rsid w:val="00750412"/>
    <w:rsid w:val="00B65EF3"/>
    <w:rsid w:val="00D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F620D"/>
  <w14:defaultImageDpi w14:val="0"/>
  <w15:docId w15:val="{4797A53A-204C-AC45-B9D1-AB01915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  <w:sz w:val="22"/>
      <w:szCs w:val="22"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noProof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rFonts w:ascii="Times New Roman" w:hAnsi="Times New Roman" w:cs="Times New Roman"/>
      <w:i/>
      <w:iCs/>
      <w:noProof/>
      <w:color w:val="404040" w:themeColor="text1" w:themeTint="BF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methods.tex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methods.tex</dc:title>
  <dc:subject/>
  <dc:creator/>
  <cp:keywords/>
  <dc:description>Created using latex2rtf 2.3.16 r1254 (released May 12 2017) on Thu Nov  5 12:03:06 2020</dc:description>
  <cp:lastModifiedBy>Sherrill-Mix, Scott</cp:lastModifiedBy>
  <cp:revision>2</cp:revision>
  <cp:lastPrinted>2020-11-05T18:28:00Z</cp:lastPrinted>
  <dcterms:created xsi:type="dcterms:W3CDTF">2020-11-05T19:29:00Z</dcterms:created>
  <dcterms:modified xsi:type="dcterms:W3CDTF">2020-11-05T19:29:00Z</dcterms:modified>
</cp:coreProperties>
</file>