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156" w:after="156"/>
        <w:jc w:val="center"/>
        <w:rPr>
          <w:rFonts w:ascii="楷体" w:hAnsi="楷体" w:eastAsia="楷体"/>
          <w:b/>
          <w:sz w:val="36"/>
          <w:szCs w:val="36"/>
        </w:rPr>
      </w:pPr>
      <w:bookmarkStart w:id="0" w:name="_Hlk140661555"/>
      <w:bookmarkEnd w:id="0"/>
      <w:r>
        <w:rPr>
          <w:rFonts w:ascii="楷体" w:hAnsi="楷体" w:eastAsia="楷体"/>
        </w:rPr>
        <w:drawing>
          <wp:anchor distT="0" distB="0" distL="0" distR="0" simplePos="0" relativeHeight="251662336"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1"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rPr>
        <w:t>华亿股份杯</w:t>
      </w:r>
      <w:r>
        <w:rPr>
          <w:rFonts w:ascii="楷体" w:hAnsi="楷体" w:eastAsia="楷体"/>
          <w:b/>
          <w:sz w:val="36"/>
          <w:szCs w:val="36"/>
        </w:rPr>
        <w:t>”</w:t>
      </w:r>
    </w:p>
    <w:p>
      <w:pPr>
        <w:pStyle w:val="9"/>
        <w:spacing w:before="156" w:after="156"/>
        <w:jc w:val="center"/>
        <w:rPr>
          <w:rFonts w:ascii="楷体" w:hAnsi="楷体" w:eastAsia="楷体"/>
          <w:b/>
          <w:sz w:val="36"/>
          <w:szCs w:val="36"/>
        </w:rPr>
      </w:pPr>
      <w:r>
        <w:rPr>
          <w:rFonts w:hint="eastAsia" w:ascii="楷体" w:hAnsi="楷体" w:eastAsia="楷体"/>
          <w:b/>
          <w:sz w:val="36"/>
          <w:szCs w:val="36"/>
        </w:rPr>
        <w:t>第十七届全国大学生化工设计竞赛</w:t>
      </w:r>
    </w:p>
    <w:p>
      <w:pPr>
        <w:pStyle w:val="9"/>
        <w:spacing w:before="156" w:after="156"/>
        <w:jc w:val="center"/>
        <w:rPr>
          <w:rFonts w:ascii="宋体" w:hAnsi="宋体"/>
          <w:sz w:val="20"/>
        </w:rPr>
      </w:pPr>
    </w:p>
    <w:p>
      <w:pPr>
        <w:pStyle w:val="9"/>
        <w:spacing w:before="156" w:after="156"/>
        <w:jc w:val="center"/>
        <w:rPr>
          <w:rFonts w:ascii="楷体" w:hAnsi="楷体" w:eastAsia="楷体"/>
          <w:b/>
          <w:sz w:val="48"/>
          <w:szCs w:val="48"/>
        </w:rPr>
      </w:pPr>
      <w:r>
        <w:rPr>
          <w:rFonts w:hint="eastAsia" w:ascii="楷体" w:hAnsi="楷体" w:eastAsia="楷体"/>
          <w:b/>
          <w:sz w:val="48"/>
          <w:szCs w:val="48"/>
        </w:rPr>
        <w:t>重庆华峰化工有限公司</w:t>
      </w:r>
    </w:p>
    <w:p>
      <w:pPr>
        <w:pStyle w:val="9"/>
        <w:spacing w:before="156" w:after="156"/>
        <w:jc w:val="center"/>
        <w:rPr>
          <w:rFonts w:ascii="楷体" w:hAnsi="楷体" w:eastAsia="楷体"/>
          <w:b/>
          <w:sz w:val="48"/>
          <w:szCs w:val="48"/>
        </w:rPr>
      </w:pPr>
      <w:r>
        <w:rPr>
          <w:rFonts w:ascii="楷体" w:hAnsi="楷体" w:eastAsia="楷体"/>
          <w:b/>
          <w:sz w:val="48"/>
          <w:szCs w:val="48"/>
        </w:rPr>
        <w:t>10.5</w:t>
      </w:r>
      <w:r>
        <w:rPr>
          <w:rFonts w:hint="eastAsia" w:ascii="楷体" w:hAnsi="楷体" w:eastAsia="楷体"/>
          <w:b/>
          <w:sz w:val="48"/>
          <w:szCs w:val="48"/>
        </w:rPr>
        <w:t>万吨/年9</w:t>
      </w:r>
      <w:r>
        <w:rPr>
          <w:rFonts w:ascii="楷体" w:hAnsi="楷体" w:eastAsia="楷体"/>
          <w:b/>
          <w:sz w:val="48"/>
          <w:szCs w:val="48"/>
        </w:rPr>
        <w:t>9.99</w:t>
      </w:r>
      <w:r>
        <w:rPr>
          <w:rFonts w:hint="eastAsia" w:ascii="楷体" w:hAnsi="楷体" w:eastAsia="楷体"/>
          <w:b/>
          <w:sz w:val="48"/>
          <w:szCs w:val="48"/>
        </w:rPr>
        <w:t>wt</w:t>
      </w:r>
      <w:r>
        <w:rPr>
          <w:rFonts w:ascii="楷体" w:hAnsi="楷体" w:eastAsia="楷体"/>
          <w:b/>
          <w:sz w:val="48"/>
          <w:szCs w:val="48"/>
        </w:rPr>
        <w:t>%</w:t>
      </w:r>
      <w:r>
        <w:rPr>
          <w:rFonts w:hint="eastAsia" w:ascii="楷体" w:hAnsi="楷体" w:eastAsia="楷体"/>
          <w:b/>
          <w:sz w:val="48"/>
          <w:szCs w:val="48"/>
        </w:rPr>
        <w:t>己二腈生产项目</w:t>
      </w:r>
    </w:p>
    <w:p>
      <w:pPr>
        <w:pStyle w:val="9"/>
        <w:spacing w:before="156" w:after="156"/>
        <w:jc w:val="center"/>
        <w:rPr>
          <w:rFonts w:ascii="楷体" w:hAnsi="楷体" w:eastAsia="楷体"/>
          <w:b/>
          <w:sz w:val="72"/>
          <w:szCs w:val="72"/>
        </w:rPr>
      </w:pPr>
      <w:r>
        <w:rPr>
          <w:rFonts w:ascii="楷体" w:hAnsi="楷体" w:eastAsia="楷体"/>
          <w:b/>
          <w:sz w:val="48"/>
          <w:szCs w:val="48"/>
        </w:rPr>
        <w:drawing>
          <wp:anchor distT="0" distB="0" distL="0" distR="0" simplePos="0" relativeHeight="251661312"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2"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可行性研究报告</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3360" behindDoc="0" locked="0" layoutInCell="1" allowOverlap="1">
                <wp:simplePos x="0" y="0"/>
                <wp:positionH relativeFrom="margin">
                  <wp:align>center</wp:align>
                </wp:positionH>
                <wp:positionV relativeFrom="paragraph">
                  <wp:posOffset>3275330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257.9pt;height:132.1pt;width:551.55pt;mso-position-horizontal:center;mso-position-horizontal-relative:margin;mso-wrap-distance-bottom:3.6pt;mso-wrap-distance-left:9pt;mso-wrap-distance-right:9pt;mso-wrap-distance-top:3.6pt;z-index:251663360;mso-width-relative:page;mso-height-relative:page;" filled="f" stroked="f" coordsize="21600,21600" o:gfxdata="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mvYE9YAAAAJAQAADwAAAAAAAAABACAAAAAiAAAAZHJzL2Rvd25yZXYueG1sUEsBAhQAFAAAAAgA&#10;h07iQDk+Dy0nAgAALAQAAA4AAAAAAAAAAQAgAAAAJQEAAGRycy9lMm9Eb2MueG1sUEsFBgAAAAAG&#10;AAYAWQEAAL4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3175" b="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rPr>
          <w:rFonts w:ascii="宋体" w:hAnsi="宋体"/>
        </w:rPr>
        <w:br w:type="page"/>
      </w:r>
      <w:bookmarkStart w:id="136" w:name="_GoBack"/>
      <w:bookmarkEnd w:id="136"/>
    </w:p>
    <w:sdt>
      <w:sdtPr>
        <w:rPr>
          <w:rFonts w:ascii="宋体" w:hAnsi="宋体" w:eastAsia="宋体" w:cs="仿宋"/>
          <w:color w:val="auto"/>
          <w:sz w:val="21"/>
          <w:szCs w:val="22"/>
          <w:lang w:val="zh-CN"/>
        </w:rPr>
        <w:id w:val="1988902634"/>
        <w:docPartObj>
          <w:docPartGallery w:val="Table of Contents"/>
          <w:docPartUnique/>
        </w:docPartObj>
      </w:sdtPr>
      <w:sdtEndPr>
        <w:rPr>
          <w:rFonts w:ascii="宋体" w:hAnsi="宋体" w:eastAsia="宋体" w:cs="仿宋"/>
          <w:b/>
          <w:bCs/>
          <w:color w:val="auto"/>
          <w:sz w:val="21"/>
          <w:szCs w:val="22"/>
          <w:lang w:val="zh-CN"/>
        </w:rPr>
      </w:sdtEndPr>
      <w:sdtContent>
        <w:p>
          <w:pPr>
            <w:pStyle w:val="35"/>
            <w:spacing w:before="156" w:after="156"/>
            <w:rPr>
              <w:rFonts w:ascii="宋体" w:hAnsi="宋体" w:eastAsia="宋体"/>
              <w:color w:val="000000" w:themeColor="text1"/>
              <w14:textFill>
                <w14:solidFill>
                  <w14:schemeClr w14:val="tx1"/>
                </w14:solidFill>
              </w14:textFill>
            </w:rPr>
          </w:pPr>
          <w:r>
            <w:rPr>
              <w:rFonts w:ascii="宋体" w:hAnsi="宋体" w:eastAsia="宋体"/>
              <w:color w:val="000000" w:themeColor="text1"/>
              <w:lang w:val="zh-CN"/>
              <w14:textFill>
                <w14:solidFill>
                  <w14:schemeClr w14:val="tx1"/>
                </w14:solidFill>
              </w14:textFill>
            </w:rPr>
            <w:t>目录</w:t>
          </w:r>
        </w:p>
        <w:p>
          <w:pPr>
            <w:pStyle w:val="16"/>
            <w:spacing w:before="156" w:after="156"/>
            <w:rPr>
              <w:rFonts w:hAnsiTheme="minorHAnsi" w:eastAsiaTheme="minorEastAsia" w:cstheme="minorBidi"/>
              <w:b w:val="0"/>
              <w:bCs w:val="0"/>
              <w:caps w:val="0"/>
              <w:color w:val="auto"/>
              <w:kern w:val="2"/>
              <w:szCs w:val="22"/>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"_Toc141669955" </w:instrText>
          </w:r>
          <w:r>
            <w:fldChar w:fldCharType="separate"/>
          </w:r>
          <w:r>
            <w:rPr>
              <w:rStyle w:val="26"/>
              <w:b w:val="0"/>
            </w:rPr>
            <w:t>概述</w:t>
          </w:r>
          <w:r>
            <w:rPr>
              <w:b w:val="0"/>
            </w:rPr>
            <w:tab/>
          </w:r>
          <w:r>
            <w:rPr>
              <w:b w:val="0"/>
            </w:rPr>
            <w:fldChar w:fldCharType="begin"/>
          </w:r>
          <w:r>
            <w:rPr>
              <w:b w:val="0"/>
            </w:rPr>
            <w:instrText xml:space="preserve"> PAGEREF _Toc141669955 \h </w:instrText>
          </w:r>
          <w:r>
            <w:rPr>
              <w:b w:val="0"/>
            </w:rPr>
            <w:fldChar w:fldCharType="separate"/>
          </w:r>
          <w:r>
            <w:rPr>
              <w:b w:val="0"/>
            </w:rPr>
            <w:t>6</w:t>
          </w:r>
          <w:r>
            <w:rPr>
              <w:b w:val="0"/>
            </w:rPr>
            <w:fldChar w:fldCharType="end"/>
          </w:r>
          <w:r>
            <w:rPr>
              <w:b w:val="0"/>
            </w:rP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"_Toc141669956" </w:instrText>
          </w:r>
          <w:r>
            <w:fldChar w:fldCharType="separate"/>
          </w:r>
          <w:r>
            <w:rPr>
              <w:rStyle w:val="26"/>
              <w:b w:val="0"/>
            </w:rPr>
            <w:t>第一章 项目总论</w:t>
          </w:r>
          <w:r>
            <w:rPr>
              <w:b w:val="0"/>
            </w:rPr>
            <w:tab/>
          </w:r>
          <w:r>
            <w:rPr>
              <w:b w:val="0"/>
            </w:rPr>
            <w:fldChar w:fldCharType="begin"/>
          </w:r>
          <w:r>
            <w:rPr>
              <w:b w:val="0"/>
            </w:rPr>
            <w:instrText xml:space="preserve"> PAGEREF _Toc141669956 \h </w:instrText>
          </w:r>
          <w:r>
            <w:rPr>
              <w:b w:val="0"/>
            </w:rPr>
            <w:fldChar w:fldCharType="separate"/>
          </w:r>
          <w:r>
            <w:rPr>
              <w:b w:val="0"/>
            </w:rPr>
            <w:t>7</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"_Toc141669957" </w:instrText>
          </w:r>
          <w:r>
            <w:fldChar w:fldCharType="separate"/>
          </w:r>
          <w:r>
            <w:rPr>
              <w:rStyle w:val="26"/>
              <w:rFonts w:ascii="Times New Roman" w:hAnsi="Times New Roman" w:eastAsia="宋体" w:cs="Times New Roman"/>
            </w:rPr>
            <w:t>1.1 项目概述</w:t>
          </w:r>
          <w:r>
            <w:tab/>
          </w:r>
          <w:r>
            <w:fldChar w:fldCharType="begin"/>
          </w:r>
          <w:r>
            <w:instrText xml:space="preserve"> PAGEREF _Toc141669957 \h </w:instrText>
          </w:r>
          <w:r>
            <w:fldChar w:fldCharType="separate"/>
          </w:r>
          <w:r>
            <w:t>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"_Toc141669958" </w:instrText>
          </w:r>
          <w:r>
            <w:fldChar w:fldCharType="separate"/>
          </w:r>
          <w:r>
            <w:rPr>
              <w:rStyle w:val="26"/>
              <w:rFonts w:ascii="Times New Roman" w:hAnsi="Times New Roman" w:cs="Times New Roman"/>
            </w:rPr>
            <w:t>1.1.1 项目介绍</w:t>
          </w:r>
          <w:r>
            <w:tab/>
          </w:r>
          <w:r>
            <w:fldChar w:fldCharType="begin"/>
          </w:r>
          <w:r>
            <w:instrText xml:space="preserve"> PAGEREF _Toc141669958 \h </w:instrText>
          </w:r>
          <w:r>
            <w:fldChar w:fldCharType="separate"/>
          </w:r>
          <w:r>
            <w:t>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"_Toc141669959" </w:instrText>
          </w:r>
          <w:r>
            <w:fldChar w:fldCharType="separate"/>
          </w:r>
          <w:r>
            <w:rPr>
              <w:rStyle w:val="26"/>
              <w:rFonts w:ascii="Times New Roman" w:hAnsi="Times New Roman" w:cs="Times New Roman"/>
            </w:rPr>
            <w:t>1.1.2 项目背景及投资必要性</w:t>
          </w:r>
          <w:r>
            <w:tab/>
          </w:r>
          <w:r>
            <w:fldChar w:fldCharType="begin"/>
          </w:r>
          <w:r>
            <w:instrText xml:space="preserve"> PAGEREF _Toc141669959 \h </w:instrText>
          </w:r>
          <w:r>
            <w:fldChar w:fldCharType="separate"/>
          </w:r>
          <w:r>
            <w:t>7</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"_Toc141669960" </w:instrText>
          </w:r>
          <w:r>
            <w:fldChar w:fldCharType="separate"/>
          </w:r>
          <w:r>
            <w:rPr>
              <w:rStyle w:val="26"/>
              <w:rFonts w:ascii="Times New Roman" w:hAnsi="Times New Roman" w:eastAsia="宋体" w:cs="Times New Roman"/>
            </w:rPr>
            <w:t>1.2 可行性研究编制的依据和原则</w:t>
          </w:r>
          <w:r>
            <w:tab/>
          </w:r>
          <w:r>
            <w:fldChar w:fldCharType="begin"/>
          </w:r>
          <w:r>
            <w:instrText xml:space="preserve"> PAGEREF _Toc141669960 \h </w:instrText>
          </w:r>
          <w:r>
            <w:fldChar w:fldCharType="separate"/>
          </w:r>
          <w:r>
            <w:t>8</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"_Toc141669961" </w:instrText>
          </w:r>
          <w:r>
            <w:fldChar w:fldCharType="separate"/>
          </w:r>
          <w:r>
            <w:rPr>
              <w:rStyle w:val="26"/>
              <w:rFonts w:ascii="Times New Roman" w:hAnsi="Times New Roman" w:cs="Times New Roman"/>
            </w:rPr>
            <w:t>1.2.1 编制依据</w:t>
          </w:r>
          <w:r>
            <w:tab/>
          </w:r>
          <w:r>
            <w:fldChar w:fldCharType="begin"/>
          </w:r>
          <w:r>
            <w:instrText xml:space="preserve"> PAGEREF _Toc141669961 \h </w:instrText>
          </w:r>
          <w:r>
            <w:fldChar w:fldCharType="separate"/>
          </w:r>
          <w:r>
            <w:t>8</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"_Toc141669962" </w:instrText>
          </w:r>
          <w:r>
            <w:fldChar w:fldCharType="separate"/>
          </w:r>
          <w:r>
            <w:rPr>
              <w:rStyle w:val="26"/>
              <w:rFonts w:ascii="Times New Roman" w:hAnsi="Times New Roman" w:cs="Times New Roman"/>
            </w:rPr>
            <w:t>1.2.2 设计标准</w:t>
          </w:r>
          <w:r>
            <w:tab/>
          </w:r>
          <w:r>
            <w:fldChar w:fldCharType="begin"/>
          </w:r>
          <w:r>
            <w:instrText xml:space="preserve"> PAGEREF _Toc141669962 \h </w:instrText>
          </w:r>
          <w:r>
            <w:fldChar w:fldCharType="separate"/>
          </w:r>
          <w:r>
            <w:t>8</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"_Toc141669963" </w:instrText>
          </w:r>
          <w:r>
            <w:fldChar w:fldCharType="separate"/>
          </w:r>
          <w:r>
            <w:rPr>
              <w:rStyle w:val="26"/>
              <w:b w:val="0"/>
            </w:rPr>
            <w:t>第二章 市场分析</w:t>
          </w:r>
          <w:r>
            <w:rPr>
              <w:b w:val="0"/>
            </w:rPr>
            <w:tab/>
          </w:r>
          <w:r>
            <w:rPr>
              <w:b w:val="0"/>
            </w:rPr>
            <w:fldChar w:fldCharType="begin"/>
          </w:r>
          <w:r>
            <w:rPr>
              <w:b w:val="0"/>
            </w:rPr>
            <w:instrText xml:space="preserve"> PAGEREF _Toc141669963 \h </w:instrText>
          </w:r>
          <w:r>
            <w:rPr>
              <w:b w:val="0"/>
            </w:rPr>
            <w:fldChar w:fldCharType="separate"/>
          </w:r>
          <w:r>
            <w:rPr>
              <w:b w:val="0"/>
            </w:rPr>
            <w:t>10</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"_Toc141669964" </w:instrText>
          </w:r>
          <w:r>
            <w:fldChar w:fldCharType="separate"/>
          </w:r>
          <w:r>
            <w:rPr>
              <w:rStyle w:val="26"/>
              <w:rFonts w:ascii="Times New Roman" w:hAnsi="Times New Roman" w:eastAsia="宋体" w:cs="Times New Roman"/>
            </w:rPr>
            <w:t>2.1 ADN市场分析</w:t>
          </w:r>
          <w:r>
            <w:tab/>
          </w:r>
          <w:r>
            <w:fldChar w:fldCharType="begin"/>
          </w:r>
          <w:r>
            <w:instrText xml:space="preserve"> PAGEREF _Toc141669964 \h </w:instrText>
          </w:r>
          <w:r>
            <w:fldChar w:fldCharType="separate"/>
          </w:r>
          <w:r>
            <w:t>10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"_Toc141669965" </w:instrText>
          </w:r>
          <w:r>
            <w:fldChar w:fldCharType="separate"/>
          </w:r>
          <w:r>
            <w:rPr>
              <w:rStyle w:val="26"/>
              <w:rFonts w:ascii="Times New Roman" w:hAnsi="Times New Roman" w:cs="Times New Roman"/>
            </w:rPr>
            <w:t>2.1.1 产品用途</w:t>
          </w:r>
          <w:r>
            <w:tab/>
          </w:r>
          <w:r>
            <w:fldChar w:fldCharType="begin"/>
          </w:r>
          <w:r>
            <w:instrText xml:space="preserve"> PAGEREF _Toc141669965 \h </w:instrText>
          </w:r>
          <w:r>
            <w:fldChar w:fldCharType="separate"/>
          </w:r>
          <w:r>
            <w:t>10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"_Toc141669966" </w:instrText>
          </w:r>
          <w:r>
            <w:fldChar w:fldCharType="separate"/>
          </w:r>
          <w:r>
            <w:rPr>
              <w:rStyle w:val="26"/>
              <w:rFonts w:ascii="Times New Roman" w:hAnsi="Times New Roman" w:cs="Times New Roman"/>
            </w:rPr>
            <w:t>2.1.2 全球市场预测分析</w:t>
          </w:r>
          <w:r>
            <w:tab/>
          </w:r>
          <w:r>
            <w:fldChar w:fldCharType="begin"/>
          </w:r>
          <w:r>
            <w:instrText xml:space="preserve"> PAGEREF _Toc141669966 \h </w:instrText>
          </w:r>
          <w:r>
            <w:fldChar w:fldCharType="separate"/>
          </w:r>
          <w:r>
            <w:t>10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"_Toc141669967" </w:instrText>
          </w:r>
          <w:r>
            <w:fldChar w:fldCharType="separate"/>
          </w:r>
          <w:r>
            <w:rPr>
              <w:rStyle w:val="26"/>
              <w:rFonts w:ascii="Times New Roman" w:hAnsi="Times New Roman" w:cs="Times New Roman"/>
            </w:rPr>
            <w:t>2.1.3 国内市场现状分析</w:t>
          </w:r>
          <w:r>
            <w:tab/>
          </w:r>
          <w:r>
            <w:fldChar w:fldCharType="begin"/>
          </w:r>
          <w:r>
            <w:instrText xml:space="preserve"> PAGEREF _Toc141669967 \h </w:instrText>
          </w:r>
          <w:r>
            <w:fldChar w:fldCharType="separate"/>
          </w:r>
          <w:r>
            <w:t>11</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"_Toc141669968" </w:instrText>
          </w:r>
          <w:r>
            <w:fldChar w:fldCharType="separate"/>
          </w:r>
          <w:r>
            <w:rPr>
              <w:rStyle w:val="26"/>
              <w:rFonts w:ascii="Times New Roman" w:hAnsi="Times New Roman" w:cs="Times New Roman"/>
            </w:rPr>
            <w:t>2.1.4 产品需求分析</w:t>
          </w:r>
          <w:r>
            <w:tab/>
          </w:r>
          <w:r>
            <w:fldChar w:fldCharType="begin"/>
          </w:r>
          <w:r>
            <w:instrText xml:space="preserve"> PAGEREF _Toc141669968 \h </w:instrText>
          </w:r>
          <w:r>
            <w:fldChar w:fldCharType="separate"/>
          </w:r>
          <w:r>
            <w:t>12</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"_Toc141669969" </w:instrText>
          </w:r>
          <w:r>
            <w:fldChar w:fldCharType="separate"/>
          </w:r>
          <w:r>
            <w:rPr>
              <w:rStyle w:val="26"/>
              <w:rFonts w:ascii="Times New Roman" w:hAnsi="Times New Roman" w:eastAsia="宋体" w:cs="Times New Roman"/>
            </w:rPr>
            <w:t>2.2 上游产品分析</w:t>
          </w:r>
          <w:r>
            <w:tab/>
          </w:r>
          <w:r>
            <w:fldChar w:fldCharType="begin"/>
          </w:r>
          <w:r>
            <w:instrText xml:space="preserve"> PAGEREF _Toc141669969 \h </w:instrText>
          </w:r>
          <w:r>
            <w:fldChar w:fldCharType="separate"/>
          </w:r>
          <w:r>
            <w:t>14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"_Toc141669970" </w:instrText>
          </w:r>
          <w:r>
            <w:fldChar w:fldCharType="separate"/>
          </w:r>
          <w:r>
            <w:rPr>
              <w:rStyle w:val="26"/>
              <w:rFonts w:ascii="Times New Roman" w:hAnsi="Times New Roman" w:eastAsia="宋体" w:cs="Times New Roman"/>
            </w:rPr>
            <w:t>2.3 下游产品分析</w:t>
          </w:r>
          <w:r>
            <w:tab/>
          </w:r>
          <w:r>
            <w:fldChar w:fldCharType="begin"/>
          </w:r>
          <w:r>
            <w:instrText xml:space="preserve"> PAGEREF _Toc141669970 \h </w:instrText>
          </w:r>
          <w:r>
            <w:fldChar w:fldCharType="separate"/>
          </w:r>
          <w:r>
            <w:t>14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"_Toc141669971" </w:instrText>
          </w:r>
          <w:r>
            <w:fldChar w:fldCharType="separate"/>
          </w:r>
          <w:r>
            <w:rPr>
              <w:rStyle w:val="26"/>
              <w:rFonts w:ascii="Times New Roman" w:hAnsi="Times New Roman" w:eastAsia="宋体" w:cs="Times New Roman"/>
            </w:rPr>
            <w:t>2.4 市场风险分析</w:t>
          </w:r>
          <w:r>
            <w:tab/>
          </w:r>
          <w:r>
            <w:fldChar w:fldCharType="begin"/>
          </w:r>
          <w:r>
            <w:instrText xml:space="preserve"> PAGEREF _Toc141669971 \h </w:instrText>
          </w:r>
          <w:r>
            <w:fldChar w:fldCharType="separate"/>
          </w:r>
          <w:r>
            <w:t>15</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"_Toc141669972" </w:instrText>
          </w:r>
          <w:r>
            <w:fldChar w:fldCharType="separate"/>
          </w:r>
          <w:r>
            <w:rPr>
              <w:rStyle w:val="26"/>
              <w:rFonts w:ascii="Times New Roman" w:hAnsi="Times New Roman" w:cs="Times New Roman"/>
            </w:rPr>
            <w:t>2.4.1 风险因素识别</w:t>
          </w:r>
          <w:r>
            <w:tab/>
          </w:r>
          <w:r>
            <w:fldChar w:fldCharType="begin"/>
          </w:r>
          <w:r>
            <w:instrText xml:space="preserve"> PAGEREF _Toc141669972 \h </w:instrText>
          </w:r>
          <w:r>
            <w:fldChar w:fldCharType="separate"/>
          </w:r>
          <w:r>
            <w:t>15</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"_Toc141669973" </w:instrText>
          </w:r>
          <w:r>
            <w:fldChar w:fldCharType="separate"/>
          </w:r>
          <w:r>
            <w:rPr>
              <w:rStyle w:val="26"/>
              <w:rFonts w:ascii="Times New Roman" w:hAnsi="Times New Roman" w:cs="Times New Roman"/>
            </w:rPr>
            <w:t>2.4.2 风险评估与对策</w:t>
          </w:r>
          <w:r>
            <w:tab/>
          </w:r>
          <w:r>
            <w:fldChar w:fldCharType="begin"/>
          </w:r>
          <w:r>
            <w:instrText xml:space="preserve"> PAGEREF _Toc141669973 \h </w:instrText>
          </w:r>
          <w:r>
            <w:fldChar w:fldCharType="separate"/>
          </w:r>
          <w:r>
            <w:t>15</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"_Toc141669974" </w:instrText>
          </w:r>
          <w:r>
            <w:fldChar w:fldCharType="separate"/>
          </w:r>
          <w:r>
            <w:rPr>
              <w:rStyle w:val="26"/>
              <w:rFonts w:ascii="Times New Roman" w:hAnsi="Times New Roman" w:cs="Times New Roman"/>
              <w:b w:val="0"/>
            </w:rPr>
            <w:t>第三章 建设规模及产品方案</w:t>
          </w:r>
          <w:r>
            <w:rPr>
              <w:b w:val="0"/>
            </w:rPr>
            <w:tab/>
          </w:r>
          <w:r>
            <w:rPr>
              <w:b w:val="0"/>
            </w:rPr>
            <w:fldChar w:fldCharType="begin"/>
          </w:r>
          <w:r>
            <w:rPr>
              <w:b w:val="0"/>
            </w:rPr>
            <w:instrText xml:space="preserve"> PAGEREF _Toc141669974 \h </w:instrText>
          </w:r>
          <w:r>
            <w:rPr>
              <w:b w:val="0"/>
            </w:rPr>
            <w:fldChar w:fldCharType="separate"/>
          </w:r>
          <w:r>
            <w:rPr>
              <w:b w:val="0"/>
            </w:rPr>
            <w:t>16</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"_Toc141669975" </w:instrText>
          </w:r>
          <w:r>
            <w:fldChar w:fldCharType="separate"/>
          </w:r>
          <w:r>
            <w:rPr>
              <w:rStyle w:val="26"/>
              <w:rFonts w:ascii="宋体" w:hAnsi="宋体" w:eastAsia="宋体" w:cs="Times New Roman"/>
            </w:rPr>
            <w:t>3.1 政策符合性分析</w:t>
          </w:r>
          <w:r>
            <w:tab/>
          </w:r>
          <w:r>
            <w:fldChar w:fldCharType="begin"/>
          </w:r>
          <w:r>
            <w:instrText xml:space="preserve"> PAGEREF _Toc141669975 \h </w:instrText>
          </w:r>
          <w:r>
            <w:fldChar w:fldCharType="separate"/>
          </w:r>
          <w:r>
            <w:t>16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"_Toc141669976" </w:instrText>
          </w:r>
          <w:r>
            <w:fldChar w:fldCharType="separate"/>
          </w:r>
          <w:r>
            <w:rPr>
              <w:rStyle w:val="26"/>
              <w:rFonts w:ascii="Times New Roman" w:hAnsi="Times New Roman" w:cs="Times New Roman"/>
            </w:rPr>
            <w:t>3.1.1产业政策符合性分析</w:t>
          </w:r>
          <w:r>
            <w:tab/>
          </w:r>
          <w:r>
            <w:fldChar w:fldCharType="begin"/>
          </w:r>
          <w:r>
            <w:instrText xml:space="preserve"> PAGEREF _Toc141669976 \h </w:instrText>
          </w:r>
          <w:r>
            <w:fldChar w:fldCharType="separate"/>
          </w:r>
          <w:r>
            <w:t>16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"_Toc141669977" </w:instrText>
          </w:r>
          <w:r>
            <w:fldChar w:fldCharType="separate"/>
          </w:r>
          <w:r>
            <w:rPr>
              <w:rStyle w:val="26"/>
              <w:rFonts w:ascii="Times New Roman" w:hAnsi="Times New Roman" w:cs="Times New Roman"/>
            </w:rPr>
            <w:t>3.1.2行业准入性符合性分析</w:t>
          </w:r>
          <w:r>
            <w:tab/>
          </w:r>
          <w:r>
            <w:fldChar w:fldCharType="begin"/>
          </w:r>
          <w:r>
            <w:instrText xml:space="preserve"> PAGEREF _Toc141669977 \h </w:instrText>
          </w:r>
          <w:r>
            <w:fldChar w:fldCharType="separate"/>
          </w:r>
          <w:r>
            <w:t>16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"_Toc141669978" </w:instrText>
          </w:r>
          <w:r>
            <w:fldChar w:fldCharType="separate"/>
          </w:r>
          <w:r>
            <w:rPr>
              <w:rStyle w:val="26"/>
              <w:rFonts w:ascii="Times New Roman" w:hAnsi="Times New Roman" w:cs="Times New Roman"/>
            </w:rPr>
            <w:t>3.1.3所在地或园区规划符合性分析</w:t>
          </w:r>
          <w:r>
            <w:tab/>
          </w:r>
          <w:r>
            <w:fldChar w:fldCharType="begin"/>
          </w:r>
          <w:r>
            <w:instrText xml:space="preserve"> PAGEREF _Toc141669978 \h </w:instrText>
          </w:r>
          <w:r>
            <w:fldChar w:fldCharType="separate"/>
          </w:r>
          <w:r>
            <w:t>16</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"_Toc141669979" </w:instrText>
          </w:r>
          <w:r>
            <w:fldChar w:fldCharType="separate"/>
          </w:r>
          <w:r>
            <w:rPr>
              <w:rStyle w:val="26"/>
              <w:rFonts w:ascii="宋体" w:hAnsi="宋体" w:eastAsia="宋体" w:cs="Times New Roman"/>
            </w:rPr>
            <w:t>3.2 建设规模和产品</w:t>
          </w:r>
          <w:r>
            <w:tab/>
          </w:r>
          <w:r>
            <w:fldChar w:fldCharType="begin"/>
          </w:r>
          <w:r>
            <w:instrText xml:space="preserve"> PAGEREF _Toc141669979 \h </w:instrText>
          </w:r>
          <w:r>
            <w:fldChar w:fldCharType="separate"/>
          </w:r>
          <w:r>
            <w:t>16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"_Toc141669980" </w:instrText>
          </w:r>
          <w:r>
            <w:fldChar w:fldCharType="separate"/>
          </w:r>
          <w:r>
            <w:rPr>
              <w:rStyle w:val="26"/>
              <w:rFonts w:ascii="Times New Roman" w:hAnsi="Times New Roman" w:cs="Times New Roman"/>
            </w:rPr>
            <w:t>3.2.1建设规模</w:t>
          </w:r>
          <w:r>
            <w:tab/>
          </w:r>
          <w:r>
            <w:fldChar w:fldCharType="begin"/>
          </w:r>
          <w:r>
            <w:instrText xml:space="preserve"> PAGEREF _Toc141669980 \h </w:instrText>
          </w:r>
          <w:r>
            <w:fldChar w:fldCharType="separate"/>
          </w:r>
          <w:r>
            <w:t>16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"_Toc141669981" </w:instrText>
          </w:r>
          <w:r>
            <w:fldChar w:fldCharType="separate"/>
          </w:r>
          <w:r>
            <w:rPr>
              <w:rStyle w:val="26"/>
              <w:rFonts w:ascii="Times New Roman" w:hAnsi="Times New Roman" w:cs="Times New Roman"/>
            </w:rPr>
            <w:t>3.2.2建设规模比选</w:t>
          </w:r>
          <w:r>
            <w:tab/>
          </w:r>
          <w:r>
            <w:fldChar w:fldCharType="begin"/>
          </w:r>
          <w:r>
            <w:instrText xml:space="preserve"> PAGEREF _Toc141669981 \h </w:instrText>
          </w:r>
          <w:r>
            <w:fldChar w:fldCharType="separate"/>
          </w:r>
          <w:r>
            <w:t>17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"_Toc141669982" </w:instrText>
          </w:r>
          <w:r>
            <w:fldChar w:fldCharType="separate"/>
          </w:r>
          <w:r>
            <w:rPr>
              <w:rStyle w:val="26"/>
              <w:rFonts w:ascii="Times New Roman" w:hAnsi="Times New Roman" w:cs="Times New Roman"/>
            </w:rPr>
            <w:t>3.2.3主产品</w:t>
          </w:r>
          <w:r>
            <w:tab/>
          </w:r>
          <w:r>
            <w:fldChar w:fldCharType="begin"/>
          </w:r>
          <w:r>
            <w:instrText xml:space="preserve"> PAGEREF _Toc141669982 \h </w:instrText>
          </w:r>
          <w:r>
            <w:fldChar w:fldCharType="separate"/>
          </w:r>
          <w:r>
            <w:t>17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"_Toc141669983" </w:instrText>
          </w:r>
          <w:r>
            <w:fldChar w:fldCharType="separate"/>
          </w:r>
          <w:r>
            <w:rPr>
              <w:rStyle w:val="26"/>
              <w:rFonts w:ascii="Times New Roman" w:hAnsi="Times New Roman" w:cs="Times New Roman"/>
            </w:rPr>
            <w:t>3.2.4副产品</w:t>
          </w:r>
          <w:r>
            <w:tab/>
          </w:r>
          <w:r>
            <w:fldChar w:fldCharType="begin"/>
          </w:r>
          <w:r>
            <w:instrText xml:space="preserve"> PAGEREF _Toc141669983 \h </w:instrText>
          </w:r>
          <w:r>
            <w:fldChar w:fldCharType="separate"/>
          </w:r>
          <w:r>
            <w:t>18</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"_Toc141669984" </w:instrText>
          </w:r>
          <w:r>
            <w:fldChar w:fldCharType="separate"/>
          </w:r>
          <w:r>
            <w:rPr>
              <w:rStyle w:val="26"/>
              <w:rFonts w:ascii="Times New Roman" w:hAnsi="Times New Roman" w:cs="Times New Roman"/>
              <w:b w:val="0"/>
            </w:rPr>
            <w:t>第四章 工艺技术方案</w:t>
          </w:r>
          <w:r>
            <w:rPr>
              <w:b w:val="0"/>
            </w:rPr>
            <w:tab/>
          </w:r>
          <w:r>
            <w:rPr>
              <w:b w:val="0"/>
            </w:rPr>
            <w:fldChar w:fldCharType="begin"/>
          </w:r>
          <w:r>
            <w:rPr>
              <w:b w:val="0"/>
            </w:rPr>
            <w:instrText xml:space="preserve"> PAGEREF _Toc141669984 \h </w:instrText>
          </w:r>
          <w:r>
            <w:rPr>
              <w:b w:val="0"/>
            </w:rPr>
            <w:fldChar w:fldCharType="separate"/>
          </w:r>
          <w:r>
            <w:rPr>
              <w:b w:val="0"/>
            </w:rPr>
            <w:t>19</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"_Toc141669985" </w:instrText>
          </w:r>
          <w:r>
            <w:fldChar w:fldCharType="separate"/>
          </w:r>
          <w:r>
            <w:rPr>
              <w:rStyle w:val="26"/>
              <w:rFonts w:ascii="Times New Roman" w:hAnsi="Times New Roman" w:eastAsia="宋体" w:cs="Times New Roman"/>
            </w:rPr>
            <w:t>4.1 工艺技术方案概述</w:t>
          </w:r>
          <w:r>
            <w:tab/>
          </w:r>
          <w:r>
            <w:fldChar w:fldCharType="begin"/>
          </w:r>
          <w:r>
            <w:instrText xml:space="preserve"> PAGEREF _Toc141669985 \h </w:instrText>
          </w:r>
          <w:r>
            <w:fldChar w:fldCharType="separate"/>
          </w:r>
          <w:r>
            <w:t>19</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"_Toc141669986" </w:instrText>
          </w:r>
          <w:r>
            <w:fldChar w:fldCharType="separate"/>
          </w:r>
          <w:r>
            <w:rPr>
              <w:rStyle w:val="26"/>
              <w:rFonts w:ascii="Times New Roman" w:hAnsi="Times New Roman" w:eastAsia="宋体" w:cs="Times New Roman"/>
            </w:rPr>
            <w:t>4.2 工艺技术方案选择</w:t>
          </w:r>
          <w:r>
            <w:tab/>
          </w:r>
          <w:r>
            <w:fldChar w:fldCharType="begin"/>
          </w:r>
          <w:r>
            <w:instrText xml:space="preserve"> PAGEREF _Toc141669986 \h </w:instrText>
          </w:r>
          <w:r>
            <w:fldChar w:fldCharType="separate"/>
          </w:r>
          <w:r>
            <w:t>19</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"_Toc141669987" </w:instrText>
          </w:r>
          <w:r>
            <w:fldChar w:fldCharType="separate"/>
          </w:r>
          <w:r>
            <w:rPr>
              <w:rStyle w:val="26"/>
              <w:rFonts w:ascii="Times New Roman" w:hAnsi="Times New Roman" w:cs="Times New Roman"/>
            </w:rPr>
            <w:t>4.2.1 丙烯腈电解二聚法</w:t>
          </w:r>
          <w:r>
            <w:tab/>
          </w:r>
          <w:r>
            <w:fldChar w:fldCharType="begin"/>
          </w:r>
          <w:r>
            <w:instrText xml:space="preserve"> PAGEREF _Toc141669987 \h </w:instrText>
          </w:r>
          <w:r>
            <w:fldChar w:fldCharType="separate"/>
          </w:r>
          <w:r>
            <w:t>19</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"_Toc141669988" </w:instrText>
          </w:r>
          <w:r>
            <w:fldChar w:fldCharType="separate"/>
          </w:r>
          <w:r>
            <w:rPr>
              <w:rStyle w:val="26"/>
              <w:rFonts w:ascii="Times New Roman" w:hAnsi="Times New Roman" w:cs="Times New Roman"/>
            </w:rPr>
            <w:t>4.2.2 丙烯腈催化二聚法</w:t>
          </w:r>
          <w:r>
            <w:tab/>
          </w:r>
          <w:r>
            <w:fldChar w:fldCharType="begin"/>
          </w:r>
          <w:r>
            <w:instrText xml:space="preserve"> PAGEREF _Toc141669988 \h </w:instrText>
          </w:r>
          <w:r>
            <w:fldChar w:fldCharType="separate"/>
          </w:r>
          <w:r>
            <w:t>20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"_Toc141669989" </w:instrText>
          </w:r>
          <w:r>
            <w:fldChar w:fldCharType="separate"/>
          </w:r>
          <w:r>
            <w:rPr>
              <w:rStyle w:val="26"/>
              <w:rFonts w:ascii="Times New Roman" w:hAnsi="Times New Roman" w:cs="Times New Roman"/>
            </w:rPr>
            <w:t>4.2.3 丁二烯直接氰化法</w:t>
          </w:r>
          <w:r>
            <w:tab/>
          </w:r>
          <w:r>
            <w:fldChar w:fldCharType="begin"/>
          </w:r>
          <w:r>
            <w:instrText xml:space="preserve"> PAGEREF _Toc141669989 \h </w:instrText>
          </w:r>
          <w:r>
            <w:fldChar w:fldCharType="separate"/>
          </w:r>
          <w:r>
            <w:t>20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"_Toc141669990" </w:instrText>
          </w:r>
          <w:r>
            <w:fldChar w:fldCharType="separate"/>
          </w:r>
          <w:r>
            <w:rPr>
              <w:rStyle w:val="26"/>
              <w:rFonts w:ascii="Times New Roman" w:hAnsi="Times New Roman" w:cs="Times New Roman"/>
            </w:rPr>
            <w:t>4.2.3 己二酸催化氨化法</w:t>
          </w:r>
          <w:r>
            <w:tab/>
          </w:r>
          <w:r>
            <w:fldChar w:fldCharType="begin"/>
          </w:r>
          <w:r>
            <w:instrText xml:space="preserve"> PAGEREF _Toc141669990 \h </w:instrText>
          </w:r>
          <w:r>
            <w:fldChar w:fldCharType="separate"/>
          </w:r>
          <w:r>
            <w:t>21</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"_Toc141669991" </w:instrText>
          </w:r>
          <w:r>
            <w:fldChar w:fldCharType="separate"/>
          </w:r>
          <w:r>
            <w:rPr>
              <w:rStyle w:val="26"/>
              <w:rFonts w:ascii="Times New Roman" w:hAnsi="Times New Roman" w:cs="Times New Roman"/>
            </w:rPr>
            <w:t>4.2.4 工艺技术方案比较</w:t>
          </w:r>
          <w:r>
            <w:tab/>
          </w:r>
          <w:r>
            <w:fldChar w:fldCharType="begin"/>
          </w:r>
          <w:r>
            <w:instrText xml:space="preserve"> PAGEREF _Toc141669991 \h </w:instrText>
          </w:r>
          <w:r>
            <w:fldChar w:fldCharType="separate"/>
          </w:r>
          <w:r>
            <w:t>21</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"_Toc141669992" </w:instrText>
          </w:r>
          <w:r>
            <w:fldChar w:fldCharType="separate"/>
          </w:r>
          <w:r>
            <w:rPr>
              <w:rStyle w:val="26"/>
              <w:rFonts w:ascii="Times New Roman" w:hAnsi="Times New Roman" w:eastAsia="宋体" w:cs="Times New Roman"/>
            </w:rPr>
            <w:t>4.3 工艺流程图</w:t>
          </w:r>
          <w:r>
            <w:tab/>
          </w:r>
          <w:r>
            <w:fldChar w:fldCharType="begin"/>
          </w:r>
          <w:r>
            <w:instrText xml:space="preserve"> PAGEREF _Toc141669992 \h </w:instrText>
          </w:r>
          <w:r>
            <w:fldChar w:fldCharType="separate"/>
          </w:r>
          <w:r>
            <w:t>22</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"_Toc141669993" </w:instrText>
          </w:r>
          <w:r>
            <w:fldChar w:fldCharType="separate"/>
          </w:r>
          <w:r>
            <w:rPr>
              <w:rStyle w:val="26"/>
              <w:rFonts w:ascii="Times New Roman" w:hAnsi="Times New Roman" w:cs="Times New Roman"/>
              <w:b w:val="0"/>
            </w:rPr>
            <w:t>第五章 原材料、燃料和动力的供应</w:t>
          </w:r>
          <w:r>
            <w:rPr>
              <w:b w:val="0"/>
            </w:rPr>
            <w:tab/>
          </w:r>
          <w:r>
            <w:rPr>
              <w:b w:val="0"/>
            </w:rPr>
            <w:fldChar w:fldCharType="begin"/>
          </w:r>
          <w:r>
            <w:rPr>
              <w:b w:val="0"/>
            </w:rPr>
            <w:instrText xml:space="preserve"> PAGEREF _Toc141669993 \h </w:instrText>
          </w:r>
          <w:r>
            <w:rPr>
              <w:b w:val="0"/>
            </w:rPr>
            <w:fldChar w:fldCharType="separate"/>
          </w:r>
          <w:r>
            <w:rPr>
              <w:b w:val="0"/>
            </w:rPr>
            <w:t>23</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"_Toc141669994" </w:instrText>
          </w:r>
          <w:r>
            <w:fldChar w:fldCharType="separate"/>
          </w:r>
          <w:r>
            <w:rPr>
              <w:rStyle w:val="26"/>
              <w:rFonts w:ascii="Times New Roman" w:hAnsi="Times New Roman" w:eastAsia="宋体" w:cs="Times New Roman"/>
            </w:rPr>
            <w:t>5.1 主要原料、辅助材料来源表</w:t>
          </w:r>
          <w:r>
            <w:tab/>
          </w:r>
          <w:r>
            <w:fldChar w:fldCharType="begin"/>
          </w:r>
          <w:r>
            <w:instrText xml:space="preserve"> PAGEREF _Toc141669994 \h </w:instrText>
          </w:r>
          <w:r>
            <w:fldChar w:fldCharType="separate"/>
          </w:r>
          <w:r>
            <w:t>23</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"_Toc141669995" </w:instrText>
          </w:r>
          <w:r>
            <w:fldChar w:fldCharType="separate"/>
          </w:r>
          <w:r>
            <w:rPr>
              <w:rStyle w:val="26"/>
              <w:rFonts w:ascii="Times New Roman" w:hAnsi="Times New Roman" w:eastAsia="宋体" w:cs="Times New Roman"/>
            </w:rPr>
            <w:t>5.2 主要原料及来源</w:t>
          </w:r>
          <w:r>
            <w:tab/>
          </w:r>
          <w:r>
            <w:fldChar w:fldCharType="begin"/>
          </w:r>
          <w:r>
            <w:instrText xml:space="preserve"> PAGEREF _Toc141669995 \h </w:instrText>
          </w:r>
          <w:r>
            <w:fldChar w:fldCharType="separate"/>
          </w:r>
          <w:r>
            <w:t>23</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"_Toc141669996" </w:instrText>
          </w:r>
          <w:r>
            <w:fldChar w:fldCharType="separate"/>
          </w:r>
          <w:r>
            <w:rPr>
              <w:rStyle w:val="26"/>
              <w:rFonts w:ascii="Times New Roman" w:hAnsi="Times New Roman" w:eastAsia="宋体" w:cs="Times New Roman"/>
            </w:rPr>
            <w:t>5.2.1 己二酸</w:t>
          </w:r>
          <w:r>
            <w:tab/>
          </w:r>
          <w:r>
            <w:fldChar w:fldCharType="begin"/>
          </w:r>
          <w:r>
            <w:instrText xml:space="preserve"> PAGEREF _Toc141669996 \h </w:instrText>
          </w:r>
          <w:r>
            <w:fldChar w:fldCharType="separate"/>
          </w:r>
          <w:r>
            <w:t>23</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"_Toc141669997" </w:instrText>
          </w:r>
          <w:r>
            <w:fldChar w:fldCharType="separate"/>
          </w:r>
          <w:r>
            <w:rPr>
              <w:rStyle w:val="26"/>
              <w:rFonts w:ascii="Times New Roman" w:hAnsi="Times New Roman" w:eastAsia="宋体" w:cs="Times New Roman"/>
            </w:rPr>
            <w:t>5.2.2 液氨</w:t>
          </w:r>
          <w:r>
            <w:tab/>
          </w:r>
          <w:r>
            <w:fldChar w:fldCharType="begin"/>
          </w:r>
          <w:r>
            <w:instrText xml:space="preserve"> PAGEREF _Toc141669997 \h </w:instrText>
          </w:r>
          <w:r>
            <w:fldChar w:fldCharType="separate"/>
          </w:r>
          <w:r>
            <w:t>24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"_Toc141669998" </w:instrText>
          </w:r>
          <w:r>
            <w:fldChar w:fldCharType="separate"/>
          </w:r>
          <w:r>
            <w:rPr>
              <w:rStyle w:val="26"/>
              <w:rFonts w:ascii="Times New Roman" w:hAnsi="Times New Roman" w:eastAsia="宋体" w:cs="Times New Roman"/>
            </w:rPr>
            <w:t>5.3 辅助原料及来源</w:t>
          </w:r>
          <w:r>
            <w:tab/>
          </w:r>
          <w:r>
            <w:fldChar w:fldCharType="begin"/>
          </w:r>
          <w:r>
            <w:instrText xml:space="preserve"> PAGEREF _Toc141669998 \h </w:instrText>
          </w:r>
          <w:r>
            <w:fldChar w:fldCharType="separate"/>
          </w:r>
          <w:r>
            <w:t>24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"_Toc141669999" </w:instrText>
          </w:r>
          <w:r>
            <w:fldChar w:fldCharType="separate"/>
          </w:r>
          <w:r>
            <w:rPr>
              <w:rStyle w:val="26"/>
              <w:rFonts w:ascii="Times New Roman" w:hAnsi="Times New Roman" w:eastAsia="宋体" w:cs="Times New Roman"/>
            </w:rPr>
            <w:t>5.4 水、电、汽和其他动力供应</w:t>
          </w:r>
          <w:r>
            <w:tab/>
          </w:r>
          <w:r>
            <w:fldChar w:fldCharType="begin"/>
          </w:r>
          <w:r>
            <w:instrText xml:space="preserve"> PAGEREF _Toc141669999 \h </w:instrText>
          </w:r>
          <w:r>
            <w:fldChar w:fldCharType="separate"/>
          </w:r>
          <w:r>
            <w:t>25</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"_Toc141670000" </w:instrText>
          </w:r>
          <w:r>
            <w:fldChar w:fldCharType="separate"/>
          </w:r>
          <w:r>
            <w:rPr>
              <w:rStyle w:val="26"/>
              <w:rFonts w:ascii="Times New Roman" w:hAnsi="Times New Roman" w:cs="Times New Roman"/>
            </w:rPr>
            <w:t>5.4.1 主要公用工程来源分析（含公用工程供应协议及方案）</w:t>
          </w:r>
          <w:r>
            <w:tab/>
          </w:r>
          <w:r>
            <w:fldChar w:fldCharType="begin"/>
          </w:r>
          <w:r>
            <w:instrText xml:space="preserve"> PAGEREF _Toc141670000 \h </w:instrText>
          </w:r>
          <w:r>
            <w:fldChar w:fldCharType="separate"/>
          </w:r>
          <w:r>
            <w:t>25</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"_Toc141670001" </w:instrText>
          </w:r>
          <w:r>
            <w:fldChar w:fldCharType="separate"/>
          </w:r>
          <w:r>
            <w:rPr>
              <w:rStyle w:val="26"/>
              <w:rFonts w:ascii="Times New Roman" w:hAnsi="Times New Roman" w:cs="Times New Roman"/>
            </w:rPr>
            <w:t>5.4.2 公用工程需求表</w:t>
          </w:r>
          <w:r>
            <w:tab/>
          </w:r>
          <w:r>
            <w:fldChar w:fldCharType="begin"/>
          </w:r>
          <w:r>
            <w:instrText xml:space="preserve"> PAGEREF _Toc141670001 \h </w:instrText>
          </w:r>
          <w:r>
            <w:fldChar w:fldCharType="separate"/>
          </w:r>
          <w:r>
            <w:t>26</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"_Toc141670002" </w:instrText>
          </w:r>
          <w:r>
            <w:fldChar w:fldCharType="separate"/>
          </w:r>
          <w:r>
            <w:rPr>
              <w:rStyle w:val="26"/>
              <w:rFonts w:ascii="Times New Roman" w:hAnsi="Times New Roman" w:cs="Times New Roman"/>
              <w:b w:val="0"/>
            </w:rPr>
            <w:t>第六章 建厂条件和厂址选择</w:t>
          </w:r>
          <w:r>
            <w:rPr>
              <w:b w:val="0"/>
            </w:rPr>
            <w:tab/>
          </w:r>
          <w:r>
            <w:rPr>
              <w:b w:val="0"/>
            </w:rPr>
            <w:fldChar w:fldCharType="begin"/>
          </w:r>
          <w:r>
            <w:rPr>
              <w:b w:val="0"/>
            </w:rPr>
            <w:instrText xml:space="preserve"> PAGEREF _Toc141670002 \h </w:instrText>
          </w:r>
          <w:r>
            <w:rPr>
              <w:b w:val="0"/>
            </w:rPr>
            <w:fldChar w:fldCharType="separate"/>
          </w:r>
          <w:r>
            <w:rPr>
              <w:b w:val="0"/>
            </w:rPr>
            <w:t>27</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"_Toc141670003" </w:instrText>
          </w:r>
          <w:r>
            <w:fldChar w:fldCharType="separate"/>
          </w:r>
          <w:r>
            <w:rPr>
              <w:rStyle w:val="26"/>
              <w:rFonts w:ascii="Times New Roman" w:hAnsi="Times New Roman" w:eastAsia="宋体" w:cs="Times New Roman"/>
            </w:rPr>
            <w:t>6.1 建厂条件</w:t>
          </w:r>
          <w:r>
            <w:tab/>
          </w:r>
          <w:r>
            <w:fldChar w:fldCharType="begin"/>
          </w:r>
          <w:r>
            <w:instrText xml:space="preserve"> PAGEREF _Toc141670003 \h </w:instrText>
          </w:r>
          <w:r>
            <w:fldChar w:fldCharType="separate"/>
          </w:r>
          <w:r>
            <w:t>27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"_Toc141670004" </w:instrText>
          </w:r>
          <w:r>
            <w:fldChar w:fldCharType="separate"/>
          </w:r>
          <w:r>
            <w:rPr>
              <w:rStyle w:val="26"/>
              <w:rFonts w:ascii="Times New Roman" w:hAnsi="Times New Roman" w:cs="Times New Roman"/>
            </w:rPr>
            <w:t>6.1.1 建厂地点自然条件</w:t>
          </w:r>
          <w:r>
            <w:tab/>
          </w:r>
          <w:r>
            <w:fldChar w:fldCharType="begin"/>
          </w:r>
          <w:r>
            <w:instrText xml:space="preserve"> PAGEREF _Toc141670004 \h </w:instrText>
          </w:r>
          <w:r>
            <w:fldChar w:fldCharType="separate"/>
          </w:r>
          <w:r>
            <w:t>27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"_Toc141670005" </w:instrText>
          </w:r>
          <w:r>
            <w:fldChar w:fldCharType="separate"/>
          </w:r>
          <w:r>
            <w:rPr>
              <w:rStyle w:val="26"/>
              <w:rFonts w:ascii="Times New Roman" w:hAnsi="Times New Roman" w:cs="Times New Roman"/>
            </w:rPr>
            <w:t>6.1.2 外部交通运输状况</w:t>
          </w:r>
          <w:r>
            <w:tab/>
          </w:r>
          <w:r>
            <w:fldChar w:fldCharType="begin"/>
          </w:r>
          <w:r>
            <w:instrText xml:space="preserve"> PAGEREF _Toc141670005 \h </w:instrText>
          </w:r>
          <w:r>
            <w:fldChar w:fldCharType="separate"/>
          </w:r>
          <w:r>
            <w:t>27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"_Toc141670006" </w:instrText>
          </w:r>
          <w:r>
            <w:fldChar w:fldCharType="separate"/>
          </w:r>
          <w:r>
            <w:rPr>
              <w:rStyle w:val="26"/>
              <w:rFonts w:ascii="Times New Roman" w:hAnsi="Times New Roman" w:cs="Times New Roman"/>
            </w:rPr>
            <w:t>6.1.3 公共工程条件</w:t>
          </w:r>
          <w:r>
            <w:tab/>
          </w:r>
          <w:r>
            <w:fldChar w:fldCharType="begin"/>
          </w:r>
          <w:r>
            <w:instrText xml:space="preserve"> PAGEREF _Toc141670006 \h </w:instrText>
          </w:r>
          <w:r>
            <w:fldChar w:fldCharType="separate"/>
          </w:r>
          <w:r>
            <w:t>29</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"_Toc141670007" </w:instrText>
          </w:r>
          <w:r>
            <w:fldChar w:fldCharType="separate"/>
          </w:r>
          <w:r>
            <w:rPr>
              <w:rStyle w:val="26"/>
              <w:rFonts w:ascii="Times New Roman" w:hAnsi="Times New Roman" w:eastAsia="宋体" w:cs="Times New Roman"/>
            </w:rPr>
            <w:t>6.2 厂址选择</w:t>
          </w:r>
          <w:r>
            <w:tab/>
          </w:r>
          <w:r>
            <w:fldChar w:fldCharType="begin"/>
          </w:r>
          <w:r>
            <w:instrText xml:space="preserve"> PAGEREF _Toc141670007 \h </w:instrText>
          </w:r>
          <w:r>
            <w:fldChar w:fldCharType="separate"/>
          </w:r>
          <w:r>
            <w:t>29</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"_Toc141670008" </w:instrText>
          </w:r>
          <w:r>
            <w:fldChar w:fldCharType="separate"/>
          </w:r>
          <w:r>
            <w:rPr>
              <w:rStyle w:val="26"/>
              <w:rFonts w:ascii="Times New Roman" w:hAnsi="Times New Roman" w:cs="Times New Roman"/>
            </w:rPr>
            <w:t>6.2.1 厂址方案比选</w:t>
          </w:r>
          <w:r>
            <w:tab/>
          </w:r>
          <w:r>
            <w:fldChar w:fldCharType="begin"/>
          </w:r>
          <w:r>
            <w:instrText xml:space="preserve"> PAGEREF _Toc141670008 \h </w:instrText>
          </w:r>
          <w:r>
            <w:fldChar w:fldCharType="separate"/>
          </w:r>
          <w:r>
            <w:t>29</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"_Toc141670009" </w:instrText>
          </w:r>
          <w:r>
            <w:fldChar w:fldCharType="separate"/>
          </w:r>
          <w:r>
            <w:rPr>
              <w:rStyle w:val="26"/>
              <w:rFonts w:ascii="Times New Roman" w:hAnsi="Times New Roman" w:cs="Times New Roman"/>
            </w:rPr>
            <w:t>6.2.2 厂址选择</w:t>
          </w:r>
          <w:r>
            <w:tab/>
          </w:r>
          <w:r>
            <w:fldChar w:fldCharType="begin"/>
          </w:r>
          <w:r>
            <w:instrText xml:space="preserve"> PAGEREF _Toc141670009 \h </w:instrText>
          </w:r>
          <w:r>
            <w:fldChar w:fldCharType="separate"/>
          </w:r>
          <w:r>
            <w:t>31</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"_Toc141670010" </w:instrText>
          </w:r>
          <w:r>
            <w:fldChar w:fldCharType="separate"/>
          </w:r>
          <w:r>
            <w:rPr>
              <w:rStyle w:val="26"/>
              <w:rFonts w:ascii="Times New Roman" w:hAnsi="Times New Roman" w:cs="Times New Roman"/>
              <w:b w:val="0"/>
            </w:rPr>
            <w:t>第七章 主要污染源及主要污染物</w:t>
          </w:r>
          <w:r>
            <w:rPr>
              <w:b w:val="0"/>
            </w:rPr>
            <w:tab/>
          </w:r>
          <w:r>
            <w:rPr>
              <w:b w:val="0"/>
            </w:rPr>
            <w:fldChar w:fldCharType="begin"/>
          </w:r>
          <w:r>
            <w:rPr>
              <w:b w:val="0"/>
            </w:rPr>
            <w:instrText xml:space="preserve"> PAGEREF _Toc141670010 \h </w:instrText>
          </w:r>
          <w:r>
            <w:rPr>
              <w:b w:val="0"/>
            </w:rPr>
            <w:fldChar w:fldCharType="separate"/>
          </w:r>
          <w:r>
            <w:rPr>
              <w:b w:val="0"/>
            </w:rPr>
            <w:t>33</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"_Toc141670011" </w:instrText>
          </w:r>
          <w:r>
            <w:fldChar w:fldCharType="separate"/>
          </w:r>
          <w:r>
            <w:rPr>
              <w:rStyle w:val="26"/>
              <w:rFonts w:ascii="Times New Roman" w:hAnsi="Times New Roman" w:eastAsia="宋体" w:cs="Times New Roman"/>
            </w:rPr>
            <w:t>7.1 三废排放</w:t>
          </w:r>
          <w:r>
            <w:tab/>
          </w:r>
          <w:r>
            <w:fldChar w:fldCharType="begin"/>
          </w:r>
          <w:r>
            <w:instrText xml:space="preserve"> PAGEREF _Toc141670011 \h </w:instrText>
          </w:r>
          <w:r>
            <w:fldChar w:fldCharType="separate"/>
          </w:r>
          <w:r>
            <w:t>33</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"_Toc141670012" </w:instrText>
          </w:r>
          <w:r>
            <w:fldChar w:fldCharType="separate"/>
          </w:r>
          <w:r>
            <w:rPr>
              <w:rStyle w:val="26"/>
            </w:rPr>
            <w:t>7.1.1</w:t>
          </w:r>
          <w:r>
            <w:rPr>
              <w:rStyle w:val="26"/>
              <w:rFonts w:ascii="宋体" w:hAnsi="宋体" w:cs="宋体"/>
            </w:rPr>
            <w:t>废液排放表</w:t>
          </w:r>
          <w:r>
            <w:tab/>
          </w:r>
          <w:r>
            <w:fldChar w:fldCharType="begin"/>
          </w:r>
          <w:r>
            <w:instrText xml:space="preserve"> PAGEREF _Toc141670012 \h </w:instrText>
          </w:r>
          <w:r>
            <w:fldChar w:fldCharType="separate"/>
          </w:r>
          <w:r>
            <w:t>33</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"_Toc141670013" </w:instrText>
          </w:r>
          <w:r>
            <w:fldChar w:fldCharType="separate"/>
          </w:r>
          <w:r>
            <w:rPr>
              <w:rStyle w:val="26"/>
              <w:rFonts w:ascii="宋体" w:hAnsi="宋体"/>
            </w:rPr>
            <w:t>7.1.2</w:t>
          </w:r>
          <w:r>
            <w:rPr>
              <w:rStyle w:val="26"/>
            </w:rPr>
            <w:t xml:space="preserve"> </w:t>
          </w:r>
          <w:r>
            <w:rPr>
              <w:rStyle w:val="26"/>
              <w:rFonts w:ascii="宋体" w:hAnsi="宋体" w:cs="宋体"/>
            </w:rPr>
            <w:t>废固排放表</w:t>
          </w:r>
          <w:r>
            <w:tab/>
          </w:r>
          <w:r>
            <w:fldChar w:fldCharType="begin"/>
          </w:r>
          <w:r>
            <w:instrText xml:space="preserve"> PAGEREF _Toc141670013 \h </w:instrText>
          </w:r>
          <w:r>
            <w:fldChar w:fldCharType="separate"/>
          </w:r>
          <w:r>
            <w:t>34</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"_Toc141670014" </w:instrText>
          </w:r>
          <w:r>
            <w:fldChar w:fldCharType="separate"/>
          </w:r>
          <w:r>
            <w:rPr>
              <w:rStyle w:val="26"/>
            </w:rPr>
            <w:t>7.1.3</w:t>
          </w:r>
          <w:r>
            <w:rPr>
              <w:rStyle w:val="26"/>
              <w:rFonts w:ascii="宋体" w:hAnsi="宋体" w:cs="宋体"/>
            </w:rPr>
            <w:t>废气排放表</w:t>
          </w:r>
          <w:r>
            <w:tab/>
          </w:r>
          <w:r>
            <w:fldChar w:fldCharType="begin"/>
          </w:r>
          <w:r>
            <w:instrText xml:space="preserve"> PAGEREF _Toc141670014 \h </w:instrText>
          </w:r>
          <w:r>
            <w:fldChar w:fldCharType="separate"/>
          </w:r>
          <w:r>
            <w:t>34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"_Toc141670015" </w:instrText>
          </w:r>
          <w:r>
            <w:fldChar w:fldCharType="separate"/>
          </w:r>
          <w:r>
            <w:rPr>
              <w:rStyle w:val="26"/>
              <w:rFonts w:ascii="Times New Roman" w:hAnsi="Times New Roman" w:eastAsia="宋体" w:cs="Times New Roman"/>
            </w:rPr>
            <w:t>7.2 三废处理方法</w:t>
          </w:r>
          <w:r>
            <w:tab/>
          </w:r>
          <w:r>
            <w:fldChar w:fldCharType="begin"/>
          </w:r>
          <w:r>
            <w:instrText xml:space="preserve"> PAGEREF _Toc141670015 \h </w:instrText>
          </w:r>
          <w:r>
            <w:fldChar w:fldCharType="separate"/>
          </w:r>
          <w:r>
            <w:t>34</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"_Toc141670016" </w:instrText>
          </w:r>
          <w:r>
            <w:fldChar w:fldCharType="separate"/>
          </w:r>
          <w:r>
            <w:rPr>
              <w:rStyle w:val="26"/>
            </w:rPr>
            <w:t xml:space="preserve">7.2.1 </w:t>
          </w:r>
          <w:r>
            <w:rPr>
              <w:rStyle w:val="26"/>
              <w:rFonts w:ascii="宋体" w:hAnsi="宋体" w:cs="宋体"/>
            </w:rPr>
            <w:t>废液处理方法</w:t>
          </w:r>
          <w:r>
            <w:tab/>
          </w:r>
          <w:r>
            <w:fldChar w:fldCharType="begin"/>
          </w:r>
          <w:r>
            <w:instrText xml:space="preserve"> PAGEREF _Toc141670016 \h </w:instrText>
          </w:r>
          <w:r>
            <w:fldChar w:fldCharType="separate"/>
          </w:r>
          <w:r>
            <w:t>34</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"_Toc141670017" </w:instrText>
          </w:r>
          <w:r>
            <w:fldChar w:fldCharType="separate"/>
          </w:r>
          <w:r>
            <w:rPr>
              <w:rStyle w:val="26"/>
            </w:rPr>
            <w:t xml:space="preserve">7.2.2 </w:t>
          </w:r>
          <w:r>
            <w:rPr>
              <w:rStyle w:val="26"/>
              <w:rFonts w:ascii="宋体" w:hAnsi="宋体" w:cs="宋体"/>
            </w:rPr>
            <w:t>废气处理方法</w:t>
          </w:r>
          <w:r>
            <w:tab/>
          </w:r>
          <w:r>
            <w:fldChar w:fldCharType="begin"/>
          </w:r>
          <w:r>
            <w:instrText xml:space="preserve"> PAGEREF _Toc141670017 \h </w:instrText>
          </w:r>
          <w:r>
            <w:fldChar w:fldCharType="separate"/>
          </w:r>
          <w:r>
            <w:t>36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"_Toc141670018" </w:instrText>
          </w:r>
          <w:r>
            <w:fldChar w:fldCharType="separate"/>
          </w:r>
          <w:r>
            <w:rPr>
              <w:rStyle w:val="26"/>
            </w:rPr>
            <w:t xml:space="preserve">7.2.3 </w:t>
          </w:r>
          <w:r>
            <w:rPr>
              <w:rStyle w:val="26"/>
              <w:rFonts w:ascii="宋体" w:hAnsi="宋体" w:cs="宋体"/>
            </w:rPr>
            <w:t>废固处理方法</w:t>
          </w:r>
          <w:r>
            <w:tab/>
          </w:r>
          <w:r>
            <w:fldChar w:fldCharType="begin"/>
          </w:r>
          <w:r>
            <w:instrText xml:space="preserve"> PAGEREF _Toc141670018 \h </w:instrText>
          </w:r>
          <w:r>
            <w:fldChar w:fldCharType="separate"/>
          </w:r>
          <w:r>
            <w:t>36</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"_Toc141670019" </w:instrText>
          </w:r>
          <w:r>
            <w:fldChar w:fldCharType="separate"/>
          </w:r>
          <w:r>
            <w:rPr>
              <w:rStyle w:val="26"/>
              <w:rFonts w:ascii="Times New Roman" w:hAnsi="Times New Roman" w:cs="Times New Roman"/>
              <w:b w:val="0"/>
            </w:rPr>
            <w:t>第八章 投资估算和资金筹措</w:t>
          </w:r>
          <w:r>
            <w:rPr>
              <w:b w:val="0"/>
            </w:rPr>
            <w:tab/>
          </w:r>
          <w:r>
            <w:rPr>
              <w:b w:val="0"/>
            </w:rPr>
            <w:fldChar w:fldCharType="begin"/>
          </w:r>
          <w:r>
            <w:rPr>
              <w:b w:val="0"/>
            </w:rPr>
            <w:instrText xml:space="preserve"> PAGEREF _Toc141670019 \h </w:instrText>
          </w:r>
          <w:r>
            <w:rPr>
              <w:b w:val="0"/>
            </w:rPr>
            <w:fldChar w:fldCharType="separate"/>
          </w:r>
          <w:r>
            <w:rPr>
              <w:b w:val="0"/>
            </w:rPr>
            <w:t>37</w:t>
          </w:r>
          <w:r>
            <w:rPr>
              <w:b w:val="0"/>
            </w:rPr>
            <w:fldChar w:fldCharType="end"/>
          </w:r>
          <w:r>
            <w:rPr>
              <w:b w:val="0"/>
            </w:rP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"_Toc141670020" </w:instrText>
          </w:r>
          <w:r>
            <w:fldChar w:fldCharType="separate"/>
          </w:r>
          <w:r>
            <w:rPr>
              <w:rStyle w:val="26"/>
              <w:rFonts w:ascii="Times New Roman" w:hAnsi="Times New Roman" w:eastAsia="宋体" w:cs="Times New Roman"/>
            </w:rPr>
            <w:t>8.1 工程概况</w:t>
          </w:r>
          <w:r>
            <w:tab/>
          </w:r>
          <w:r>
            <w:fldChar w:fldCharType="begin"/>
          </w:r>
          <w:r>
            <w:instrText xml:space="preserve"> PAGEREF _Toc141670020 \h </w:instrText>
          </w:r>
          <w:r>
            <w:fldChar w:fldCharType="separate"/>
          </w:r>
          <w:r>
            <w:t>37</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"_Toc141670021" </w:instrText>
          </w:r>
          <w:r>
            <w:fldChar w:fldCharType="separate"/>
          </w:r>
          <w:r>
            <w:rPr>
              <w:rStyle w:val="26"/>
              <w:rFonts w:ascii="Times New Roman" w:hAnsi="Times New Roman" w:eastAsia="宋体" w:cs="Times New Roman"/>
            </w:rPr>
            <w:t>8.2 编制依据</w:t>
          </w:r>
          <w:r>
            <w:tab/>
          </w:r>
          <w:r>
            <w:fldChar w:fldCharType="begin"/>
          </w:r>
          <w:r>
            <w:instrText xml:space="preserve"> PAGEREF _Toc141670021 \h </w:instrText>
          </w:r>
          <w:r>
            <w:fldChar w:fldCharType="separate"/>
          </w:r>
          <w:r>
            <w:t>37</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"_Toc141670022" </w:instrText>
          </w:r>
          <w:r>
            <w:fldChar w:fldCharType="separate"/>
          </w:r>
          <w:r>
            <w:rPr>
              <w:rStyle w:val="26"/>
              <w:rFonts w:ascii="Times New Roman" w:hAnsi="Times New Roman" w:eastAsia="宋体" w:cs="Times New Roman"/>
            </w:rPr>
            <w:t>8.3 建设投资估算</w:t>
          </w:r>
          <w:r>
            <w:tab/>
          </w:r>
          <w:r>
            <w:fldChar w:fldCharType="begin"/>
          </w:r>
          <w:r>
            <w:instrText xml:space="preserve"> PAGEREF _Toc141670022 \h </w:instrText>
          </w:r>
          <w:r>
            <w:fldChar w:fldCharType="separate"/>
          </w:r>
          <w:r>
            <w:t>37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"_Toc141670023" </w:instrText>
          </w:r>
          <w:r>
            <w:fldChar w:fldCharType="separate"/>
          </w:r>
          <w:r>
            <w:rPr>
              <w:rStyle w:val="26"/>
              <w:rFonts w:ascii="宋体" w:hAnsi="宋体"/>
            </w:rPr>
            <w:t>8.3.1 固定资产费用</w:t>
          </w:r>
          <w:r>
            <w:tab/>
          </w:r>
          <w:r>
            <w:fldChar w:fldCharType="begin"/>
          </w:r>
          <w:r>
            <w:instrText xml:space="preserve"> PAGEREF _Toc141670023 \h </w:instrText>
          </w:r>
          <w:r>
            <w:fldChar w:fldCharType="separate"/>
          </w:r>
          <w:r>
            <w:t>37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"_Toc141670024" </w:instrText>
          </w:r>
          <w:r>
            <w:fldChar w:fldCharType="separate"/>
          </w:r>
          <w:r>
            <w:rPr>
              <w:rStyle w:val="26"/>
              <w:rFonts w:ascii="宋体" w:hAnsi="宋体"/>
            </w:rPr>
            <w:t>8.3.2 无形资产费用</w:t>
          </w:r>
          <w:r>
            <w:tab/>
          </w:r>
          <w:r>
            <w:fldChar w:fldCharType="begin"/>
          </w:r>
          <w:r>
            <w:instrText xml:space="preserve"> PAGEREF _Toc141670024 \h </w:instrText>
          </w:r>
          <w:r>
            <w:fldChar w:fldCharType="separate"/>
          </w:r>
          <w:r>
            <w:t>43</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"_Toc141670025" </w:instrText>
          </w:r>
          <w:r>
            <w:fldChar w:fldCharType="separate"/>
          </w:r>
          <w:r>
            <w:rPr>
              <w:rStyle w:val="26"/>
              <w:rFonts w:ascii="宋体" w:hAnsi="宋体"/>
            </w:rPr>
            <w:t>8.3.3 递延资产费用</w:t>
          </w:r>
          <w:r>
            <w:tab/>
          </w:r>
          <w:r>
            <w:fldChar w:fldCharType="begin"/>
          </w:r>
          <w:r>
            <w:instrText xml:space="preserve"> PAGEREF _Toc141670025 \h </w:instrText>
          </w:r>
          <w:r>
            <w:fldChar w:fldCharType="separate"/>
          </w:r>
          <w:r>
            <w:t>44</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"_Toc141670026" </w:instrText>
          </w:r>
          <w:r>
            <w:fldChar w:fldCharType="separate"/>
          </w:r>
          <w:r>
            <w:rPr>
              <w:rStyle w:val="26"/>
              <w:rFonts w:ascii="Times New Roman" w:hAnsi="Times New Roman" w:cs="Times New Roman"/>
              <w:bCs/>
            </w:rPr>
            <w:t>8.3.4 预备费用</w:t>
          </w:r>
          <w:r>
            <w:tab/>
          </w:r>
          <w:r>
            <w:fldChar w:fldCharType="begin"/>
          </w:r>
          <w:r>
            <w:instrText xml:space="preserve"> PAGEREF _Toc141670026 \h </w:instrText>
          </w:r>
          <w:r>
            <w:fldChar w:fldCharType="separate"/>
          </w:r>
          <w:r>
            <w:t>44</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"_Toc141670027" </w:instrText>
          </w:r>
          <w:r>
            <w:fldChar w:fldCharType="separate"/>
          </w:r>
          <w:r>
            <w:rPr>
              <w:rStyle w:val="26"/>
              <w:rFonts w:ascii="Times New Roman" w:hAnsi="Times New Roman" w:cs="Times New Roman"/>
              <w:bCs/>
            </w:rPr>
            <w:t>8.3.5 建设投资估算表</w:t>
          </w:r>
          <w:r>
            <w:tab/>
          </w:r>
          <w:r>
            <w:fldChar w:fldCharType="begin"/>
          </w:r>
          <w:r>
            <w:instrText xml:space="preserve"> PAGEREF _Toc141670027 \h </w:instrText>
          </w:r>
          <w:r>
            <w:fldChar w:fldCharType="separate"/>
          </w:r>
          <w:r>
            <w:t>44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"_Toc141670028" </w:instrText>
          </w:r>
          <w:r>
            <w:fldChar w:fldCharType="separate"/>
          </w:r>
          <w:r>
            <w:rPr>
              <w:rStyle w:val="26"/>
              <w:rFonts w:ascii="Times New Roman" w:hAnsi="Times New Roman" w:eastAsia="宋体" w:cs="Times New Roman"/>
            </w:rPr>
            <w:t>8.4 建设期利息估算</w:t>
          </w:r>
          <w:r>
            <w:tab/>
          </w:r>
          <w:r>
            <w:fldChar w:fldCharType="begin"/>
          </w:r>
          <w:r>
            <w:instrText xml:space="preserve"> PAGEREF _Toc141670028 \h </w:instrText>
          </w:r>
          <w:r>
            <w:fldChar w:fldCharType="separate"/>
          </w:r>
          <w:r>
            <w:t>44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"_Toc141670029" </w:instrText>
          </w:r>
          <w:r>
            <w:fldChar w:fldCharType="separate"/>
          </w:r>
          <w:r>
            <w:rPr>
              <w:rStyle w:val="26"/>
              <w:rFonts w:ascii="Times New Roman" w:hAnsi="Times New Roman" w:eastAsia="宋体" w:cs="Times New Roman"/>
            </w:rPr>
            <w:t>8.5 流动资金</w:t>
          </w:r>
          <w:r>
            <w:tab/>
          </w:r>
          <w:r>
            <w:fldChar w:fldCharType="begin"/>
          </w:r>
          <w:r>
            <w:instrText xml:space="preserve"> PAGEREF _Toc141670029 \h </w:instrText>
          </w:r>
          <w:r>
            <w:fldChar w:fldCharType="separate"/>
          </w:r>
          <w:r>
            <w:t>45</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"_Toc141670030" </w:instrText>
          </w:r>
          <w:r>
            <w:fldChar w:fldCharType="separate"/>
          </w:r>
          <w:r>
            <w:rPr>
              <w:rStyle w:val="26"/>
              <w:rFonts w:ascii="Times New Roman" w:hAnsi="Times New Roman" w:eastAsia="宋体" w:cs="Times New Roman"/>
            </w:rPr>
            <w:t>8.6 固定资产投资方向调节税</w:t>
          </w:r>
          <w:r>
            <w:tab/>
          </w:r>
          <w:r>
            <w:fldChar w:fldCharType="begin"/>
          </w:r>
          <w:r>
            <w:instrText xml:space="preserve"> PAGEREF _Toc141670030 \h </w:instrText>
          </w:r>
          <w:r>
            <w:fldChar w:fldCharType="separate"/>
          </w:r>
          <w:r>
            <w:t>45</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"_Toc141670031" </w:instrText>
          </w:r>
          <w:r>
            <w:fldChar w:fldCharType="separate"/>
          </w:r>
          <w:r>
            <w:rPr>
              <w:rStyle w:val="26"/>
              <w:rFonts w:ascii="Times New Roman" w:hAnsi="Times New Roman" w:eastAsia="宋体" w:cs="Times New Roman"/>
            </w:rPr>
            <w:t>8.7 项目总投资汇总</w:t>
          </w:r>
          <w:r>
            <w:tab/>
          </w:r>
          <w:r>
            <w:fldChar w:fldCharType="begin"/>
          </w:r>
          <w:r>
            <w:instrText xml:space="preserve"> PAGEREF _Toc141670031 \h </w:instrText>
          </w:r>
          <w:r>
            <w:fldChar w:fldCharType="separate"/>
          </w:r>
          <w:r>
            <w:t>46</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"_Toc141670032" </w:instrText>
          </w:r>
          <w:r>
            <w:fldChar w:fldCharType="separate"/>
          </w:r>
          <w:r>
            <w:rPr>
              <w:rStyle w:val="26"/>
              <w:rFonts w:ascii="Times New Roman" w:hAnsi="Times New Roman" w:cs="Times New Roman"/>
            </w:rPr>
            <w:t>第九章 财务与经济评价</w:t>
          </w:r>
          <w:r>
            <w:tab/>
          </w:r>
          <w:r>
            <w:fldChar w:fldCharType="begin"/>
          </w:r>
          <w:r>
            <w:instrText xml:space="preserve"> PAGEREF _Toc141670032 \h </w:instrText>
          </w:r>
          <w:r>
            <w:fldChar w:fldCharType="separate"/>
          </w:r>
          <w:r>
            <w:t>47</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"_Toc141670033" </w:instrText>
          </w:r>
          <w:r>
            <w:fldChar w:fldCharType="separate"/>
          </w:r>
          <w:r>
            <w:rPr>
              <w:rStyle w:val="26"/>
              <w:rFonts w:ascii="Times New Roman" w:hAnsi="Times New Roman" w:eastAsia="宋体" w:cs="Times New Roman"/>
            </w:rPr>
            <w:t>9.1 产品总成本和费用估算</w:t>
          </w:r>
          <w:r>
            <w:tab/>
          </w:r>
          <w:r>
            <w:fldChar w:fldCharType="begin"/>
          </w:r>
          <w:r>
            <w:instrText xml:space="preserve"> PAGEREF _Toc141670033 \h </w:instrText>
          </w:r>
          <w:r>
            <w:fldChar w:fldCharType="separate"/>
          </w:r>
          <w:r>
            <w:t>47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"_Toc141670034" </w:instrText>
          </w:r>
          <w:r>
            <w:fldChar w:fldCharType="separate"/>
          </w:r>
          <w:r>
            <w:rPr>
              <w:rStyle w:val="26"/>
              <w:rFonts w:ascii="Times New Roman" w:hAnsi="Times New Roman" w:cs="Times New Roman"/>
              <w:bCs/>
            </w:rPr>
            <w:t>9.1.1 成本估算说明</w:t>
          </w:r>
          <w:r>
            <w:tab/>
          </w:r>
          <w:r>
            <w:fldChar w:fldCharType="begin"/>
          </w:r>
          <w:r>
            <w:instrText xml:space="preserve"> PAGEREF _Toc141670034 \h </w:instrText>
          </w:r>
          <w:r>
            <w:fldChar w:fldCharType="separate"/>
          </w:r>
          <w:r>
            <w:t>47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"_Toc141670035" </w:instrText>
          </w:r>
          <w:r>
            <w:fldChar w:fldCharType="separate"/>
          </w:r>
          <w:r>
            <w:rPr>
              <w:rStyle w:val="26"/>
              <w:rFonts w:ascii="Times New Roman" w:hAnsi="Times New Roman" w:cs="Times New Roman"/>
              <w:bCs/>
            </w:rPr>
            <w:t>9.1.2 产品总成本费用估算</w:t>
          </w:r>
          <w:r>
            <w:tab/>
          </w:r>
          <w:r>
            <w:fldChar w:fldCharType="begin"/>
          </w:r>
          <w:r>
            <w:instrText xml:space="preserve"> PAGEREF _Toc141670035 \h </w:instrText>
          </w:r>
          <w:r>
            <w:fldChar w:fldCharType="separate"/>
          </w:r>
          <w:r>
            <w:t>47</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"_Toc141670036" </w:instrText>
          </w:r>
          <w:r>
            <w:fldChar w:fldCharType="separate"/>
          </w:r>
          <w:r>
            <w:rPr>
              <w:rStyle w:val="26"/>
              <w:rFonts w:ascii="Times New Roman" w:hAnsi="Times New Roman" w:eastAsia="宋体" w:cs="Times New Roman"/>
            </w:rPr>
            <w:t>9.2 销售收入和税金估算</w:t>
          </w:r>
          <w:r>
            <w:tab/>
          </w:r>
          <w:r>
            <w:fldChar w:fldCharType="begin"/>
          </w:r>
          <w:r>
            <w:instrText xml:space="preserve"> PAGEREF _Toc141670036 \h </w:instrText>
          </w:r>
          <w:r>
            <w:fldChar w:fldCharType="separate"/>
          </w:r>
          <w:r>
            <w:t>50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"_Toc141670037" </w:instrText>
          </w:r>
          <w:r>
            <w:fldChar w:fldCharType="separate"/>
          </w:r>
          <w:r>
            <w:rPr>
              <w:rStyle w:val="26"/>
              <w:rFonts w:ascii="Times New Roman" w:hAnsi="Times New Roman" w:cs="Times New Roman"/>
              <w:bCs/>
            </w:rPr>
            <w:t>9.2.1 销售收入</w:t>
          </w:r>
          <w:r>
            <w:tab/>
          </w:r>
          <w:r>
            <w:fldChar w:fldCharType="begin"/>
          </w:r>
          <w:r>
            <w:instrText xml:space="preserve"> PAGEREF _Toc141670037 \h </w:instrText>
          </w:r>
          <w:r>
            <w:fldChar w:fldCharType="separate"/>
          </w:r>
          <w:r>
            <w:t>50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"_Toc141670038" </w:instrText>
          </w:r>
          <w:r>
            <w:fldChar w:fldCharType="separate"/>
          </w:r>
          <w:r>
            <w:rPr>
              <w:rStyle w:val="26"/>
              <w:rFonts w:ascii="Times New Roman" w:hAnsi="Times New Roman" w:cs="Times New Roman"/>
              <w:bCs/>
            </w:rPr>
            <w:t>9.2.2税金估算</w:t>
          </w:r>
          <w:r>
            <w:tab/>
          </w:r>
          <w:r>
            <w:fldChar w:fldCharType="begin"/>
          </w:r>
          <w:r>
            <w:instrText xml:space="preserve"> PAGEREF _Toc141670038 \h </w:instrText>
          </w:r>
          <w:r>
            <w:fldChar w:fldCharType="separate"/>
          </w:r>
          <w:r>
            <w:t>50</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"_Toc141670039" </w:instrText>
          </w:r>
          <w:r>
            <w:fldChar w:fldCharType="separate"/>
          </w:r>
          <w:r>
            <w:rPr>
              <w:rStyle w:val="26"/>
              <w:rFonts w:ascii="Times New Roman" w:hAnsi="Times New Roman" w:eastAsia="宋体" w:cs="Times New Roman"/>
            </w:rPr>
            <w:t>9.3 财务分析报表</w:t>
          </w:r>
          <w:r>
            <w:tab/>
          </w:r>
          <w:r>
            <w:fldChar w:fldCharType="begin"/>
          </w:r>
          <w:r>
            <w:instrText xml:space="preserve"> PAGEREF _Toc141670039 \h </w:instrText>
          </w:r>
          <w:r>
            <w:fldChar w:fldCharType="separate"/>
          </w:r>
          <w:r>
            <w:t>51</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"_Toc141670040" </w:instrText>
          </w:r>
          <w:r>
            <w:fldChar w:fldCharType="separate"/>
          </w:r>
          <w:r>
            <w:rPr>
              <w:rStyle w:val="26"/>
              <w:rFonts w:ascii="Times New Roman" w:hAnsi="Times New Roman" w:cs="Times New Roman"/>
              <w:bCs/>
            </w:rPr>
            <w:t>9.3.1税后利润估算及利润分配表</w:t>
          </w:r>
          <w:r>
            <w:tab/>
          </w:r>
          <w:r>
            <w:fldChar w:fldCharType="begin"/>
          </w:r>
          <w:r>
            <w:instrText xml:space="preserve"> PAGEREF _Toc141670040 \h </w:instrText>
          </w:r>
          <w:r>
            <w:fldChar w:fldCharType="separate"/>
          </w:r>
          <w:r>
            <w:t>51</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"_Toc141670041" </w:instrText>
          </w:r>
          <w:r>
            <w:fldChar w:fldCharType="separate"/>
          </w:r>
          <w:r>
            <w:rPr>
              <w:rStyle w:val="26"/>
              <w:rFonts w:ascii="Times New Roman" w:hAnsi="Times New Roman" w:cs="Times New Roman"/>
              <w:bCs/>
            </w:rPr>
            <w:t>9.3.2 财务现金流量表</w:t>
          </w:r>
          <w:r>
            <w:tab/>
          </w:r>
          <w:r>
            <w:fldChar w:fldCharType="begin"/>
          </w:r>
          <w:r>
            <w:instrText xml:space="preserve"> PAGEREF _Toc141670041 \h </w:instrText>
          </w:r>
          <w:r>
            <w:fldChar w:fldCharType="separate"/>
          </w:r>
          <w:r>
            <w:t>52</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"_Toc141670042" </w:instrText>
          </w:r>
          <w:r>
            <w:fldChar w:fldCharType="separate"/>
          </w:r>
          <w:r>
            <w:rPr>
              <w:rStyle w:val="26"/>
              <w:rFonts w:ascii="Times New Roman" w:hAnsi="Times New Roman" w:cs="Times New Roman"/>
              <w:bCs/>
            </w:rPr>
            <w:t>9.3.3 权益投资财务现金流量表</w:t>
          </w:r>
          <w:r>
            <w:tab/>
          </w:r>
          <w:r>
            <w:fldChar w:fldCharType="begin"/>
          </w:r>
          <w:r>
            <w:instrText xml:space="preserve"> PAGEREF _Toc141670042 \h </w:instrText>
          </w:r>
          <w:r>
            <w:fldChar w:fldCharType="separate"/>
          </w:r>
          <w:r>
            <w:t>54</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"_Toc141670043" </w:instrText>
          </w:r>
          <w:r>
            <w:fldChar w:fldCharType="separate"/>
          </w:r>
          <w:r>
            <w:rPr>
              <w:rStyle w:val="26"/>
              <w:rFonts w:ascii="Times New Roman" w:hAnsi="Times New Roman" w:eastAsia="宋体" w:cs="Times New Roman"/>
            </w:rPr>
            <w:t>9.4 财务分析指标</w:t>
          </w:r>
          <w:r>
            <w:tab/>
          </w:r>
          <w:r>
            <w:fldChar w:fldCharType="begin"/>
          </w:r>
          <w:r>
            <w:instrText xml:space="preserve"> PAGEREF _Toc141670043 \h </w:instrText>
          </w:r>
          <w:r>
            <w:fldChar w:fldCharType="separate"/>
          </w:r>
          <w:r>
            <w:t>55</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"_Toc141670044" </w:instrText>
          </w:r>
          <w:r>
            <w:fldChar w:fldCharType="separate"/>
          </w:r>
          <w:r>
            <w:rPr>
              <w:rStyle w:val="26"/>
              <w:rFonts w:ascii="Times New Roman" w:hAnsi="Times New Roman" w:cs="Times New Roman"/>
              <w:bCs/>
            </w:rPr>
            <w:t>9.4.1. 静态指标</w:t>
          </w:r>
          <w:r>
            <w:tab/>
          </w:r>
          <w:r>
            <w:fldChar w:fldCharType="begin"/>
          </w:r>
          <w:r>
            <w:instrText xml:space="preserve"> PAGEREF _Toc141670044 \h </w:instrText>
          </w:r>
          <w:r>
            <w:fldChar w:fldCharType="separate"/>
          </w:r>
          <w:r>
            <w:t>55</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"_Toc141670045" </w:instrText>
          </w:r>
          <w:r>
            <w:fldChar w:fldCharType="separate"/>
          </w:r>
          <w:r>
            <w:rPr>
              <w:rStyle w:val="26"/>
              <w:rFonts w:ascii="Times New Roman" w:hAnsi="Times New Roman" w:cs="Times New Roman"/>
              <w:bCs/>
            </w:rPr>
            <w:t>9.4.2. 动态指标</w:t>
          </w:r>
          <w:r>
            <w:tab/>
          </w:r>
          <w:r>
            <w:fldChar w:fldCharType="begin"/>
          </w:r>
          <w:r>
            <w:instrText xml:space="preserve"> PAGEREF _Toc141670045 \h </w:instrText>
          </w:r>
          <w:r>
            <w:fldChar w:fldCharType="separate"/>
          </w:r>
          <w:r>
            <w:t>56</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"_Toc141670046" </w:instrText>
          </w:r>
          <w:r>
            <w:fldChar w:fldCharType="separate"/>
          </w:r>
          <w:r>
            <w:rPr>
              <w:rStyle w:val="26"/>
              <w:rFonts w:ascii="Times New Roman" w:hAnsi="Times New Roman" w:cs="Times New Roman"/>
              <w:bCs/>
            </w:rPr>
            <w:t>9.4.3. 清偿能力分析</w:t>
          </w:r>
          <w:r>
            <w:tab/>
          </w:r>
          <w:r>
            <w:fldChar w:fldCharType="begin"/>
          </w:r>
          <w:r>
            <w:instrText xml:space="preserve"> PAGEREF _Toc141670046 \h </w:instrText>
          </w:r>
          <w:r>
            <w:fldChar w:fldCharType="separate"/>
          </w:r>
          <w:r>
            <w:t>57</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"_Toc141670047" </w:instrText>
          </w:r>
          <w:r>
            <w:fldChar w:fldCharType="separate"/>
          </w:r>
          <w:r>
            <w:rPr>
              <w:rStyle w:val="26"/>
              <w:rFonts w:ascii="Times New Roman" w:hAnsi="Times New Roman" w:eastAsia="宋体" w:cs="Times New Roman"/>
            </w:rPr>
            <w:t>9.5 不确定性分析</w:t>
          </w:r>
          <w:r>
            <w:tab/>
          </w:r>
          <w:r>
            <w:fldChar w:fldCharType="begin"/>
          </w:r>
          <w:r>
            <w:instrText xml:space="preserve"> PAGEREF _Toc141670047 \h </w:instrText>
          </w:r>
          <w:r>
            <w:fldChar w:fldCharType="separate"/>
          </w:r>
          <w:r>
            <w:t>57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"_Toc141670048" </w:instrText>
          </w:r>
          <w:r>
            <w:fldChar w:fldCharType="separate"/>
          </w:r>
          <w:r>
            <w:rPr>
              <w:rStyle w:val="26"/>
              <w:rFonts w:ascii="Times New Roman" w:hAnsi="Times New Roman" w:cs="Times New Roman"/>
              <w:bCs/>
            </w:rPr>
            <w:t>9.5.1 盈亏平衡点</w:t>
          </w:r>
          <w:r>
            <w:tab/>
          </w:r>
          <w:r>
            <w:fldChar w:fldCharType="begin"/>
          </w:r>
          <w:r>
            <w:instrText xml:space="preserve"> PAGEREF _Toc141670048 \h </w:instrText>
          </w:r>
          <w:r>
            <w:fldChar w:fldCharType="separate"/>
          </w:r>
          <w:r>
            <w:t>57</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"_Toc141670049" </w:instrText>
          </w:r>
          <w:r>
            <w:fldChar w:fldCharType="separate"/>
          </w:r>
          <w:r>
            <w:rPr>
              <w:rStyle w:val="26"/>
              <w:rFonts w:ascii="Times New Roman" w:hAnsi="Times New Roman" w:cs="Times New Roman"/>
              <w:bCs/>
            </w:rPr>
            <w:t>9.5.2 敏感性分析</w:t>
          </w:r>
          <w:r>
            <w:tab/>
          </w:r>
          <w:r>
            <w:fldChar w:fldCharType="begin"/>
          </w:r>
          <w:r>
            <w:instrText xml:space="preserve"> PAGEREF _Toc141670049 \h </w:instrText>
          </w:r>
          <w:r>
            <w:fldChar w:fldCharType="separate"/>
          </w:r>
          <w:r>
            <w:t>58</w:t>
          </w:r>
          <w:r>
            <w:fldChar w:fldCharType="end"/>
          </w:r>
          <w:r>
            <w:fldChar w:fldCharType="end"/>
          </w:r>
        </w:p>
        <w:p>
          <w:pPr>
            <w:pStyle w:val="16"/>
            <w:spacing w:before="156" w:after="156"/>
            <w:rPr>
              <w:rFonts w:hAnsiTheme="minorHAnsi" w:eastAsiaTheme="minorEastAsia" w:cstheme="minorBidi"/>
              <w:b w:val="0"/>
              <w:bCs w:val="0"/>
              <w:caps w:val="0"/>
              <w:color w:val="auto"/>
              <w:kern w:val="2"/>
              <w:szCs w:val="22"/>
            </w:rPr>
          </w:pPr>
          <w:r>
            <w:fldChar w:fldCharType="begin"/>
          </w:r>
          <w:r>
            <w:instrText xml:space="preserve"> HYPERLINK \l "_Toc141670050" </w:instrText>
          </w:r>
          <w:r>
            <w:fldChar w:fldCharType="separate"/>
          </w:r>
          <w:r>
            <w:rPr>
              <w:rStyle w:val="26"/>
              <w:rFonts w:ascii="Times New Roman" w:hAnsi="Times New Roman" w:cs="Times New Roman"/>
            </w:rPr>
            <w:t>第十章 可行性结论与建议</w:t>
          </w:r>
          <w:r>
            <w:tab/>
          </w:r>
          <w:r>
            <w:fldChar w:fldCharType="begin"/>
          </w:r>
          <w:r>
            <w:instrText xml:space="preserve"> PAGEREF _Toc141670050 \h </w:instrText>
          </w:r>
          <w:r>
            <w:fldChar w:fldCharType="separate"/>
          </w:r>
          <w:r>
            <w:t>60</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"_Toc141670051" </w:instrText>
          </w:r>
          <w:r>
            <w:fldChar w:fldCharType="separate"/>
          </w:r>
          <w:r>
            <w:rPr>
              <w:rStyle w:val="26"/>
              <w:rFonts w:ascii="Times New Roman" w:hAnsi="Times New Roman" w:eastAsia="宋体" w:cs="Times New Roman"/>
            </w:rPr>
            <w:t>10.1 项目可行性</w:t>
          </w:r>
          <w:r>
            <w:tab/>
          </w:r>
          <w:r>
            <w:fldChar w:fldCharType="begin"/>
          </w:r>
          <w:r>
            <w:instrText xml:space="preserve"> PAGEREF _Toc141670051 \h </w:instrText>
          </w:r>
          <w:r>
            <w:fldChar w:fldCharType="separate"/>
          </w:r>
          <w:r>
            <w:t>60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"_Toc141670052" </w:instrText>
          </w:r>
          <w:r>
            <w:fldChar w:fldCharType="separate"/>
          </w:r>
          <w:r>
            <w:rPr>
              <w:rStyle w:val="26"/>
              <w:rFonts w:ascii="Times New Roman" w:hAnsi="Times New Roman" w:cs="Times New Roman"/>
            </w:rPr>
            <w:t>10.1.1 工艺可行性</w:t>
          </w:r>
          <w:r>
            <w:tab/>
          </w:r>
          <w:r>
            <w:fldChar w:fldCharType="begin"/>
          </w:r>
          <w:r>
            <w:instrText xml:space="preserve"> PAGEREF _Toc141670052 \h </w:instrText>
          </w:r>
          <w:r>
            <w:fldChar w:fldCharType="separate"/>
          </w:r>
          <w:r>
            <w:t>60</w:t>
          </w:r>
          <w:r>
            <w:fldChar w:fldCharType="end"/>
          </w:r>
          <w:r>
            <w:fldChar w:fldCharType="end"/>
          </w:r>
        </w:p>
        <w:p>
          <w:pPr>
            <w:pStyle w:val="11"/>
            <w:spacing w:before="156" w:after="156"/>
            <w:rPr>
              <w:rFonts w:hAnsiTheme="minorHAnsi" w:eastAsiaTheme="minorEastAsia" w:cstheme="minorBidi"/>
              <w:kern w:val="2"/>
              <w:sz w:val="21"/>
              <w:szCs w:val="22"/>
            </w:rPr>
          </w:pPr>
          <w:r>
            <w:fldChar w:fldCharType="begin"/>
          </w:r>
          <w:r>
            <w:instrText xml:space="preserve"> HYPERLINK \l "_Toc141670053" </w:instrText>
          </w:r>
          <w:r>
            <w:fldChar w:fldCharType="separate"/>
          </w:r>
          <w:r>
            <w:rPr>
              <w:rStyle w:val="26"/>
              <w:rFonts w:ascii="Times New Roman" w:hAnsi="Times New Roman" w:cs="Times New Roman"/>
            </w:rPr>
            <w:t>10.1.2 效益可行性</w:t>
          </w:r>
          <w:r>
            <w:tab/>
          </w:r>
          <w:r>
            <w:fldChar w:fldCharType="begin"/>
          </w:r>
          <w:r>
            <w:instrText xml:space="preserve"> PAGEREF _Toc141670053 \h </w:instrText>
          </w:r>
          <w:r>
            <w:fldChar w:fldCharType="separate"/>
          </w:r>
          <w:r>
            <w:t>60</w:t>
          </w:r>
          <w:r>
            <w:fldChar w:fldCharType="end"/>
          </w:r>
          <w:r>
            <w:fldChar w:fldCharType="end"/>
          </w:r>
        </w:p>
        <w:p>
          <w:pPr>
            <w:pStyle w:val="19"/>
            <w:tabs>
              <w:tab w:val="right" w:leader="dot" w:pos="8296"/>
            </w:tabs>
            <w:spacing w:before="156" w:after="156"/>
            <w:rPr>
              <w:rFonts w:hAnsiTheme="minorHAnsi" w:eastAsiaTheme="minorEastAsia" w:cstheme="minorBidi"/>
              <w:smallCaps w:val="0"/>
              <w:kern w:val="2"/>
              <w:sz w:val="21"/>
              <w:szCs w:val="22"/>
            </w:rPr>
          </w:pPr>
          <w:r>
            <w:fldChar w:fldCharType="begin"/>
          </w:r>
          <w:r>
            <w:instrText xml:space="preserve"> HYPERLINK \l "_Toc141670054" </w:instrText>
          </w:r>
          <w:r>
            <w:fldChar w:fldCharType="separate"/>
          </w:r>
          <w:r>
            <w:rPr>
              <w:rStyle w:val="26"/>
              <w:rFonts w:ascii="Times New Roman" w:hAnsi="Times New Roman" w:eastAsia="宋体" w:cs="Times New Roman"/>
            </w:rPr>
            <w:t>10.2 与社会及环境的和谐发展</w:t>
          </w:r>
          <w:r>
            <w:tab/>
          </w:r>
          <w:r>
            <w:fldChar w:fldCharType="begin"/>
          </w:r>
          <w:r>
            <w:instrText xml:space="preserve"> PAGEREF _Toc141670054 \h </w:instrText>
          </w:r>
          <w:r>
            <w:fldChar w:fldCharType="separate"/>
          </w:r>
          <w:r>
            <w:t>60</w:t>
          </w:r>
          <w:r>
            <w:fldChar w:fldCharType="end"/>
          </w:r>
          <w:r>
            <w:fldChar w:fldCharType="end"/>
          </w:r>
        </w:p>
        <w:p>
          <w:pPr>
            <w:spacing w:before="156" w:after="156"/>
            <w:rPr>
              <w:rFonts w:ascii="宋体" w:hAnsi="宋体"/>
            </w:rPr>
          </w:pPr>
          <w:r>
            <w:rPr>
              <w:rFonts w:ascii="Times New Roman" w:hAnsi="Times New Roman" w:cs="Times New Roman"/>
            </w:rPr>
            <w:fldChar w:fldCharType="end"/>
          </w:r>
        </w:p>
      </w:sdtContent>
    </w:sdt>
    <w:p>
      <w:pPr>
        <w:spacing w:before="156" w:after="156"/>
        <w:rPr>
          <w:rFonts w:ascii="宋体" w:hAnsi="宋体"/>
        </w:rPr>
      </w:pPr>
    </w:p>
    <w:p>
      <w:pPr>
        <w:widowControl/>
        <w:autoSpaceDE/>
        <w:autoSpaceDN/>
        <w:spacing w:before="156" w:after="156"/>
        <w:rPr>
          <w:rFonts w:ascii="宋体" w:hAnsi="宋体"/>
        </w:rPr>
      </w:pPr>
      <w:r>
        <w:rPr>
          <w:rFonts w:ascii="宋体" w:hAnsi="宋体"/>
        </w:rPr>
        <w:br w:type="page"/>
      </w:r>
    </w:p>
    <w:p>
      <w:pPr>
        <w:pStyle w:val="2"/>
        <w:spacing w:before="156" w:after="156"/>
        <w:rPr>
          <w:color w:val="000000" w:themeColor="text1"/>
          <w14:textFill>
            <w14:solidFill>
              <w14:schemeClr w14:val="tx1"/>
            </w14:solidFill>
          </w14:textFill>
        </w:rPr>
      </w:pPr>
      <w:bookmarkStart w:id="1" w:name="_Toc141669955"/>
      <w:r>
        <w:rPr>
          <w:rFonts w:hint="eastAsia" w:eastAsia="宋体"/>
          <w:color w:val="000000" w:themeColor="text1"/>
          <w14:textFill>
            <w14:solidFill>
              <w14:schemeClr w14:val="tx1"/>
            </w14:solidFill>
          </w14:textFill>
        </w:rPr>
        <w:t>概述</w:t>
      </w:r>
      <w:bookmarkEnd w:id="1"/>
    </w:p>
    <w:p>
      <w:pPr>
        <w:spacing w:before="156" w:after="156"/>
        <w:rPr>
          <w:rFonts w:ascii="Times New Roman" w:hAnsi="Times New Roman" w:cs="Times New Roman"/>
        </w:rPr>
      </w:pPr>
    </w:p>
    <w:p>
      <w:pPr>
        <w:pStyle w:val="37"/>
        <w:numPr>
          <w:ilvl w:val="0"/>
          <w:numId w:val="1"/>
        </w:numPr>
        <w:spacing w:before="156" w:after="156"/>
        <w:ind w:firstLineChars="0"/>
        <w:rPr>
          <w:rFonts w:ascii="Times New Roman" w:hAnsi="Times New Roman" w:cs="Times New Roman"/>
          <w:szCs w:val="21"/>
        </w:rPr>
      </w:pPr>
      <w:r>
        <w:rPr>
          <w:rFonts w:hint="eastAsia" w:ascii="Times New Roman" w:hAnsi="Times New Roman" w:cs="Times New Roman"/>
          <w:szCs w:val="21"/>
        </w:rPr>
        <w:t>重庆华峰化工有限</w:t>
      </w:r>
      <w:r>
        <w:rPr>
          <w:rFonts w:ascii="Times New Roman" w:hAnsi="Times New Roman" w:cs="Times New Roman"/>
          <w:szCs w:val="21"/>
        </w:rPr>
        <w:t>公司（以下称“</w:t>
      </w:r>
      <w:r>
        <w:rPr>
          <w:rFonts w:hint="eastAsia" w:ascii="Times New Roman" w:hAnsi="Times New Roman" w:cs="Times New Roman"/>
          <w:szCs w:val="21"/>
        </w:rPr>
        <w:t>华峰化工</w:t>
      </w:r>
      <w:r>
        <w:rPr>
          <w:rFonts w:ascii="Times New Roman" w:hAnsi="Times New Roman" w:cs="Times New Roman"/>
          <w:szCs w:val="21"/>
        </w:rPr>
        <w:t>”）年产7.5万吨己二腈项目的可行性研究报告按照中国石油和化学联合会发布的《化工投资项目可行性研究报告编制方法》（2012年修订版）（中石化联产法[2012]115号）（以下简称“编制办法”）的规定编制完成。</w:t>
      </w:r>
    </w:p>
    <w:p>
      <w:pPr>
        <w:pStyle w:val="37"/>
        <w:numPr>
          <w:ilvl w:val="0"/>
          <w:numId w:val="1"/>
        </w:numPr>
        <w:spacing w:before="156" w:after="156"/>
        <w:ind w:firstLineChars="0"/>
        <w:rPr>
          <w:rFonts w:ascii="Times New Roman" w:hAnsi="Times New Roman" w:cs="Times New Roman"/>
          <w:szCs w:val="21"/>
        </w:rPr>
      </w:pPr>
      <w:r>
        <w:rPr>
          <w:rFonts w:ascii="Times New Roman" w:hAnsi="Times New Roman" w:cs="Times New Roman"/>
          <w:szCs w:val="21"/>
        </w:rPr>
        <w:t>可行性研究是投资项目前期工作的重要内容，是投资决策的重要依据。本可行性研究坚持实事求是，坚持科学、客观和公正的原则，对投资项目的各要素进行认真的、全面的调查和详细的测算分析。</w:t>
      </w:r>
    </w:p>
    <w:p>
      <w:pPr>
        <w:pStyle w:val="37"/>
        <w:numPr>
          <w:ilvl w:val="0"/>
          <w:numId w:val="1"/>
        </w:numPr>
        <w:spacing w:before="156" w:after="156"/>
        <w:ind w:firstLineChars="0"/>
        <w:rPr>
          <w:rFonts w:ascii="Times New Roman" w:hAnsi="Times New Roman" w:cs="Times New Roman"/>
          <w:szCs w:val="21"/>
        </w:rPr>
      </w:pPr>
      <w:r>
        <w:rPr>
          <w:rFonts w:ascii="Times New Roman" w:hAnsi="Times New Roman" w:cs="Times New Roman"/>
          <w:szCs w:val="21"/>
        </w:rPr>
        <w:t>本可行性研究报告符合国家、行业和地方的有关法律、法规和政策，符合投资方有关规定和要求，编制依据充分，附件齐全，数据来源有出处。</w:t>
      </w:r>
    </w:p>
    <w:p>
      <w:pPr>
        <w:pStyle w:val="37"/>
        <w:numPr>
          <w:ilvl w:val="0"/>
          <w:numId w:val="1"/>
        </w:numPr>
        <w:spacing w:before="156" w:after="156"/>
        <w:ind w:firstLineChars="0"/>
        <w:rPr>
          <w:rFonts w:ascii="Times New Roman" w:hAnsi="Times New Roman" w:cs="Times New Roman"/>
          <w:szCs w:val="21"/>
        </w:rPr>
      </w:pPr>
      <w:r>
        <w:rPr>
          <w:rFonts w:ascii="Times New Roman" w:hAnsi="Times New Roman" w:cs="Times New Roman"/>
          <w:szCs w:val="21"/>
        </w:rPr>
        <w:t>本可行性研究报告包括十章正文内容，其中第一章为总论。</w:t>
      </w:r>
    </w:p>
    <w:p>
      <w:pPr>
        <w:pStyle w:val="37"/>
        <w:numPr>
          <w:ilvl w:val="0"/>
          <w:numId w:val="1"/>
        </w:numPr>
        <w:spacing w:before="156" w:after="156"/>
        <w:ind w:firstLineChars="0"/>
        <w:rPr>
          <w:rFonts w:ascii="Times New Roman" w:hAnsi="Times New Roman" w:cs="Times New Roman"/>
          <w:szCs w:val="21"/>
        </w:rPr>
      </w:pPr>
      <w:r>
        <w:rPr>
          <w:rFonts w:ascii="Times New Roman" w:hAnsi="Times New Roman" w:cs="Times New Roman"/>
          <w:szCs w:val="21"/>
        </w:rPr>
        <w:t>本可行性研究以市场为导向，以经济效益为中心，最大限度优化方案，提高投资效益，作出实事求是的结论性意见。本报告全面反映研究过程的不同意见和存在的主要问题， 以确保本项目可行性研究的科学性和严肃性。</w:t>
      </w:r>
    </w:p>
    <w:p>
      <w:pPr>
        <w:pStyle w:val="37"/>
        <w:numPr>
          <w:ilvl w:val="0"/>
          <w:numId w:val="1"/>
        </w:numPr>
        <w:spacing w:before="156" w:after="156"/>
        <w:ind w:firstLineChars="0"/>
        <w:rPr>
          <w:rFonts w:ascii="Times New Roman" w:hAnsi="Times New Roman" w:cs="Times New Roman"/>
          <w:szCs w:val="21"/>
        </w:rPr>
      </w:pPr>
      <w:r>
        <w:rPr>
          <w:rFonts w:ascii="Times New Roman" w:hAnsi="Times New Roman" w:cs="Times New Roman"/>
          <w:szCs w:val="21"/>
        </w:rPr>
        <w:t>本可行性研究报告中的财务分析，按照国家有关《投资项目经济评价方法》的规定和行业有关规定进行编制。</w:t>
      </w:r>
    </w:p>
    <w:p>
      <w:pPr>
        <w:pStyle w:val="37"/>
        <w:numPr>
          <w:ilvl w:val="0"/>
          <w:numId w:val="1"/>
        </w:numPr>
        <w:spacing w:before="156" w:after="156"/>
        <w:ind w:firstLineChars="0"/>
        <w:rPr>
          <w:rFonts w:ascii="Times New Roman" w:hAnsi="Times New Roman" w:cs="Times New Roman"/>
          <w:szCs w:val="21"/>
        </w:rPr>
      </w:pPr>
      <w:r>
        <w:rPr>
          <w:rFonts w:ascii="Times New Roman" w:hAnsi="Times New Roman" w:cs="Times New Roman"/>
          <w:szCs w:val="21"/>
        </w:rPr>
        <w:t>本可行性研究报告的投资估算，按照行业有关《投资项目可行性研究投资估算编制办法》的规定编制。</w:t>
      </w:r>
    </w:p>
    <w:p>
      <w:pPr>
        <w:widowControl/>
        <w:autoSpaceDE/>
        <w:autoSpaceDN/>
        <w:spacing w:before="156" w:after="156"/>
        <w:rPr>
          <w:rFonts w:ascii="宋体" w:hAnsi="宋体"/>
          <w:szCs w:val="21"/>
        </w:rPr>
      </w:pPr>
      <w:r>
        <w:rPr>
          <w:rFonts w:ascii="宋体" w:hAnsi="宋体"/>
          <w:szCs w:val="21"/>
        </w:rPr>
        <w:br w:type="page"/>
      </w:r>
    </w:p>
    <w:p>
      <w:pPr>
        <w:pStyle w:val="2"/>
        <w:spacing w:before="156" w:after="156"/>
        <w:rPr>
          <w:rFonts w:eastAsia="宋体"/>
          <w:color w:val="000000" w:themeColor="text1"/>
          <w14:textFill>
            <w14:solidFill>
              <w14:schemeClr w14:val="tx1"/>
            </w14:solidFill>
          </w14:textFill>
        </w:rPr>
      </w:pPr>
      <w:bookmarkStart w:id="2" w:name="_Toc141669956"/>
      <w:r>
        <w:rPr>
          <w:rFonts w:hint="eastAsia" w:eastAsia="宋体"/>
          <w:color w:val="000000" w:themeColor="text1"/>
          <w14:textFill>
            <w14:solidFill>
              <w14:schemeClr w14:val="tx1"/>
            </w14:solidFill>
          </w14:textFill>
        </w:rPr>
        <w:t>第一章 项目总论</w:t>
      </w:r>
      <w:bookmarkEnd w:id="2"/>
    </w:p>
    <w:p>
      <w:pPr>
        <w:pStyle w:val="3"/>
        <w:spacing w:before="156" w:after="156"/>
        <w:rPr>
          <w:rFonts w:ascii="Times New Roman" w:hAnsi="Times New Roman" w:eastAsia="宋体" w:cs="Times New Roman"/>
        </w:rPr>
      </w:pPr>
      <w:bookmarkStart w:id="3" w:name="_Toc141669957"/>
      <w:r>
        <w:rPr>
          <w:rFonts w:ascii="Times New Roman" w:hAnsi="Times New Roman" w:eastAsia="宋体" w:cs="Times New Roman"/>
        </w:rPr>
        <w:t>1.1 项目概述</w:t>
      </w:r>
      <w:bookmarkEnd w:id="3"/>
    </w:p>
    <w:p>
      <w:pPr>
        <w:pStyle w:val="4"/>
        <w:spacing w:before="156" w:after="156"/>
        <w:rPr>
          <w:rFonts w:ascii="Times New Roman" w:hAnsi="Times New Roman" w:eastAsia="宋体" w:cs="Times New Roman"/>
        </w:rPr>
      </w:pPr>
      <w:bookmarkStart w:id="4" w:name="_Toc141669958"/>
      <w:r>
        <w:rPr>
          <w:rFonts w:ascii="Times New Roman" w:hAnsi="Times New Roman" w:eastAsia="宋体" w:cs="Times New Roman"/>
        </w:rPr>
        <w:t>1.1.1 项目介绍</w:t>
      </w:r>
      <w:bookmarkEnd w:id="4"/>
    </w:p>
    <w:p>
      <w:pPr>
        <w:pStyle w:val="37"/>
        <w:numPr>
          <w:ilvl w:val="0"/>
          <w:numId w:val="2"/>
        </w:numPr>
        <w:spacing w:before="156" w:after="156"/>
        <w:ind w:firstLineChars="0"/>
        <w:rPr>
          <w:rFonts w:ascii="Times New Roman" w:hAnsi="Times New Roman" w:cs="Times New Roman"/>
        </w:rPr>
      </w:pPr>
      <w:r>
        <w:rPr>
          <w:rFonts w:ascii="Times New Roman" w:hAnsi="Times New Roman" w:cs="Times New Roman"/>
        </w:rPr>
        <w:t>项目名称：</w:t>
      </w:r>
      <w:r>
        <w:rPr>
          <w:rFonts w:hint="eastAsia" w:ascii="Times New Roman" w:hAnsi="Times New Roman" w:cs="Times New Roman"/>
        </w:rPr>
        <w:t>重庆华峰化工有限</w:t>
      </w:r>
      <w:r>
        <w:rPr>
          <w:rFonts w:ascii="Times New Roman" w:hAnsi="Times New Roman" w:cs="Times New Roman"/>
        </w:rPr>
        <w:t>公司年产10.5万吨己二腈项目</w:t>
      </w:r>
    </w:p>
    <w:p>
      <w:pPr>
        <w:pStyle w:val="37"/>
        <w:numPr>
          <w:ilvl w:val="0"/>
          <w:numId w:val="2"/>
        </w:numPr>
        <w:spacing w:before="156" w:after="156"/>
        <w:ind w:firstLineChars="0"/>
        <w:rPr>
          <w:rFonts w:ascii="Times New Roman" w:hAnsi="Times New Roman" w:cs="Times New Roman"/>
        </w:rPr>
      </w:pPr>
      <w:r>
        <w:rPr>
          <w:rFonts w:ascii="Times New Roman" w:hAnsi="Times New Roman" w:cs="Times New Roman"/>
        </w:rPr>
        <w:t>主办单位名称：</w:t>
      </w:r>
      <w:r>
        <w:rPr>
          <w:rFonts w:hint="eastAsia" w:ascii="Times New Roman" w:hAnsi="Times New Roman" w:cs="Times New Roman"/>
        </w:rPr>
        <w:t>重庆华峰化工有限</w:t>
      </w:r>
      <w:r>
        <w:rPr>
          <w:rFonts w:ascii="Times New Roman" w:hAnsi="Times New Roman" w:cs="Times New Roman"/>
        </w:rPr>
        <w:t>公司（简称 “</w:t>
      </w:r>
      <w:r>
        <w:rPr>
          <w:rFonts w:hint="eastAsia" w:ascii="Times New Roman" w:hAnsi="Times New Roman" w:cs="Times New Roman"/>
        </w:rPr>
        <w:t>华峰化工</w:t>
      </w:r>
      <w:r>
        <w:rPr>
          <w:rFonts w:ascii="Times New Roman" w:hAnsi="Times New Roman" w:cs="Times New Roman"/>
        </w:rPr>
        <w:t>”）</w:t>
      </w:r>
    </w:p>
    <w:p>
      <w:pPr>
        <w:pStyle w:val="37"/>
        <w:numPr>
          <w:ilvl w:val="0"/>
          <w:numId w:val="2"/>
        </w:numPr>
        <w:spacing w:before="156" w:after="156"/>
        <w:ind w:firstLineChars="0"/>
        <w:rPr>
          <w:rFonts w:ascii="Times New Roman" w:hAnsi="Times New Roman" w:cs="Times New Roman"/>
        </w:rPr>
      </w:pPr>
      <w:r>
        <w:rPr>
          <w:rFonts w:ascii="Times New Roman" w:hAnsi="Times New Roman" w:cs="Times New Roman"/>
        </w:rPr>
        <w:t>企业性质：有限责任公司</w:t>
      </w:r>
    </w:p>
    <w:p>
      <w:pPr>
        <w:pStyle w:val="37"/>
        <w:numPr>
          <w:ilvl w:val="0"/>
          <w:numId w:val="2"/>
        </w:numPr>
        <w:spacing w:before="156" w:after="156"/>
        <w:ind w:firstLineChars="0"/>
        <w:rPr>
          <w:rFonts w:ascii="Times New Roman" w:hAnsi="Times New Roman" w:cs="Times New Roman"/>
        </w:rPr>
      </w:pPr>
      <w:r>
        <w:rPr>
          <w:rFonts w:ascii="Times New Roman" w:hAnsi="Times New Roman" w:cs="Times New Roman"/>
        </w:rPr>
        <w:t>投资项目性质及类型：企业分厂</w:t>
      </w:r>
    </w:p>
    <w:p>
      <w:pPr>
        <w:widowControl/>
        <w:autoSpaceDE/>
        <w:autoSpaceDN/>
        <w:spacing w:before="0" w:beforeLines="0" w:after="0" w:afterLines="0"/>
        <w:rPr>
          <w:rFonts w:ascii="等线" w:hAnsi="等线" w:eastAsia="等线" w:cs="宋体"/>
          <w:color w:val="000000"/>
          <w:sz w:val="22"/>
        </w:rPr>
      </w:pPr>
      <w:r>
        <w:rPr>
          <w:rFonts w:ascii="Times New Roman" w:hAnsi="Times New Roman" w:cs="Times New Roman"/>
        </w:rPr>
        <w:t>项目建设内容、规模、目标：本项目根据现有生产技术，将技术提升达到《中国制</w:t>
      </w:r>
      <w:r>
        <w:rPr>
          <w:rFonts w:hint="eastAsia" w:ascii="Times New Roman" w:hAnsi="Times New Roman" w:cs="Times New Roman"/>
        </w:rPr>
        <w:t>造</w:t>
      </w:r>
      <w:r>
        <w:rPr>
          <w:rFonts w:ascii="Times New Roman" w:hAnsi="Times New Roman" w:cs="Times New Roman"/>
        </w:rPr>
        <w:t>2025》中提出的绿色发展 2025 年指标，为</w:t>
      </w:r>
      <w:r>
        <w:rPr>
          <w:rFonts w:hint="eastAsia" w:ascii="Times New Roman" w:hAnsi="Times New Roman" w:cs="Times New Roman"/>
        </w:rPr>
        <w:t>华峰集团有限</w:t>
      </w:r>
      <w:r>
        <w:rPr>
          <w:rFonts w:ascii="Times New Roman" w:hAnsi="Times New Roman" w:cs="Times New Roman"/>
        </w:rPr>
        <w:t>公司设计一座利用</w:t>
      </w:r>
      <w:r>
        <w:rPr>
          <w:rFonts w:hint="eastAsia" w:ascii="Times New Roman" w:hAnsi="Times New Roman" w:cs="Times New Roman"/>
        </w:rPr>
        <w:t>己二酸</w:t>
      </w:r>
      <w:r>
        <w:rPr>
          <w:rFonts w:ascii="Times New Roman" w:hAnsi="Times New Roman" w:cs="Times New Roman"/>
        </w:rPr>
        <w:t>法合成己二腈的生产分厂，年产</w:t>
      </w:r>
      <w:r>
        <w:rPr>
          <w:rFonts w:hint="eastAsia" w:ascii="Times New Roman" w:hAnsi="Times New Roman" w:cs="Times New Roman"/>
        </w:rPr>
        <w:t>1</w:t>
      </w:r>
      <w:r>
        <w:rPr>
          <w:rFonts w:ascii="Times New Roman" w:hAnsi="Times New Roman" w:cs="Times New Roman"/>
        </w:rPr>
        <w:t>0.5万吨99.99%己二腈，项目预期总投资为</w:t>
      </w:r>
      <w:r>
        <w:rPr>
          <w:rFonts w:hint="eastAsia" w:ascii="Times New Roman" w:hAnsi="Times New Roman" w:cs="Times New Roman"/>
        </w:rPr>
        <w:t>17435.57</w:t>
      </w:r>
      <w:r>
        <w:rPr>
          <w:rFonts w:ascii="Times New Roman" w:hAnsi="Times New Roman" w:cs="Times New Roman"/>
        </w:rPr>
        <w:t>万元。</w:t>
      </w:r>
    </w:p>
    <w:p>
      <w:pPr>
        <w:pStyle w:val="37"/>
        <w:numPr>
          <w:ilvl w:val="0"/>
          <w:numId w:val="2"/>
        </w:numPr>
        <w:spacing w:before="156" w:after="156"/>
        <w:ind w:firstLineChars="0"/>
        <w:rPr>
          <w:rFonts w:ascii="Times New Roman" w:hAnsi="Times New Roman" w:cs="Times New Roman"/>
        </w:rPr>
      </w:pPr>
      <w:r>
        <w:rPr>
          <w:rFonts w:ascii="Times New Roman" w:hAnsi="Times New Roman" w:cs="Times New Roman"/>
        </w:rPr>
        <w:t>项目建设地点：</w:t>
      </w:r>
      <w:r>
        <w:rPr>
          <w:rFonts w:hint="eastAsia" w:ascii="Times New Roman" w:hAnsi="Times New Roman" w:cs="Times New Roman"/>
        </w:rPr>
        <w:t>重庆涪陵白涛工业园区</w:t>
      </w:r>
    </w:p>
    <w:p>
      <w:pPr>
        <w:pStyle w:val="4"/>
        <w:spacing w:before="156" w:after="156"/>
        <w:rPr>
          <w:rFonts w:ascii="Times New Roman" w:hAnsi="Times New Roman" w:eastAsia="宋体" w:cs="Times New Roman"/>
        </w:rPr>
      </w:pPr>
      <w:bookmarkStart w:id="5" w:name="_Toc141669959"/>
      <w:r>
        <w:rPr>
          <w:rFonts w:ascii="Times New Roman" w:hAnsi="Times New Roman" w:eastAsia="宋体" w:cs="Times New Roman"/>
        </w:rPr>
        <w:t>1.1.2 项目背景及投资必要性</w:t>
      </w:r>
      <w:bookmarkEnd w:id="5"/>
    </w:p>
    <w:p>
      <w:pPr>
        <w:spacing w:before="156" w:after="156"/>
        <w:ind w:firstLine="420" w:firstLineChars="200"/>
        <w:rPr>
          <w:rFonts w:ascii="Times New Roman" w:hAnsi="Times New Roman" w:cs="Times New Roman"/>
          <w:color w:val="333333"/>
          <w:szCs w:val="21"/>
          <w:shd w:val="clear" w:color="auto" w:fill="FFFFFF"/>
        </w:rPr>
      </w:pPr>
      <w:bookmarkStart w:id="6" w:name="_Hlk139550974"/>
      <w:r>
        <w:rPr>
          <w:rFonts w:ascii="Times New Roman" w:hAnsi="Times New Roman" w:cs="Times New Roman"/>
        </w:rPr>
        <w:t>己二腈，英文名称为1,4-Dicyanobutane，简称为AND。己二腈在常温常压下</w:t>
      </w:r>
      <w:r>
        <w:rPr>
          <w:rFonts w:ascii="Times New Roman" w:hAnsi="Times New Roman" w:cs="Times New Roman"/>
          <w:color w:val="333333"/>
          <w:szCs w:val="21"/>
          <w:shd w:val="clear" w:color="auto" w:fill="FFFFFF"/>
        </w:rPr>
        <w:t>为无色油状液体，有轻微苦味。 溶于甲醇、乙醇、氯仿。难溶于水、环己烷、乙醚、二硫化碳和四氯化碳。己二腈易燃，有毒性和腐蚀性，遇高温分解生成一氧化氮、二氧化氮等有毒气体。与氧化剂可发生反应</w:t>
      </w:r>
      <w:r>
        <w:rPr>
          <w:rFonts w:hint="eastAsia" w:ascii="Times New Roman" w:hAnsi="Times New Roman" w:cs="Times New Roman"/>
          <w:color w:val="333333"/>
          <w:szCs w:val="21"/>
          <w:shd w:val="clear" w:color="auto" w:fill="FFFFFF"/>
        </w:rPr>
        <w:t>。</w:t>
      </w:r>
    </w:p>
    <w:bookmarkEnd w:id="6"/>
    <w:p>
      <w:pPr>
        <w:spacing w:before="156" w:after="156"/>
        <w:ind w:firstLine="420" w:firstLineChars="200"/>
        <w:rPr>
          <w:rFonts w:ascii="Times New Roman" w:hAnsi="Times New Roman" w:cs="Times New Roman"/>
        </w:rPr>
      </w:pPr>
      <w:bookmarkStart w:id="7" w:name="_Hlk139551005"/>
      <w:r>
        <w:rPr>
          <w:rFonts w:ascii="Times New Roman" w:hAnsi="Times New Roman" w:cs="Times New Roman"/>
        </w:rPr>
        <w:t>己二腈是重要的化工生产中间体，主要用于尼龙</w:t>
      </w:r>
      <w:r>
        <w:rPr>
          <w:rFonts w:hint="eastAsia" w:ascii="Times New Roman" w:hAnsi="Times New Roman" w:cs="Times New Roman"/>
        </w:rPr>
        <w:t>6</w:t>
      </w:r>
      <w:r>
        <w:rPr>
          <w:rFonts w:ascii="Times New Roman" w:hAnsi="Times New Roman" w:cs="Times New Roman"/>
        </w:rPr>
        <w:t>6的生产，该用途约占全球全年己二腈产量的</w:t>
      </w:r>
      <w:r>
        <w:rPr>
          <w:rFonts w:hint="eastAsia" w:ascii="Times New Roman" w:hAnsi="Times New Roman" w:cs="Times New Roman"/>
        </w:rPr>
        <w:t>9</w:t>
      </w:r>
      <w:r>
        <w:rPr>
          <w:rFonts w:ascii="Times New Roman" w:hAnsi="Times New Roman" w:cs="Times New Roman"/>
        </w:rPr>
        <w:t>0％，而尼龙66在新能源汽车、芯片等领域发挥重要作用。</w:t>
      </w:r>
      <w:bookmarkEnd w:id="7"/>
      <w:r>
        <w:rPr>
          <w:rFonts w:ascii="Times New Roman" w:hAnsi="Times New Roman" w:cs="Times New Roman"/>
        </w:rPr>
        <w:t>近两年我国的新能源汽车和芯片领域发展迅速，也带动了上游原材料己二腈的生产需求。目前我国己二腈有效产能为零，对己二腈的需求全部依靠进口，不仅存在成本高、订货周期长、运输困难的问题，供应也受控于国外公司，严重制约我国相关产业的发展和产品竞争力。因此，开发大规模、环保的己二腈生产项目具有很高的创新意义和市场价值</w:t>
      </w:r>
      <w:r>
        <w:rPr>
          <w:rFonts w:hint="eastAsia" w:ascii="Times New Roman" w:hAnsi="Times New Roman" w:cs="Times New Roman"/>
        </w:rPr>
        <w:t>。</w:t>
      </w:r>
    </w:p>
    <w:p>
      <w:pPr>
        <w:spacing w:before="156" w:after="156"/>
        <w:ind w:firstLine="420" w:firstLineChars="200"/>
        <w:rPr>
          <w:rFonts w:ascii="Times New Roman" w:hAnsi="Times New Roman" w:cs="Times New Roman"/>
        </w:rPr>
      </w:pPr>
      <w:r>
        <w:rPr>
          <w:rFonts w:ascii="Times New Roman" w:hAnsi="Times New Roman" w:cs="Times New Roman"/>
        </w:rPr>
        <w:t>目前，全球己二腈生产技术路线主要有5种：己二酸催化氨化法、丙烯腈电解二聚法、丙烯腈催化二聚法、丁二烯直接氰化法和己内酰胺法。这五条路线中，己内酰胺法由于原料稀缺，目前并没有投入大量工业生产中，只有小部分日本公司使用该工艺；丙烯腈催化法面对原料剧毒、副产物难分离的缺点</w:t>
      </w:r>
      <w:r>
        <w:rPr>
          <w:rFonts w:hint="eastAsia" w:ascii="Times New Roman" w:hAnsi="Times New Roman" w:cs="Times New Roman"/>
        </w:rPr>
        <w:t>，丁二烯直接氰化法具有原料毒性大，</w:t>
      </w:r>
      <w:r>
        <w:rPr>
          <w:rFonts w:ascii="Times New Roman" w:hAnsi="Times New Roman" w:cs="Times New Roman"/>
        </w:rPr>
        <w:t>阻碍了催化剂及回收方法的研究及发展</w:t>
      </w:r>
      <w:r>
        <w:rPr>
          <w:rFonts w:hint="eastAsia" w:ascii="Times New Roman" w:hAnsi="Times New Roman" w:cs="Times New Roman"/>
        </w:rPr>
        <w:t>，且反应过程需要高压高温条件下进行，</w:t>
      </w:r>
      <w:bookmarkStart w:id="8" w:name="_Hlk139194093"/>
      <w:r>
        <w:rPr>
          <w:rFonts w:hint="eastAsia" w:ascii="Times New Roman" w:hAnsi="Times New Roman" w:cs="Times New Roman"/>
        </w:rPr>
        <w:t>对生产设备、操作、管理有极高要求</w:t>
      </w:r>
      <w:bookmarkEnd w:id="8"/>
      <w:r>
        <w:rPr>
          <w:rFonts w:hint="eastAsia" w:ascii="Times New Roman" w:hAnsi="Times New Roman" w:cs="Times New Roman"/>
        </w:rPr>
        <w:t>的缺点；己二酸催化氨化法需着重减缓高温结焦和延长操作周期，但</w:t>
      </w:r>
      <w:bookmarkStart w:id="9" w:name="_Hlk139194485"/>
      <w:r>
        <w:rPr>
          <w:rFonts w:hint="eastAsia" w:ascii="Times New Roman" w:hAnsi="Times New Roman" w:cs="Times New Roman"/>
        </w:rPr>
        <w:t>市场上己二酸供求关系的变化，己二酸氨化法生产己二腈的原料成本大幅降低，使得该生产工艺又具有了经济性优势</w:t>
      </w:r>
      <w:bookmarkEnd w:id="9"/>
      <w:r>
        <w:rPr>
          <w:rFonts w:ascii="Times New Roman" w:hAnsi="Times New Roman" w:cs="Times New Roman"/>
        </w:rPr>
        <w:t>。因此从绿色化学的原则出发，为推进资源利用率最大化，我们选择</w:t>
      </w:r>
      <w:r>
        <w:rPr>
          <w:rFonts w:hint="eastAsia" w:ascii="Times New Roman" w:hAnsi="Times New Roman" w:cs="Times New Roman"/>
        </w:rPr>
        <w:t>己二酸催化氨化</w:t>
      </w:r>
      <w:r>
        <w:rPr>
          <w:rFonts w:ascii="Times New Roman" w:hAnsi="Times New Roman" w:cs="Times New Roman"/>
        </w:rPr>
        <w:t>法</w:t>
      </w:r>
      <w:r>
        <w:rPr>
          <w:rFonts w:hint="eastAsia" w:ascii="Times New Roman" w:hAnsi="Times New Roman" w:cs="Times New Roman"/>
        </w:rPr>
        <w:t>。</w:t>
      </w:r>
    </w:p>
    <w:p>
      <w:pPr>
        <w:spacing w:before="156" w:after="156"/>
        <w:ind w:firstLine="420" w:firstLineChars="200"/>
        <w:rPr>
          <w:rFonts w:ascii="Times New Roman" w:hAnsi="Times New Roman" w:cs="Times New Roman"/>
        </w:rPr>
      </w:pPr>
      <w:r>
        <w:rPr>
          <w:rFonts w:ascii="Times New Roman" w:hAnsi="Times New Roman" w:cs="Times New Roman"/>
        </w:rPr>
        <w:t>本项目以</w:t>
      </w:r>
      <w:r>
        <w:rPr>
          <w:rFonts w:hint="eastAsia" w:ascii="Times New Roman" w:hAnsi="Times New Roman" w:cs="Times New Roman"/>
        </w:rPr>
        <w:t>重庆华峰化工</w:t>
      </w:r>
      <w:r>
        <w:rPr>
          <w:rFonts w:ascii="Times New Roman" w:hAnsi="Times New Roman" w:cs="Times New Roman"/>
        </w:rPr>
        <w:t>有限公司作为原料供应商，以</w:t>
      </w:r>
      <w:r>
        <w:rPr>
          <w:rFonts w:hint="eastAsia" w:ascii="Times New Roman" w:hAnsi="Times New Roman" w:cs="Times New Roman"/>
        </w:rPr>
        <w:t>己二酸和氨气</w:t>
      </w:r>
      <w:r>
        <w:rPr>
          <w:rFonts w:ascii="Times New Roman" w:hAnsi="Times New Roman" w:cs="Times New Roman"/>
        </w:rPr>
        <w:t>为主要原料，采用</w:t>
      </w:r>
      <w:r>
        <w:rPr>
          <w:rFonts w:hint="eastAsia" w:ascii="Times New Roman" w:hAnsi="Times New Roman" w:cs="Times New Roman"/>
        </w:rPr>
        <w:t>己二酸催化氨化</w:t>
      </w:r>
      <w:r>
        <w:rPr>
          <w:rFonts w:ascii="Times New Roman" w:hAnsi="Times New Roman" w:cs="Times New Roman"/>
        </w:rPr>
        <w:t>工艺生产纯度达99.99%的己二腈，将技术提升达到《中国制造 2025》中提出的绿色发展 2025 年指标。该项目可充分利用</w:t>
      </w:r>
      <w:r>
        <w:rPr>
          <w:rFonts w:hint="eastAsia" w:ascii="Times New Roman" w:hAnsi="Times New Roman" w:cs="Times New Roman"/>
        </w:rPr>
        <w:t>己二酸</w:t>
      </w:r>
      <w:r>
        <w:rPr>
          <w:rFonts w:ascii="Times New Roman" w:hAnsi="Times New Roman" w:cs="Times New Roman"/>
        </w:rPr>
        <w:t>资源，进一步扩大</w:t>
      </w:r>
      <w:r>
        <w:rPr>
          <w:rFonts w:hint="eastAsia" w:ascii="Times New Roman" w:hAnsi="Times New Roman" w:cs="Times New Roman"/>
        </w:rPr>
        <w:t>尼龙6</w:t>
      </w:r>
      <w:r>
        <w:rPr>
          <w:rFonts w:ascii="Times New Roman" w:hAnsi="Times New Roman" w:cs="Times New Roman"/>
        </w:rPr>
        <w:t>6的产业链，面向国内市场和国际市场供应己二腈且达到较好的收益效果。</w:t>
      </w:r>
    </w:p>
    <w:p>
      <w:pPr>
        <w:pStyle w:val="3"/>
        <w:spacing w:before="156" w:after="156"/>
        <w:rPr>
          <w:rFonts w:ascii="Times New Roman" w:hAnsi="Times New Roman" w:eastAsia="宋体" w:cs="Times New Roman"/>
        </w:rPr>
      </w:pPr>
      <w:bookmarkStart w:id="10" w:name="_Toc141669960"/>
      <w:r>
        <w:rPr>
          <w:rFonts w:ascii="Times New Roman" w:hAnsi="Times New Roman" w:eastAsia="宋体" w:cs="Times New Roman"/>
        </w:rPr>
        <w:t>1.2 可行性研究编制的依据和原则</w:t>
      </w:r>
      <w:bookmarkEnd w:id="10"/>
    </w:p>
    <w:p>
      <w:pPr>
        <w:pStyle w:val="4"/>
        <w:spacing w:before="156" w:after="156"/>
        <w:rPr>
          <w:rFonts w:ascii="Times New Roman" w:hAnsi="Times New Roman" w:eastAsia="宋体" w:cs="Times New Roman"/>
        </w:rPr>
      </w:pPr>
      <w:bookmarkStart w:id="11" w:name="_Toc141669961"/>
      <w:r>
        <w:rPr>
          <w:rFonts w:ascii="Times New Roman" w:hAnsi="Times New Roman" w:eastAsia="宋体" w:cs="Times New Roman"/>
        </w:rPr>
        <w:t>1.2.1 编制依据</w:t>
      </w:r>
      <w:bookmarkEnd w:id="11"/>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《中国制造 2025》；</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《中华人民共和国环境保护法》和《中华人民共和国劳动安全法》等相关国家法律法规；</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《产业结构调整指导目录（2019年本）》（修正）；</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国家和地方税收、建设等有关法律、法规；</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《中华人民共和国国民经济和社会发展第十四个五年规划纲要》；</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中国石油和化学工业协会文件中石化协产发（2012）115 号“关于印发《化工投资项目可行性研究报告编制方法》、《化工投资项目申请报告编制办法》和《化工投资项目资金申请报告编制办法》（2012 修订版）的通知”；</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《化工工厂初步设计文件内容深度规定》(HG/T20688-2000)及有关专业国家标准；</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《2023 “天正设计杯”第十七届全国大学生化工设计竞赛设计任务书》；</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《“十四五”工业绿色发展规划》</w:t>
      </w:r>
    </w:p>
    <w:p>
      <w:pPr>
        <w:pStyle w:val="37"/>
        <w:numPr>
          <w:ilvl w:val="0"/>
          <w:numId w:val="3"/>
        </w:numPr>
        <w:spacing w:before="156" w:after="156"/>
        <w:ind w:firstLineChars="0"/>
        <w:rPr>
          <w:rFonts w:ascii="Times New Roman" w:hAnsi="Times New Roman" w:cs="Times New Roman"/>
        </w:rPr>
      </w:pPr>
      <w:r>
        <w:rPr>
          <w:rFonts w:ascii="Times New Roman" w:hAnsi="Times New Roman" w:cs="Times New Roman"/>
        </w:rPr>
        <w:t>《西部地区鼓励类产业目录(2020年本)》</w:t>
      </w:r>
    </w:p>
    <w:p>
      <w:pPr>
        <w:pStyle w:val="37"/>
        <w:numPr>
          <w:ilvl w:val="0"/>
          <w:numId w:val="3"/>
        </w:numPr>
        <w:spacing w:before="156" w:after="156"/>
        <w:ind w:firstLineChars="0"/>
        <w:rPr>
          <w:rFonts w:ascii="Times New Roman" w:hAnsi="Times New Roman" w:cs="Times New Roman"/>
        </w:rPr>
      </w:pPr>
      <w:bookmarkStart w:id="12" w:name="_Hlk139874667"/>
      <w:r>
        <w:rPr>
          <w:rFonts w:hint="eastAsia" w:ascii="Times New Roman" w:hAnsi="Times New Roman" w:cs="Times New Roman"/>
        </w:rPr>
        <w:t>《重庆市涪陵区国民经济和社会发展第十四个五年规划和二〇三五年远景目标纲要》</w:t>
      </w:r>
    </w:p>
    <w:bookmarkEnd w:id="12"/>
    <w:p>
      <w:pPr>
        <w:pStyle w:val="37"/>
        <w:numPr>
          <w:ilvl w:val="0"/>
          <w:numId w:val="3"/>
        </w:numPr>
        <w:spacing w:before="156" w:after="156"/>
        <w:ind w:firstLineChars="0"/>
        <w:rPr>
          <w:rFonts w:ascii="Times New Roman" w:hAnsi="Times New Roman" w:cs="Times New Roman"/>
        </w:rPr>
      </w:pPr>
      <w:bookmarkStart w:id="13" w:name="_Hlk139874714"/>
      <w:r>
        <w:rPr>
          <w:rFonts w:hint="eastAsia" w:ascii="Times New Roman" w:hAnsi="Times New Roman" w:cs="Times New Roman"/>
        </w:rPr>
        <w:t>《涪陵区“十四五”能源发展规划》</w:t>
      </w:r>
    </w:p>
    <w:bookmarkEnd w:id="13"/>
    <w:p>
      <w:pPr>
        <w:pStyle w:val="4"/>
        <w:spacing w:before="156" w:after="156"/>
        <w:rPr>
          <w:rFonts w:ascii="Times New Roman" w:hAnsi="Times New Roman" w:eastAsia="宋体" w:cs="Times New Roman"/>
        </w:rPr>
      </w:pPr>
      <w:bookmarkStart w:id="14" w:name="_Toc141669962"/>
      <w:r>
        <w:rPr>
          <w:rFonts w:ascii="Times New Roman" w:hAnsi="Times New Roman" w:eastAsia="宋体" w:cs="Times New Roman"/>
        </w:rPr>
        <w:t>1.2.2 设计标准</w:t>
      </w:r>
      <w:bookmarkEnd w:id="14"/>
    </w:p>
    <w:p>
      <w:pPr>
        <w:spacing w:before="156" w:after="156"/>
        <w:jc w:val="distribute"/>
        <w:rPr>
          <w:rFonts w:ascii="Times New Roman" w:hAnsi="Times New Roman" w:cs="Times New Roman"/>
        </w:rPr>
      </w:pPr>
      <w:r>
        <w:rPr>
          <w:rFonts w:ascii="Times New Roman" w:hAnsi="Times New Roman" w:cs="Times New Roman"/>
        </w:rPr>
        <w:t>《工业企业设计卫生标准》</w:t>
      </w:r>
      <w:r>
        <w:rPr>
          <w:rFonts w:ascii="Times New Roman" w:hAnsi="Times New Roman" w:cs="Times New Roman"/>
        </w:rPr>
        <w:tab/>
      </w:r>
      <w:r>
        <w:rPr>
          <w:rFonts w:ascii="Times New Roman" w:hAnsi="Times New Roman" w:cs="Times New Roman"/>
        </w:rPr>
        <w:t xml:space="preserve">                                         GBZ1-2010</w:t>
      </w:r>
    </w:p>
    <w:p>
      <w:pPr>
        <w:spacing w:before="156" w:after="156"/>
        <w:jc w:val="distribute"/>
        <w:rPr>
          <w:rFonts w:ascii="Times New Roman" w:hAnsi="Times New Roman" w:cs="Times New Roman"/>
        </w:rPr>
      </w:pPr>
      <w:r>
        <w:rPr>
          <w:rFonts w:ascii="Times New Roman" w:hAnsi="Times New Roman" w:cs="Times New Roman"/>
        </w:rPr>
        <w:t>《工作场所有害因素职业接触限值》</w:t>
      </w:r>
      <w:r>
        <w:rPr>
          <w:rFonts w:ascii="Times New Roman" w:hAnsi="Times New Roman" w:cs="Times New Roman"/>
        </w:rPr>
        <w:tab/>
      </w:r>
      <w:r>
        <w:rPr>
          <w:rFonts w:ascii="Times New Roman" w:hAnsi="Times New Roman" w:cs="Times New Roman"/>
        </w:rPr>
        <w:t xml:space="preserve">                               GBZ2.1-2007</w:t>
      </w:r>
    </w:p>
    <w:p>
      <w:pPr>
        <w:spacing w:before="156" w:after="156"/>
        <w:jc w:val="distribute"/>
        <w:rPr>
          <w:rFonts w:ascii="Times New Roman" w:hAnsi="Times New Roman" w:cs="Times New Roman"/>
        </w:rPr>
      </w:pPr>
      <w:r>
        <w:rPr>
          <w:rFonts w:ascii="Times New Roman" w:hAnsi="Times New Roman" w:cs="Times New Roman"/>
        </w:rPr>
        <w:t>《石油化工企业设计防火规范》</w:t>
      </w:r>
      <w:r>
        <w:rPr>
          <w:rFonts w:hint="eastAsia"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GB50160-2012</w:t>
      </w:r>
    </w:p>
    <w:p>
      <w:pPr>
        <w:spacing w:before="156" w:after="156"/>
        <w:jc w:val="distribute"/>
        <w:rPr>
          <w:rFonts w:ascii="Times New Roman" w:hAnsi="Times New Roman" w:cs="Times New Roman"/>
        </w:rPr>
      </w:pPr>
      <w:r>
        <w:rPr>
          <w:rFonts w:ascii="Times New Roman" w:hAnsi="Times New Roman" w:cs="Times New Roman"/>
        </w:rPr>
        <w:t>《建筑设计防火规范》</w:t>
      </w:r>
      <w:r>
        <w:rPr>
          <w:rFonts w:ascii="Times New Roman" w:hAnsi="Times New Roman" w:cs="Times New Roman"/>
        </w:rPr>
        <w:tab/>
      </w:r>
      <w:r>
        <w:rPr>
          <w:rFonts w:ascii="Times New Roman" w:hAnsi="Times New Roman" w:cs="Times New Roman"/>
        </w:rPr>
        <w:t xml:space="preserve">                                          GB50016-2014</w:t>
      </w:r>
    </w:p>
    <w:p>
      <w:pPr>
        <w:spacing w:before="156" w:after="156"/>
        <w:jc w:val="distribute"/>
        <w:rPr>
          <w:rFonts w:ascii="Times New Roman" w:hAnsi="Times New Roman" w:cs="Times New Roman"/>
        </w:rPr>
      </w:pPr>
      <w:r>
        <w:rPr>
          <w:rFonts w:ascii="Times New Roman" w:hAnsi="Times New Roman" w:cs="Times New Roman"/>
        </w:rPr>
        <w:t>《建筑物防雷设计规定》</w:t>
      </w:r>
      <w:r>
        <w:rPr>
          <w:rFonts w:ascii="Times New Roman" w:hAnsi="Times New Roman" w:cs="Times New Roman"/>
        </w:rPr>
        <w:tab/>
      </w:r>
      <w:r>
        <w:rPr>
          <w:rFonts w:ascii="Times New Roman" w:hAnsi="Times New Roman" w:cs="Times New Roman"/>
        </w:rPr>
        <w:t xml:space="preserve">                                          GB50057-2010</w:t>
      </w:r>
    </w:p>
    <w:p>
      <w:pPr>
        <w:spacing w:before="156" w:after="156"/>
        <w:jc w:val="distribute"/>
        <w:rPr>
          <w:rFonts w:ascii="Times New Roman" w:hAnsi="Times New Roman" w:cs="Times New Roman"/>
        </w:rPr>
      </w:pPr>
      <w:r>
        <w:rPr>
          <w:rFonts w:ascii="Times New Roman" w:hAnsi="Times New Roman" w:cs="Times New Roman"/>
        </w:rPr>
        <w:t>《爆炸和火灾危险环境电力装置设计规范》</w:t>
      </w:r>
      <w:r>
        <w:rPr>
          <w:rFonts w:ascii="Times New Roman" w:hAnsi="Times New Roman" w:cs="Times New Roman"/>
        </w:rPr>
        <w:tab/>
      </w:r>
      <w:r>
        <w:rPr>
          <w:rFonts w:ascii="Times New Roman" w:hAnsi="Times New Roman" w:cs="Times New Roman"/>
        </w:rPr>
        <w:t xml:space="preserve">                          GB50058-2014</w:t>
      </w:r>
    </w:p>
    <w:p>
      <w:pPr>
        <w:spacing w:before="156" w:after="156"/>
        <w:jc w:val="distribute"/>
        <w:rPr>
          <w:rFonts w:ascii="Times New Roman" w:hAnsi="Times New Roman" w:cs="Times New Roman"/>
        </w:rPr>
      </w:pPr>
      <w:r>
        <w:rPr>
          <w:rFonts w:ascii="Times New Roman" w:hAnsi="Times New Roman" w:cs="Times New Roman"/>
        </w:rPr>
        <w:t>《石油化工可燃气体和有毒气体检测报警设计规范》</w:t>
      </w:r>
      <w:r>
        <w:rPr>
          <w:rFonts w:ascii="Times New Roman" w:hAnsi="Times New Roman" w:cs="Times New Roman"/>
        </w:rPr>
        <w:tab/>
      </w:r>
      <w:r>
        <w:rPr>
          <w:rFonts w:ascii="Times New Roman" w:hAnsi="Times New Roman" w:cs="Times New Roman"/>
        </w:rPr>
        <w:t xml:space="preserve">                  GB50493-2009</w:t>
      </w:r>
    </w:p>
    <w:p>
      <w:pPr>
        <w:spacing w:before="156" w:after="156"/>
        <w:jc w:val="distribute"/>
        <w:rPr>
          <w:rFonts w:ascii="Times New Roman" w:hAnsi="Times New Roman" w:cs="Times New Roman"/>
        </w:rPr>
      </w:pPr>
      <w:r>
        <w:rPr>
          <w:rFonts w:ascii="Times New Roman" w:hAnsi="Times New Roman" w:cs="Times New Roman"/>
        </w:rPr>
        <w:t>《化工企业安全卫生设计规定》</w:t>
      </w:r>
      <w:r>
        <w:rPr>
          <w:rFonts w:ascii="Times New Roman" w:hAnsi="Times New Roman" w:cs="Times New Roman"/>
        </w:rPr>
        <w:tab/>
      </w:r>
      <w:r>
        <w:rPr>
          <w:rFonts w:ascii="Times New Roman" w:hAnsi="Times New Roman" w:cs="Times New Roman"/>
        </w:rPr>
        <w:t xml:space="preserve">                                  HG20571-2014</w:t>
      </w:r>
    </w:p>
    <w:p>
      <w:pPr>
        <w:spacing w:before="156" w:after="156"/>
        <w:jc w:val="distribute"/>
        <w:rPr>
          <w:rFonts w:ascii="Times New Roman" w:hAnsi="Times New Roman" w:cs="Times New Roman"/>
        </w:rPr>
      </w:pPr>
      <w:r>
        <w:rPr>
          <w:rFonts w:ascii="Times New Roman" w:hAnsi="Times New Roman" w:cs="Times New Roman"/>
        </w:rPr>
        <w:t>《建筑照明设计标准》</w:t>
      </w:r>
      <w:r>
        <w:rPr>
          <w:rFonts w:ascii="Times New Roman" w:hAnsi="Times New Roman" w:cs="Times New Roman"/>
        </w:rPr>
        <w:tab/>
      </w:r>
      <w:r>
        <w:rPr>
          <w:rFonts w:ascii="Times New Roman" w:hAnsi="Times New Roman" w:cs="Times New Roman"/>
        </w:rPr>
        <w:t xml:space="preserve">                                          GB50034-2013</w:t>
      </w:r>
    </w:p>
    <w:p>
      <w:pPr>
        <w:spacing w:before="156" w:after="156"/>
        <w:jc w:val="distribute"/>
        <w:rPr>
          <w:rFonts w:ascii="Times New Roman" w:hAnsi="Times New Roman" w:cs="Times New Roman"/>
        </w:rPr>
      </w:pPr>
      <w:r>
        <w:rPr>
          <w:rFonts w:ascii="Times New Roman" w:hAnsi="Times New Roman" w:cs="Times New Roman"/>
        </w:rPr>
        <w:t>《锅炉大气污染物排放标准》</w:t>
      </w:r>
      <w:r>
        <w:rPr>
          <w:rFonts w:ascii="Times New Roman" w:hAnsi="Times New Roman" w:cs="Times New Roman"/>
        </w:rPr>
        <w:tab/>
      </w:r>
      <w:r>
        <w:rPr>
          <w:rFonts w:ascii="Times New Roman" w:hAnsi="Times New Roman" w:cs="Times New Roman"/>
        </w:rPr>
        <w:t xml:space="preserve">                                      GB13271-2014</w:t>
      </w:r>
    </w:p>
    <w:p>
      <w:pPr>
        <w:spacing w:before="156" w:after="156"/>
        <w:jc w:val="distribute"/>
        <w:rPr>
          <w:rFonts w:ascii="Times New Roman" w:hAnsi="Times New Roman" w:cs="Times New Roman"/>
        </w:rPr>
      </w:pPr>
      <w:r>
        <w:rPr>
          <w:rFonts w:ascii="Times New Roman" w:hAnsi="Times New Roman" w:cs="Times New Roman"/>
        </w:rPr>
        <w:t>《污水综合排放标准》</w:t>
      </w:r>
      <w:r>
        <w:rPr>
          <w:rFonts w:ascii="Times New Roman" w:hAnsi="Times New Roman" w:cs="Times New Roman"/>
        </w:rPr>
        <w:tab/>
      </w:r>
      <w:r>
        <w:rPr>
          <w:rFonts w:ascii="Times New Roman" w:hAnsi="Times New Roman" w:cs="Times New Roman"/>
        </w:rPr>
        <w:t xml:space="preserve">                                           GB8978-1996</w:t>
      </w:r>
    </w:p>
    <w:p>
      <w:pPr>
        <w:spacing w:before="156" w:after="156"/>
        <w:jc w:val="distribute"/>
        <w:rPr>
          <w:rFonts w:ascii="Times New Roman" w:hAnsi="Times New Roman" w:cs="Times New Roman"/>
        </w:rPr>
      </w:pPr>
      <w:r>
        <w:rPr>
          <w:rFonts w:ascii="Times New Roman" w:hAnsi="Times New Roman" w:cs="Times New Roman"/>
        </w:rPr>
        <w:t>《大气污染物综合排放标准》</w:t>
      </w:r>
      <w:r>
        <w:rPr>
          <w:rFonts w:ascii="Times New Roman" w:hAnsi="Times New Roman" w:cs="Times New Roman"/>
        </w:rPr>
        <w:tab/>
      </w:r>
      <w:r>
        <w:rPr>
          <w:rFonts w:ascii="Times New Roman" w:hAnsi="Times New Roman" w:cs="Times New Roman"/>
        </w:rPr>
        <w:t xml:space="preserve">                                      GB16297-1996</w:t>
      </w:r>
    </w:p>
    <w:p>
      <w:pPr>
        <w:spacing w:before="156" w:after="156"/>
        <w:jc w:val="distribute"/>
        <w:rPr>
          <w:rFonts w:ascii="Times New Roman" w:hAnsi="Times New Roman" w:cs="Times New Roman"/>
        </w:rPr>
      </w:pPr>
      <w:r>
        <w:rPr>
          <w:rFonts w:ascii="Times New Roman" w:hAnsi="Times New Roman" w:cs="Times New Roman"/>
        </w:rPr>
        <w:t>《危险废物焚烧污染控制标准》</w:t>
      </w:r>
      <w:r>
        <w:rPr>
          <w:rFonts w:hint="eastAsia"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GB18484-2001</w:t>
      </w:r>
    </w:p>
    <w:p>
      <w:pPr>
        <w:spacing w:before="156" w:after="156"/>
      </w:pPr>
    </w:p>
    <w:p>
      <w:pPr>
        <w:widowControl/>
        <w:autoSpaceDE/>
        <w:autoSpaceDN/>
        <w:spacing w:before="156" w:after="156"/>
        <w:rPr>
          <w:rFonts w:ascii="Times New Roman" w:hAnsi="Times New Roman" w:cs="Times New Roman"/>
        </w:rPr>
      </w:pPr>
      <w:r>
        <w:rPr>
          <w:rFonts w:ascii="Times New Roman" w:hAnsi="Times New Roman" w:cs="Times New Roman"/>
        </w:rPr>
        <w:br w:type="page"/>
      </w:r>
    </w:p>
    <w:p>
      <w:pPr>
        <w:pStyle w:val="2"/>
        <w:spacing w:before="156" w:after="156"/>
        <w:rPr>
          <w:rFonts w:eastAsia="宋体"/>
          <w:color w:val="000000" w:themeColor="text1"/>
          <w14:textFill>
            <w14:solidFill>
              <w14:schemeClr w14:val="tx1"/>
            </w14:solidFill>
          </w14:textFill>
        </w:rPr>
      </w:pPr>
      <w:bookmarkStart w:id="15" w:name="_Toc141669963"/>
      <w:r>
        <w:rPr>
          <w:rFonts w:hint="eastAsia" w:eastAsia="宋体"/>
          <w:color w:val="000000" w:themeColor="text1"/>
          <w14:textFill>
            <w14:solidFill>
              <w14:schemeClr w14:val="tx1"/>
            </w14:solidFill>
          </w14:textFill>
        </w:rPr>
        <w:t>第二章 市场分析</w:t>
      </w:r>
      <w:bookmarkEnd w:id="15"/>
    </w:p>
    <w:p>
      <w:pPr>
        <w:pStyle w:val="3"/>
        <w:spacing w:before="156" w:after="156"/>
        <w:rPr>
          <w:rFonts w:ascii="Times New Roman" w:hAnsi="Times New Roman" w:eastAsia="宋体" w:cs="Times New Roman"/>
        </w:rPr>
      </w:pPr>
      <w:bookmarkStart w:id="16" w:name="_Toc141669964"/>
      <w:r>
        <w:rPr>
          <w:rFonts w:ascii="Times New Roman" w:hAnsi="Times New Roman" w:eastAsia="宋体" w:cs="Times New Roman"/>
        </w:rPr>
        <w:t>2.1 ADN市场分析</w:t>
      </w:r>
      <w:bookmarkEnd w:id="16"/>
    </w:p>
    <w:p>
      <w:pPr>
        <w:pStyle w:val="4"/>
        <w:spacing w:before="156" w:after="156"/>
        <w:rPr>
          <w:rFonts w:ascii="Times New Roman" w:hAnsi="Times New Roman" w:eastAsia="宋体" w:cs="Times New Roman"/>
        </w:rPr>
      </w:pPr>
      <w:bookmarkStart w:id="17" w:name="_Toc141669965"/>
      <w:r>
        <w:rPr>
          <w:rFonts w:ascii="Times New Roman" w:hAnsi="Times New Roman" w:eastAsia="宋体" w:cs="Times New Roman"/>
        </w:rPr>
        <w:t>2.1.1 产品用途</w:t>
      </w:r>
      <w:bookmarkEnd w:id="17"/>
    </w:p>
    <w:p>
      <w:pPr>
        <w:spacing w:before="156" w:after="156"/>
        <w:ind w:firstLine="420" w:firstLineChars="200"/>
        <w:rPr>
          <w:rFonts w:ascii="Times New Roman" w:hAnsi="Times New Roman" w:cs="Times New Roman"/>
        </w:rPr>
      </w:pPr>
      <w:r>
        <w:rPr>
          <w:rFonts w:ascii="Times New Roman" w:hAnsi="Times New Roman" w:cs="Times New Roman"/>
        </w:rPr>
        <w:t>己二腈是一种无色至浅黄色液体，溶解性好，密度低于水，可用于生产己二胺（生产尼龙66的主要中间体）、橡胶促进剂、防锈剂等，其中，主要用途是生产尼龙66的主要中间体己二胺，该用途一般占己二腈产量的90%以上。己二腈具备良好的化学性能，也可应用于其他领域，例如其化学稳定性、高沸点和低蒸气压使其可作为安全的电解质溶剂应用于锂离子电池中。其主要用途如下表所示。</w:t>
      </w:r>
    </w:p>
    <w:p>
      <w:pPr>
        <w:widowControl/>
        <w:spacing w:before="0" w:beforeLines="0" w:after="0" w:afterLines="0"/>
        <w:jc w:val="center"/>
        <w:rPr>
          <w:rFonts w:ascii="Times New Roman" w:hAnsi="Times New Roman" w:cs="Times New Roman"/>
          <w:sz w:val="18"/>
          <w:szCs w:val="18"/>
        </w:rPr>
      </w:pPr>
      <w:r>
        <w:rPr>
          <w:rFonts w:ascii="Times New Roman" w:hAnsi="Times New Roman" w:cs="Times New Roman"/>
          <w:b/>
          <w:bCs/>
          <w:color w:val="000000"/>
          <w:sz w:val="18"/>
          <w:szCs w:val="18"/>
          <w:lang w:bidi="ar"/>
        </w:rPr>
        <w:t>表2-1 ADN下游产品主要特性及用途</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3785"/>
        <w:gridCol w:w="3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before="0" w:beforeLines="0" w:after="0" w:afterLines="0"/>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材料</w:t>
            </w:r>
          </w:p>
        </w:tc>
        <w:tc>
          <w:tcPr>
            <w:tcW w:w="3785"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before="0" w:beforeLines="0" w:after="0" w:afterLines="0"/>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主要特征</w:t>
            </w:r>
          </w:p>
        </w:tc>
        <w:tc>
          <w:tcPr>
            <w:tcW w:w="3815" w:type="dxa"/>
            <w:tcBorders>
              <w:top w:val="single" w:color="4F81BD" w:sz="8" w:space="0"/>
              <w:left w:val="single" w:color="4F81BD" w:sz="8" w:space="0"/>
              <w:bottom w:val="single" w:color="FFFFFF" w:sz="18" w:space="0"/>
              <w:right w:val="single" w:color="4F81BD" w:sz="8" w:space="0"/>
            </w:tcBorders>
            <w:shd w:val="clear" w:color="auto" w:fill="4F81BD"/>
            <w:vAlign w:val="center"/>
          </w:tcPr>
          <w:p>
            <w:pPr>
              <w:spacing w:before="0" w:beforeLines="0" w:after="0" w:afterLines="0"/>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主要用途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Borders>
              <w:top w:val="single" w:color="FFFFFF" w:sz="18" w:space="0"/>
              <w:left w:val="single" w:color="4F81BD" w:sz="8" w:space="0"/>
              <w:bottom w:val="single" w:color="4F81BD" w:sz="8" w:space="0"/>
              <w:right w:val="single" w:color="4F81BD" w:sz="8" w:space="0"/>
            </w:tcBorders>
            <w:shd w:val="clear" w:color="auto" w:fill="B8CCE4"/>
            <w:vAlign w:val="center"/>
          </w:tcPr>
          <w:p>
            <w:pPr>
              <w:spacing w:before="0" w:beforeLines="0" w:after="0" w:afterLines="0"/>
              <w:jc w:val="center"/>
              <w:rPr>
                <w:rFonts w:ascii="Times New Roman" w:hAnsi="Times New Roman" w:cs="Times New Roman"/>
                <w:color w:val="000000"/>
                <w:sz w:val="20"/>
                <w:szCs w:val="20"/>
              </w:rPr>
            </w:pPr>
            <w:r>
              <w:rPr>
                <w:rFonts w:ascii="Times New Roman" w:hAnsi="Times New Roman" w:cs="Times New Roman"/>
                <w:color w:val="000000"/>
                <w:sz w:val="20"/>
                <w:szCs w:val="20"/>
              </w:rPr>
              <w:t>PA66</w:t>
            </w:r>
          </w:p>
        </w:tc>
        <w:tc>
          <w:tcPr>
            <w:tcW w:w="3785" w:type="dxa"/>
            <w:tcBorders>
              <w:top w:val="single" w:color="FFFFFF" w:sz="18" w:space="0"/>
              <w:left w:val="single" w:color="4F81BD" w:sz="8" w:space="0"/>
              <w:bottom w:val="single" w:color="4F81BD" w:sz="8" w:space="0"/>
              <w:right w:val="single" w:color="4F81BD" w:sz="8" w:space="0"/>
            </w:tcBorders>
            <w:shd w:val="clear" w:color="auto" w:fill="B8CCE4"/>
            <w:vAlign w:val="center"/>
          </w:tcPr>
          <w:p>
            <w:pPr>
              <w:spacing w:before="0" w:beforeLines="0" w:after="0" w:afterLines="0"/>
              <w:jc w:val="center"/>
              <w:rPr>
                <w:rFonts w:ascii="Times New Roman" w:hAnsi="Times New Roman" w:cs="Times New Roman"/>
                <w:color w:val="000000"/>
                <w:sz w:val="20"/>
                <w:szCs w:val="20"/>
              </w:rPr>
            </w:pPr>
            <w:r>
              <w:rPr>
                <w:rFonts w:ascii="Times New Roman" w:hAnsi="Times New Roman" w:cs="Times New Roman"/>
                <w:color w:val="000000"/>
                <w:sz w:val="20"/>
                <w:szCs w:val="20"/>
              </w:rPr>
              <w:t>优异的机械性能，润滑、耐磨，弹性好，耐腐蚀，相对密度小，染色性能良好</w:t>
            </w:r>
          </w:p>
        </w:tc>
        <w:tc>
          <w:tcPr>
            <w:tcW w:w="3815" w:type="dxa"/>
            <w:tcBorders>
              <w:top w:val="single" w:color="FFFFFF" w:sz="18" w:space="0"/>
              <w:left w:val="single" w:color="4F81BD" w:sz="8" w:space="0"/>
              <w:bottom w:val="single" w:color="4F81BD" w:sz="8" w:space="0"/>
              <w:right w:val="single" w:color="4F81BD" w:sz="8" w:space="0"/>
            </w:tcBorders>
            <w:shd w:val="clear" w:color="auto" w:fill="B8CCE4"/>
            <w:vAlign w:val="center"/>
          </w:tcPr>
          <w:p>
            <w:pPr>
              <w:spacing w:before="0" w:beforeLines="0" w:after="0" w:afterLines="0"/>
              <w:jc w:val="center"/>
              <w:rPr>
                <w:rFonts w:ascii="Times New Roman" w:hAnsi="Times New Roman" w:cs="Times New Roman"/>
                <w:color w:val="000000"/>
                <w:sz w:val="20"/>
                <w:szCs w:val="20"/>
              </w:rPr>
            </w:pPr>
            <w:r>
              <w:rPr>
                <w:rFonts w:ascii="Times New Roman" w:hAnsi="Times New Roman" w:cs="Times New Roman"/>
                <w:color w:val="000000"/>
                <w:sz w:val="20"/>
                <w:szCs w:val="20"/>
              </w:rPr>
              <w:t>主要用于汽车、机械工业、电子电器、精密仪器等领域；作设备材料，制造日用品、家具、包装等</w:t>
            </w:r>
          </w:p>
        </w:tc>
      </w:tr>
    </w:tbl>
    <w:p>
      <w:pPr>
        <w:spacing w:before="156" w:after="156"/>
        <w:ind w:firstLine="420" w:firstLineChars="200"/>
        <w:rPr>
          <w:rFonts w:ascii="Times New Roman" w:hAnsi="Times New Roman" w:cs="Times New Roman"/>
        </w:rPr>
      </w:pPr>
    </w:p>
    <w:p>
      <w:pPr>
        <w:pStyle w:val="4"/>
        <w:spacing w:before="156" w:after="156"/>
        <w:rPr>
          <w:rFonts w:ascii="Times New Roman" w:hAnsi="Times New Roman" w:eastAsia="宋体" w:cs="Times New Roman"/>
        </w:rPr>
      </w:pPr>
      <w:bookmarkStart w:id="18" w:name="_Toc141669966"/>
      <w:r>
        <w:rPr>
          <w:rFonts w:ascii="Times New Roman" w:hAnsi="Times New Roman" w:eastAsia="宋体" w:cs="Times New Roman"/>
        </w:rPr>
        <w:t>2.1.2 全球市场预测分析</w:t>
      </w:r>
      <w:bookmarkEnd w:id="18"/>
    </w:p>
    <w:p>
      <w:pPr>
        <w:spacing w:before="156" w:after="156"/>
        <w:ind w:firstLine="420" w:firstLineChars="200"/>
        <w:rPr>
          <w:rFonts w:ascii="Times New Roman" w:hAnsi="Times New Roman" w:cs="Times New Roman"/>
        </w:rPr>
      </w:pPr>
      <w:r>
        <w:rPr>
          <w:rFonts w:ascii="Times New Roman" w:hAnsi="Times New Roman" w:cs="Times New Roman"/>
        </w:rPr>
        <w:t>己二腈目前供应格局相对简单，产能集中在三个企业、五个工厂，主要是巴斯夫（17%）、英威达（56%）及奥升德（22%）三家企业，产能分布在美国（61%）及法国（34%）。</w:t>
      </w:r>
    </w:p>
    <w:p>
      <w:pPr>
        <w:spacing w:before="156" w:after="156"/>
        <w:ind w:firstLine="420" w:firstLineChars="200"/>
        <w:rPr>
          <w:rFonts w:ascii="Times New Roman" w:hAnsi="Times New Roman" w:cs="Times New Roman"/>
        </w:rPr>
      </w:pPr>
      <w:r>
        <w:rPr>
          <w:rFonts w:ascii="Times New Roman" w:hAnsi="Times New Roman" w:cs="Times New Roman"/>
        </w:rPr>
        <w:t>而在国内市场，华峰集团、神马股份、中国化学等国产企业纷纷加大对己二腈的投资与新建产能装置——华峰集团5万t/a己二腈项目已于2019年10月顺利投产并稳定运行，规划30万t/a己二腈产能，力争在5年内建成；神马股份于2020年11月宣布拟投资11.93亿元建设年产5万吨己二腈项目；中国化学于2019年7月宣布与齐翔腾达成立合资公司天辰齐翔投资105亿元建设100万t/a尼龙66产业链项目，其中包含20万t/a己二腈产能；英威达也投资超70亿元于上海建设40万吨/年己二腈项目。因此，国内外合计在建己二腈产能达143.1万吨，项目投产后我国将实现己二腈的国产化，从而摆脱目前“卡脖子”的局面。同时，己二腈原材料的重组将为PA66行业的发展提供重组的原料供应。</w:t>
      </w:r>
    </w:p>
    <w:p>
      <w:pPr>
        <w:widowControl/>
        <w:spacing w:before="156" w:after="156"/>
        <w:jc w:val="center"/>
        <w:rPr>
          <w:rFonts w:ascii="Times New Roman" w:hAnsi="Times New Roman" w:cs="Times New Roman"/>
        </w:rPr>
      </w:pPr>
      <w:r>
        <w:rPr>
          <w:rFonts w:ascii="Times New Roman" w:hAnsi="Times New Roman" w:cs="Times New Roman"/>
          <w:b/>
          <w:bCs/>
          <w:color w:val="000000"/>
          <w:sz w:val="18"/>
          <w:szCs w:val="18"/>
          <w:lang w:bidi="ar"/>
        </w:rPr>
        <w:t>图2-1 2020年全球主要ADN供应商产能份额对比</w:t>
      </w:r>
    </w:p>
    <w:p>
      <w:pPr>
        <w:spacing w:before="156" w:after="156"/>
        <w:jc w:val="center"/>
        <w:rPr>
          <w:rFonts w:ascii="Times New Roman" w:hAnsi="Times New Roman" w:cs="Times New Roman"/>
        </w:rPr>
      </w:pPr>
      <w:r>
        <w:rPr>
          <w:rFonts w:ascii="Times New Roman" w:hAnsi="Times New Roman" w:cs="Times New Roman"/>
        </w:rPr>
        <w:drawing>
          <wp:inline distT="0" distB="0" distL="114300" distR="114300">
            <wp:extent cx="3800475" cy="1947545"/>
            <wp:effectExtent l="0" t="0" r="0" b="0"/>
            <wp:docPr id="1354971584" name="图片 135497158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1584" name="图片 1354971584" descr="图片1"/>
                    <pic:cNvPicPr>
                      <a:picLocks noChangeAspect="1"/>
                    </pic:cNvPicPr>
                  </pic:nvPicPr>
                  <pic:blipFill>
                    <a:blip r:embed="rId13"/>
                    <a:srcRect l="699" t="12449" r="887" b="9371"/>
                    <a:stretch>
                      <a:fillRect/>
                    </a:stretch>
                  </pic:blipFill>
                  <pic:spPr>
                    <a:xfrm>
                      <a:off x="0" y="0"/>
                      <a:ext cx="3939024" cy="2018758"/>
                    </a:xfrm>
                    <a:prstGeom prst="rect">
                      <a:avLst/>
                    </a:prstGeom>
                  </pic:spPr>
                </pic:pic>
              </a:graphicData>
            </a:graphic>
          </wp:inline>
        </w:drawing>
      </w:r>
    </w:p>
    <w:p>
      <w:pPr>
        <w:spacing w:before="156" w:after="156"/>
        <w:jc w:val="right"/>
        <w:rPr>
          <w:rFonts w:ascii="Times New Roman" w:hAnsi="Times New Roman" w:cs="Times New Roman"/>
          <w:b/>
          <w:bCs/>
          <w:color w:val="767171" w:themeColor="background2" w:themeShade="80"/>
          <w:sz w:val="18"/>
          <w:szCs w:val="18"/>
          <w:lang w:bidi="ar"/>
        </w:rPr>
      </w:pPr>
      <w:r>
        <w:rPr>
          <w:rFonts w:ascii="Times New Roman" w:hAnsi="Times New Roman" w:cs="Times New Roman"/>
          <w:b/>
          <w:bCs/>
          <w:color w:val="767171" w:themeColor="background2" w:themeShade="80"/>
          <w:sz w:val="18"/>
          <w:szCs w:val="18"/>
          <w:lang w:bidi="ar"/>
        </w:rPr>
        <w:t>数据来源：华经产业研究院</w:t>
      </w:r>
    </w:p>
    <w:p>
      <w:pPr>
        <w:spacing w:before="156" w:after="156"/>
        <w:rPr>
          <w:rFonts w:ascii="Times New Roman" w:hAnsi="Times New Roman" w:cs="Times New Roman"/>
          <w:b/>
          <w:bCs/>
          <w:color w:val="000000"/>
          <w:sz w:val="18"/>
          <w:szCs w:val="18"/>
          <w:lang w:bidi="ar"/>
        </w:rPr>
      </w:pPr>
    </w:p>
    <w:p>
      <w:pPr>
        <w:pStyle w:val="4"/>
        <w:spacing w:before="156" w:after="156"/>
        <w:rPr>
          <w:rFonts w:ascii="Times New Roman" w:hAnsi="Times New Roman" w:eastAsia="宋体" w:cs="Times New Roman"/>
        </w:rPr>
      </w:pPr>
      <w:bookmarkStart w:id="19" w:name="_Toc141669967"/>
      <w:r>
        <w:rPr>
          <w:rFonts w:ascii="Times New Roman" w:hAnsi="Times New Roman" w:eastAsia="宋体" w:cs="Times New Roman"/>
        </w:rPr>
        <w:t>2.1.3 国内市场现状分析</w:t>
      </w:r>
      <w:bookmarkEnd w:id="19"/>
    </w:p>
    <w:p>
      <w:pPr>
        <w:spacing w:before="156" w:after="156"/>
        <w:ind w:firstLine="420" w:firstLineChars="200"/>
        <w:rPr>
          <w:rFonts w:ascii="Times New Roman" w:hAnsi="Times New Roman" w:cs="Times New Roman"/>
        </w:rPr>
      </w:pPr>
      <w:r>
        <w:rPr>
          <w:rFonts w:ascii="Times New Roman" w:hAnsi="Times New Roman" w:cs="Times New Roman"/>
        </w:rPr>
        <w:t>目前国内己二腈产能较低，多数依赖进口，主要源自于技术突破难度，需要具备技术实力的企业进行研发及资金的投入。目前国内已有多家企业准备陆续投产己二腈，缓解产能供应瓶颈及依赖进口的现状。随着国内己二腈项目逐渐上线投产，预计全国总产能可达250万吨（含海外企业在国内的投产），且生产模式主要为丁二烯法和己二酸法。2020年华峰作为国内第一家己二腈生产企业，生产了约3万吨己二腈，据统计，2020年我国己二腈进口量为25.84万吨，我国己二腈消费量为28.84万吨，同比增长15.3%。</w:t>
      </w:r>
    </w:p>
    <w:p>
      <w:pPr>
        <w:widowControl/>
        <w:spacing w:before="156" w:after="156"/>
        <w:jc w:val="center"/>
        <w:rPr>
          <w:rFonts w:ascii="Times New Roman" w:hAnsi="Times New Roman" w:cs="Times New Roman"/>
        </w:rPr>
      </w:pPr>
      <w:r>
        <w:rPr>
          <w:rFonts w:ascii="Times New Roman" w:hAnsi="Times New Roman" w:cs="Times New Roman"/>
          <w:b/>
          <w:bCs/>
          <w:color w:val="000000"/>
          <w:sz w:val="18"/>
          <w:szCs w:val="18"/>
          <w:lang w:bidi="ar"/>
        </w:rPr>
        <w:t>图2-2 2015-2020年中国ADN进口状况及产量</w:t>
      </w:r>
    </w:p>
    <w:p>
      <w:pPr>
        <w:spacing w:before="156" w:after="156"/>
        <w:jc w:val="center"/>
        <w:rPr>
          <w:rFonts w:ascii="Times New Roman" w:hAnsi="Times New Roman" w:cs="Times New Roman"/>
        </w:rPr>
      </w:pPr>
      <w:r>
        <w:rPr>
          <w:rFonts w:ascii="Times New Roman" w:hAnsi="Times New Roman" w:cs="Times New Roman"/>
        </w:rPr>
        <w:drawing>
          <wp:inline distT="0" distB="0" distL="114300" distR="114300">
            <wp:extent cx="4037965" cy="2527935"/>
            <wp:effectExtent l="0" t="0" r="635" b="571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4"/>
                    <a:stretch>
                      <a:fillRect/>
                    </a:stretch>
                  </pic:blipFill>
                  <pic:spPr>
                    <a:xfrm>
                      <a:off x="0" y="0"/>
                      <a:ext cx="4108871" cy="2572846"/>
                    </a:xfrm>
                    <a:prstGeom prst="rect">
                      <a:avLst/>
                    </a:prstGeom>
                  </pic:spPr>
                </pic:pic>
              </a:graphicData>
            </a:graphic>
          </wp:inline>
        </w:drawing>
      </w:r>
    </w:p>
    <w:p>
      <w:pPr>
        <w:spacing w:before="156" w:after="156"/>
        <w:jc w:val="right"/>
        <w:rPr>
          <w:rFonts w:ascii="Times New Roman" w:hAnsi="Times New Roman" w:cs="Times New Roman"/>
          <w:b/>
          <w:bCs/>
          <w:color w:val="767171" w:themeColor="background2" w:themeShade="80"/>
          <w:sz w:val="18"/>
          <w:szCs w:val="18"/>
          <w:lang w:bidi="ar"/>
        </w:rPr>
      </w:pPr>
      <w:r>
        <w:rPr>
          <w:rFonts w:ascii="Times New Roman" w:hAnsi="Times New Roman" w:cs="Times New Roman"/>
          <w:b/>
          <w:bCs/>
          <w:color w:val="767171" w:themeColor="background2" w:themeShade="80"/>
          <w:sz w:val="18"/>
          <w:szCs w:val="18"/>
          <w:lang w:bidi="ar"/>
        </w:rPr>
        <w:t>数据来源：华经产业研究院</w:t>
      </w:r>
    </w:p>
    <w:p>
      <w:pPr>
        <w:spacing w:before="156" w:after="156"/>
        <w:jc w:val="right"/>
        <w:rPr>
          <w:rFonts w:ascii="Times New Roman" w:hAnsi="Times New Roman" w:cs="Times New Roman"/>
          <w:b/>
          <w:bCs/>
          <w:color w:val="767171" w:themeColor="background2" w:themeShade="80"/>
          <w:sz w:val="18"/>
          <w:szCs w:val="18"/>
          <w:lang w:bidi="ar"/>
        </w:rPr>
      </w:pPr>
    </w:p>
    <w:p>
      <w:pPr>
        <w:spacing w:before="156" w:after="156"/>
        <w:ind w:firstLine="420" w:firstLineChars="200"/>
        <w:rPr>
          <w:rFonts w:ascii="Times New Roman" w:hAnsi="Times New Roman" w:cs="Times New Roman"/>
        </w:rPr>
      </w:pPr>
      <w:r>
        <w:rPr>
          <w:rFonts w:ascii="Times New Roman" w:hAnsi="Times New Roman" w:cs="Times New Roman"/>
        </w:rPr>
        <w:t>随着我国化纤、工程塑料等领域的迅猛发展，尼龙66应用的领域更广阔，在国内企业陆续取得研发、产业化突破的基础上，以及外资企业在国内的产能投放，国内己二腈产业呈现良好的势头，己二腈项目纷纷上马，随着己二腈项目陆续投产，国内己二腈产能迎来迅速扩张期，2021年中国己二腈产能共计10万吨，未来仍将继续保持增长趋势，预计2025年中国己二腈产能将突破120万吨。</w:t>
      </w:r>
    </w:p>
    <w:p>
      <w:pPr>
        <w:widowControl/>
        <w:spacing w:before="156" w:after="156"/>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图2-3 2021-2025年中国ADN产能预测</w:t>
      </w:r>
    </w:p>
    <w:p>
      <w:pPr>
        <w:spacing w:before="156" w:after="156"/>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drawing>
          <wp:inline distT="0" distB="0" distL="114300" distR="114300">
            <wp:extent cx="3389630" cy="1848485"/>
            <wp:effectExtent l="0" t="0" r="1270" b="571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15"/>
                    <a:srcRect t="2255" b="8229"/>
                    <a:stretch>
                      <a:fillRect/>
                    </a:stretch>
                  </pic:blipFill>
                  <pic:spPr>
                    <a:xfrm>
                      <a:off x="0" y="0"/>
                      <a:ext cx="3389630" cy="1848485"/>
                    </a:xfrm>
                    <a:prstGeom prst="rect">
                      <a:avLst/>
                    </a:prstGeom>
                  </pic:spPr>
                </pic:pic>
              </a:graphicData>
            </a:graphic>
          </wp:inline>
        </w:drawing>
      </w:r>
    </w:p>
    <w:p>
      <w:pPr>
        <w:spacing w:before="156" w:after="156"/>
        <w:jc w:val="right"/>
        <w:rPr>
          <w:rFonts w:ascii="Times New Roman" w:hAnsi="Times New Roman" w:cs="Times New Roman"/>
          <w:b/>
          <w:bCs/>
          <w:color w:val="767171" w:themeColor="background2" w:themeShade="80"/>
          <w:sz w:val="18"/>
          <w:szCs w:val="18"/>
          <w:lang w:bidi="ar"/>
        </w:rPr>
      </w:pPr>
      <w:r>
        <w:rPr>
          <w:rFonts w:ascii="Times New Roman" w:hAnsi="Times New Roman" w:cs="Times New Roman"/>
          <w:b/>
          <w:bCs/>
          <w:color w:val="767171" w:themeColor="background2" w:themeShade="80"/>
          <w:sz w:val="18"/>
          <w:szCs w:val="18"/>
          <w:lang w:bidi="ar"/>
        </w:rPr>
        <w:t>数据来源：共研产业咨询（共研网）整理</w:t>
      </w:r>
    </w:p>
    <w:p>
      <w:pPr>
        <w:spacing w:before="156" w:after="156"/>
        <w:ind w:firstLine="420" w:firstLineChars="200"/>
        <w:rPr>
          <w:rFonts w:ascii="Times New Roman" w:hAnsi="Times New Roman" w:cs="Times New Roman"/>
        </w:rPr>
      </w:pPr>
      <w:r>
        <w:rPr>
          <w:rFonts w:ascii="Times New Roman" w:hAnsi="Times New Roman" w:cs="Times New Roman"/>
        </w:rPr>
        <w:t>2019年以前我国无己二腈工业化生产装置，所需己二腈全部依赖进口，尽管近年来我国己二腈产能持续扩张，但仍不能满足庞大的市场需求，每年均需大量进口，2021年中国己二腈需求量达40.84万吨，预计2025年中国己二腈需求量将达到134.85万吨。</w:t>
      </w:r>
    </w:p>
    <w:p>
      <w:pPr>
        <w:widowControl/>
        <w:spacing w:before="156" w:after="156"/>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图2-4 2021-2025年中国ADN需求量预测</w:t>
      </w:r>
    </w:p>
    <w:p>
      <w:pPr>
        <w:spacing w:before="156" w:after="156"/>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drawing>
          <wp:inline distT="0" distB="0" distL="114300" distR="114300">
            <wp:extent cx="3976370" cy="2167890"/>
            <wp:effectExtent l="0" t="0" r="11430" b="3810"/>
            <wp:docPr id="1638283134" name="图片 163828313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83134" name="图片 1638283134" descr="5"/>
                    <pic:cNvPicPr>
                      <a:picLocks noChangeAspect="1"/>
                    </pic:cNvPicPr>
                  </pic:nvPicPr>
                  <pic:blipFill>
                    <a:blip r:embed="rId16"/>
                    <a:srcRect t="2659" b="7501"/>
                    <a:stretch>
                      <a:fillRect/>
                    </a:stretch>
                  </pic:blipFill>
                  <pic:spPr>
                    <a:xfrm>
                      <a:off x="0" y="0"/>
                      <a:ext cx="3976370" cy="2167890"/>
                    </a:xfrm>
                    <a:prstGeom prst="rect">
                      <a:avLst/>
                    </a:prstGeom>
                  </pic:spPr>
                </pic:pic>
              </a:graphicData>
            </a:graphic>
          </wp:inline>
        </w:drawing>
      </w:r>
    </w:p>
    <w:p>
      <w:pPr>
        <w:spacing w:before="156" w:after="156"/>
        <w:jc w:val="right"/>
        <w:rPr>
          <w:rFonts w:ascii="Times New Roman" w:hAnsi="Times New Roman" w:cs="Times New Roman"/>
          <w:b/>
          <w:bCs/>
          <w:color w:val="767171" w:themeColor="background2" w:themeShade="80"/>
          <w:sz w:val="18"/>
          <w:szCs w:val="18"/>
          <w:lang w:bidi="ar"/>
        </w:rPr>
      </w:pPr>
      <w:r>
        <w:rPr>
          <w:rFonts w:ascii="Times New Roman" w:hAnsi="Times New Roman" w:cs="Times New Roman"/>
          <w:b/>
          <w:bCs/>
          <w:color w:val="767171" w:themeColor="background2" w:themeShade="80"/>
          <w:sz w:val="18"/>
          <w:szCs w:val="18"/>
          <w:lang w:bidi="ar"/>
        </w:rPr>
        <w:t>数据来源：共研产业咨询（共研网）整理</w:t>
      </w:r>
    </w:p>
    <w:p>
      <w:pPr>
        <w:spacing w:before="156" w:after="156"/>
        <w:jc w:val="right"/>
        <w:rPr>
          <w:rFonts w:ascii="Times New Roman" w:hAnsi="Times New Roman" w:cs="Times New Roman"/>
          <w:b/>
          <w:bCs/>
          <w:color w:val="767171" w:themeColor="background2" w:themeShade="80"/>
          <w:sz w:val="18"/>
          <w:szCs w:val="18"/>
          <w:lang w:bidi="ar"/>
        </w:rPr>
      </w:pPr>
    </w:p>
    <w:p>
      <w:pPr>
        <w:pStyle w:val="4"/>
        <w:spacing w:before="156" w:after="156"/>
        <w:rPr>
          <w:rFonts w:ascii="Times New Roman" w:hAnsi="Times New Roman" w:eastAsia="宋体" w:cs="Times New Roman"/>
        </w:rPr>
      </w:pPr>
      <w:bookmarkStart w:id="20" w:name="_Toc141669968"/>
      <w:r>
        <w:rPr>
          <w:rFonts w:ascii="Times New Roman" w:hAnsi="Times New Roman" w:eastAsia="宋体" w:cs="Times New Roman"/>
        </w:rPr>
        <w:t>2.1.4 产品需求分析</w:t>
      </w:r>
      <w:bookmarkEnd w:id="20"/>
    </w:p>
    <w:p>
      <w:pPr>
        <w:spacing w:before="156" w:after="156"/>
        <w:ind w:firstLine="420" w:firstLineChars="200"/>
        <w:rPr>
          <w:rFonts w:ascii="Times New Roman" w:hAnsi="Times New Roman" w:cs="Times New Roman"/>
        </w:rPr>
      </w:pPr>
      <w:r>
        <w:rPr>
          <w:rFonts w:ascii="Times New Roman" w:hAnsi="Times New Roman" w:cs="Times New Roman"/>
        </w:rPr>
        <w:t>国产己二腈的供应缺乏，使得寡头高度垄断己二腈—己二胺—尼龙66产业链。凭借技术垄断和封锁，国外企业通过己二腈的供给，几乎可以轻而易举地操控我国整个尼龙产业链的高端延伸，严重影响行业经济效益和国际竞争力。</w:t>
      </w:r>
    </w:p>
    <w:p>
      <w:pPr>
        <w:widowControl/>
        <w:spacing w:before="156" w:after="156"/>
        <w:jc w:val="center"/>
        <w:rPr>
          <w:rFonts w:ascii="Times New Roman" w:hAnsi="Times New Roman" w:cs="Times New Roman"/>
        </w:rPr>
      </w:pPr>
      <w:r>
        <w:rPr>
          <w:rFonts w:ascii="Times New Roman" w:hAnsi="Times New Roman" w:cs="Times New Roman"/>
          <w:b/>
          <w:bCs/>
          <w:color w:val="000000"/>
          <w:sz w:val="18"/>
          <w:szCs w:val="18"/>
          <w:lang w:bidi="ar"/>
        </w:rPr>
        <w:t>图2-5 2011-2020年中国尼龙产能情况</w:t>
      </w:r>
    </w:p>
    <w:p>
      <w:pPr>
        <w:spacing w:before="156" w:after="156"/>
        <w:jc w:val="center"/>
        <w:rPr>
          <w:rFonts w:ascii="Times New Roman" w:hAnsi="Times New Roman" w:cs="Times New Roman"/>
        </w:rPr>
      </w:pPr>
      <w:r>
        <w:rPr>
          <w:rFonts w:ascii="Times New Roman" w:hAnsi="Times New Roman" w:cs="Times New Roman"/>
        </w:rPr>
        <w:drawing>
          <wp:inline distT="0" distB="0" distL="114300" distR="114300">
            <wp:extent cx="3397250" cy="2133600"/>
            <wp:effectExtent l="0" t="0" r="6350" b="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7"/>
                    <a:stretch>
                      <a:fillRect/>
                    </a:stretch>
                  </pic:blipFill>
                  <pic:spPr>
                    <a:xfrm>
                      <a:off x="0" y="0"/>
                      <a:ext cx="3397250" cy="2133600"/>
                    </a:xfrm>
                    <a:prstGeom prst="rect">
                      <a:avLst/>
                    </a:prstGeom>
                  </pic:spPr>
                </pic:pic>
              </a:graphicData>
            </a:graphic>
          </wp:inline>
        </w:drawing>
      </w:r>
    </w:p>
    <w:p>
      <w:pPr>
        <w:spacing w:before="156" w:after="156"/>
        <w:jc w:val="right"/>
        <w:rPr>
          <w:rFonts w:ascii="Times New Roman" w:hAnsi="Times New Roman" w:cs="Times New Roman"/>
          <w:b/>
          <w:bCs/>
          <w:color w:val="767171" w:themeColor="background2" w:themeShade="80"/>
          <w:sz w:val="18"/>
          <w:szCs w:val="18"/>
          <w:lang w:bidi="ar"/>
        </w:rPr>
      </w:pPr>
      <w:r>
        <w:rPr>
          <w:rFonts w:ascii="Times New Roman" w:hAnsi="Times New Roman" w:cs="Times New Roman"/>
          <w:b/>
          <w:bCs/>
          <w:color w:val="767171" w:themeColor="background2" w:themeShade="80"/>
          <w:sz w:val="18"/>
          <w:szCs w:val="18"/>
          <w:lang w:bidi="ar"/>
        </w:rPr>
        <w:t>数据来源：华经产业研究院</w:t>
      </w:r>
    </w:p>
    <w:p>
      <w:pPr>
        <w:spacing w:before="156" w:after="156"/>
        <w:ind w:firstLine="420" w:firstLineChars="200"/>
        <w:rPr>
          <w:rFonts w:ascii="Times New Roman" w:hAnsi="Times New Roman" w:cs="Times New Roman"/>
        </w:rPr>
      </w:pPr>
      <w:r>
        <w:rPr>
          <w:rFonts w:ascii="Times New Roman" w:hAnsi="Times New Roman" w:cs="Times New Roman"/>
        </w:rPr>
        <w:t>尼龙66原料己二腈与10多年前尼龙6主要原料己内酰胺国产化历程类似，有望在国产化后迎来消费量迅速扩张。在天辰齐翔20万吨/年己二腈与英威达上海40万吨/年己二腈分别于2022年初、2022年中期建成投产后，民用、军用、汽车以及轨道交通领域尼龙66需求有较大成长空间。2021年，国内尼龙66表观消费量为51.58万吨。预计2025年国内尼龙需求将达到200万吨，对己二腈需求约为100万吨。</w:t>
      </w:r>
    </w:p>
    <w:p>
      <w:pPr>
        <w:widowControl/>
        <w:spacing w:before="156" w:after="156"/>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图2-6 未来尼龙66市场增长趋势预测</w:t>
      </w:r>
    </w:p>
    <w:p>
      <w:pPr>
        <w:spacing w:before="156" w:after="156"/>
        <w:jc w:val="center"/>
        <w:rPr>
          <w:rFonts w:ascii="Times New Roman" w:hAnsi="Times New Roman" w:cs="Times New Roman"/>
        </w:rPr>
      </w:pPr>
      <w:r>
        <w:rPr>
          <w:rFonts w:ascii="Times New Roman" w:hAnsi="Times New Roman" w:cs="Times New Roman"/>
        </w:rPr>
        <w:drawing>
          <wp:inline distT="0" distB="0" distL="114300" distR="114300">
            <wp:extent cx="5272405" cy="1793875"/>
            <wp:effectExtent l="0" t="0" r="0" b="0"/>
            <wp:docPr id="2064552723" name="图片 20645527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2723" name="图片 2064552723" descr="3"/>
                    <pic:cNvPicPr>
                      <a:picLocks noChangeAspect="1"/>
                    </pic:cNvPicPr>
                  </pic:nvPicPr>
                  <pic:blipFill>
                    <a:blip r:embed="rId18"/>
                    <a:srcRect t="21810"/>
                    <a:stretch>
                      <a:fillRect/>
                    </a:stretch>
                  </pic:blipFill>
                  <pic:spPr>
                    <a:xfrm>
                      <a:off x="0" y="0"/>
                      <a:ext cx="5272405" cy="1793875"/>
                    </a:xfrm>
                    <a:prstGeom prst="rect">
                      <a:avLst/>
                    </a:prstGeom>
                  </pic:spPr>
                </pic:pic>
              </a:graphicData>
            </a:graphic>
          </wp:inline>
        </w:drawing>
      </w:r>
    </w:p>
    <w:p>
      <w:pPr>
        <w:spacing w:before="156" w:after="156"/>
        <w:jc w:val="right"/>
        <w:rPr>
          <w:rFonts w:ascii="Times New Roman" w:hAnsi="Times New Roman" w:cs="Times New Roman"/>
          <w:b/>
          <w:bCs/>
          <w:color w:val="767171" w:themeColor="background2" w:themeShade="80"/>
          <w:sz w:val="18"/>
          <w:szCs w:val="18"/>
          <w:lang w:bidi="ar"/>
        </w:rPr>
      </w:pPr>
      <w:r>
        <w:rPr>
          <w:rFonts w:ascii="Times New Roman" w:hAnsi="Times New Roman" w:cs="Times New Roman"/>
          <w:b/>
          <w:bCs/>
          <w:color w:val="767171" w:themeColor="background2" w:themeShade="80"/>
          <w:sz w:val="18"/>
          <w:szCs w:val="18"/>
          <w:lang w:bidi="ar"/>
        </w:rPr>
        <w:t>数据来源：未来智库</w:t>
      </w:r>
    </w:p>
    <w:p>
      <w:pPr>
        <w:spacing w:before="156" w:after="156"/>
        <w:ind w:firstLine="420" w:firstLineChars="200"/>
        <w:rPr>
          <w:rFonts w:ascii="Times New Roman" w:hAnsi="Times New Roman" w:cs="Times New Roman"/>
        </w:rPr>
      </w:pPr>
      <w:r>
        <w:rPr>
          <w:rFonts w:ascii="Times New Roman" w:hAnsi="Times New Roman" w:cs="Times New Roman"/>
        </w:rPr>
        <w:t>国内己二腈的产业化后，其生产规模进一步扩大，成本也将进一步降低，并为PA66带来更大的进口替代空间，进一步打开PA66的应用空间，国内PA66行业或将迎来快速发展期。据行业推算，未来2~3年，己二腈、PA66需求有望翻番，未来5~10年，己二腈将达到一定的边际生产成本，PA66需求有望达到400万吨，中国或成为全球最大的己二腈-PA66市场。</w:t>
      </w:r>
    </w:p>
    <w:p>
      <w:pPr>
        <w:spacing w:before="156" w:after="156"/>
        <w:ind w:firstLine="420" w:firstLineChars="200"/>
        <w:rPr>
          <w:rFonts w:ascii="Times New Roman" w:hAnsi="Times New Roman" w:cs="Times New Roman"/>
        </w:rPr>
      </w:pPr>
    </w:p>
    <w:p>
      <w:pPr>
        <w:widowControl/>
        <w:spacing w:before="156" w:after="156"/>
        <w:jc w:val="center"/>
        <w:rPr>
          <w:rFonts w:ascii="Times New Roman" w:hAnsi="Times New Roman" w:cs="Times New Roman"/>
        </w:rPr>
      </w:pPr>
      <w:r>
        <w:rPr>
          <w:rFonts w:ascii="Times New Roman" w:hAnsi="Times New Roman" w:cs="Times New Roman"/>
          <w:b/>
          <w:bCs/>
          <w:color w:val="000000"/>
          <w:sz w:val="18"/>
          <w:szCs w:val="18"/>
          <w:lang w:bidi="ar"/>
        </w:rPr>
        <w:t>图2-6 中国ADN产业流程图</w:t>
      </w:r>
    </w:p>
    <w:p>
      <w:pPr>
        <w:spacing w:before="156" w:after="156"/>
        <w:jc w:val="center"/>
        <w:rPr>
          <w:rFonts w:ascii="Times New Roman" w:hAnsi="Times New Roman" w:cs="Times New Roman"/>
        </w:rPr>
      </w:pPr>
      <w:r>
        <w:rPr>
          <w:rFonts w:ascii="Times New Roman" w:hAnsi="Times New Roman" w:cs="Times New Roman"/>
        </w:rPr>
        <w:drawing>
          <wp:inline distT="0" distB="0" distL="114300" distR="114300">
            <wp:extent cx="3848100" cy="1631950"/>
            <wp:effectExtent l="0" t="0" r="0" b="6350"/>
            <wp:docPr id="3" name="图片 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
                    <pic:cNvPicPr>
                      <a:picLocks noChangeAspect="1"/>
                    </pic:cNvPicPr>
                  </pic:nvPicPr>
                  <pic:blipFill>
                    <a:blip r:embed="rId19"/>
                    <a:stretch>
                      <a:fillRect/>
                    </a:stretch>
                  </pic:blipFill>
                  <pic:spPr>
                    <a:xfrm>
                      <a:off x="0" y="0"/>
                      <a:ext cx="3848100" cy="1631950"/>
                    </a:xfrm>
                    <a:prstGeom prst="rect">
                      <a:avLst/>
                    </a:prstGeom>
                  </pic:spPr>
                </pic:pic>
              </a:graphicData>
            </a:graphic>
          </wp:inline>
        </w:drawing>
      </w:r>
    </w:p>
    <w:p>
      <w:pPr>
        <w:pStyle w:val="3"/>
        <w:spacing w:before="156" w:after="156"/>
        <w:rPr>
          <w:rFonts w:ascii="Times New Roman" w:hAnsi="Times New Roman" w:eastAsia="宋体" w:cs="Times New Roman"/>
        </w:rPr>
      </w:pPr>
      <w:bookmarkStart w:id="21" w:name="_Toc141669969"/>
      <w:r>
        <w:rPr>
          <w:rFonts w:ascii="Times New Roman" w:hAnsi="Times New Roman" w:eastAsia="宋体" w:cs="Times New Roman"/>
        </w:rPr>
        <w:t>2.2 上游产品分析</w:t>
      </w:r>
      <w:bookmarkEnd w:id="21"/>
    </w:p>
    <w:p>
      <w:pPr>
        <w:spacing w:before="156" w:after="156"/>
        <w:ind w:firstLine="420" w:firstLineChars="200"/>
        <w:rPr>
          <w:rFonts w:ascii="Times New Roman" w:hAnsi="Times New Roman" w:cs="Times New Roman"/>
        </w:rPr>
      </w:pPr>
      <w:r>
        <w:rPr>
          <w:rFonts w:ascii="Times New Roman" w:hAnsi="Times New Roman" w:cs="Times New Roman"/>
        </w:rPr>
        <w:t>目前全球己二腈生产技术路线主要有己二酸催化氨化法、丙烯腈电解二聚法和丁二烯直接氰化法。</w:t>
      </w:r>
    </w:p>
    <w:p>
      <w:pPr>
        <w:spacing w:before="156" w:after="156"/>
        <w:ind w:firstLine="420" w:firstLineChars="200"/>
        <w:rPr>
          <w:rFonts w:ascii="Times New Roman" w:hAnsi="Times New Roman" w:cs="Times New Roman"/>
        </w:rPr>
      </w:pPr>
      <w:r>
        <w:rPr>
          <w:rFonts w:ascii="Times New Roman" w:hAnsi="Times New Roman" w:cs="Times New Roman"/>
        </w:rPr>
        <w:t>丙烯腈电解二聚法的原料丙烯腈目前市场价格较昂贵。丙烯腈因其属于危险化学品, 跨境贸易受到运输的影响。我国丙烯腈装置主要以丙烯和液氨为原料, 丙烯和液氨价格直接影响丙烯腈生产成本, 进而影响丙烯腈的价格。2011年以来的大部分时间国内丙烯腈价格在 10000 ~ 15000 元/吨之间波动，丙烯腈2012-2021年均价约为12440元/吨。并且因其电解能耗大，导致生产规模一般较小，基本没有盈利空间。</w:t>
      </w:r>
    </w:p>
    <w:p>
      <w:pPr>
        <w:spacing w:before="156" w:after="156"/>
        <w:ind w:firstLine="420" w:firstLineChars="200"/>
        <w:rPr>
          <w:rFonts w:ascii="Times New Roman" w:hAnsi="Times New Roman" w:cs="Times New Roman"/>
        </w:rPr>
      </w:pPr>
      <w:r>
        <w:rPr>
          <w:rFonts w:ascii="Times New Roman" w:hAnsi="Times New Roman" w:cs="Times New Roman"/>
        </w:rPr>
        <w:t>丁二烯直接氰化法的原料是1，3-丁二烯和氢氰酸，原料价廉易得，但由于该技术复杂</w:t>
      </w:r>
      <w:r>
        <w:rPr>
          <w:rFonts w:hint="eastAsia" w:ascii="Times New Roman" w:hAnsi="Times New Roman" w:cs="Times New Roman"/>
        </w:rPr>
        <w:t>、关键技术开发困难</w:t>
      </w:r>
      <w:r>
        <w:rPr>
          <w:rFonts w:ascii="Times New Roman" w:hAnsi="Times New Roman" w:cs="Times New Roman"/>
        </w:rPr>
        <w:t>且目前尚处于高度垄断状态，专利技术转让费和一次性建设投资比较高</w:t>
      </w:r>
      <w:r>
        <w:rPr>
          <w:rFonts w:hint="eastAsia" w:ascii="Times New Roman" w:hAnsi="Times New Roman" w:cs="Times New Roman"/>
        </w:rPr>
        <w:t>，且原料具有较强的毒性，对生产技术和设备要求较高。</w:t>
      </w:r>
    </w:p>
    <w:p>
      <w:pPr>
        <w:spacing w:before="156" w:after="156"/>
        <w:ind w:firstLine="420" w:firstLineChars="200"/>
        <w:rPr>
          <w:rFonts w:ascii="Times New Roman" w:hAnsi="Times New Roman" w:cs="Times New Roman"/>
        </w:rPr>
      </w:pPr>
      <w:r>
        <w:rPr>
          <w:rFonts w:hint="eastAsia" w:ascii="Times New Roman" w:hAnsi="Times New Roman" w:cs="Times New Roman"/>
        </w:rPr>
        <w:t>己二酸催化氨化法以己二酸作为原料，工艺流程相对成熟，在</w:t>
      </w:r>
      <w:r>
        <w:rPr>
          <w:rFonts w:ascii="Times New Roman" w:hAnsi="Times New Roman" w:cs="Times New Roman"/>
        </w:rPr>
        <w:t>2012年以前己二酸原料成本较高，故而阻碍了此工艺的发展，但近年来随着市场上己二酸供求关系的变化，己二酸氨化法生产己二腈的原料成本大幅降低（目前己二酸市场报价区间在9500-9800元/吨），相对来说具有一定的经济优势，近年来此工艺路线又重新启用</w:t>
      </w:r>
      <w:r>
        <w:rPr>
          <w:rFonts w:hint="eastAsia" w:ascii="Times New Roman" w:hAnsi="Times New Roman" w:cs="Times New Roman"/>
        </w:rPr>
        <w:t>。综上本项目选择己二酸催化氨化法。</w:t>
      </w:r>
    </w:p>
    <w:p>
      <w:pPr>
        <w:pStyle w:val="3"/>
        <w:spacing w:before="156" w:after="156"/>
        <w:rPr>
          <w:rFonts w:ascii="Times New Roman" w:hAnsi="Times New Roman" w:eastAsia="宋体" w:cs="Times New Roman"/>
        </w:rPr>
      </w:pPr>
      <w:bookmarkStart w:id="22" w:name="_Toc141669970"/>
      <w:r>
        <w:rPr>
          <w:rFonts w:ascii="Times New Roman" w:hAnsi="Times New Roman" w:eastAsia="宋体" w:cs="Times New Roman"/>
        </w:rPr>
        <w:t>2.3 下游产品分析</w:t>
      </w:r>
      <w:bookmarkEnd w:id="22"/>
    </w:p>
    <w:p>
      <w:pPr>
        <w:spacing w:before="156" w:after="156"/>
        <w:ind w:firstLine="420" w:firstLineChars="200"/>
        <w:rPr>
          <w:rFonts w:ascii="Times New Roman" w:hAnsi="Times New Roman" w:cs="Times New Roman"/>
        </w:rPr>
      </w:pPr>
      <w:r>
        <w:rPr>
          <w:rFonts w:ascii="Times New Roman" w:hAnsi="Times New Roman" w:cs="Times New Roman"/>
        </w:rPr>
        <w:t>己二腈最重要的工业用途是生产己二胺，己二胺再与己二酸中和反应生成聚己二酰己二胺（尼龙66，国内也称锦纶66）盐。到目前为止，全球每年生产的己二腈约90%被用于生产尼龙66盐，占其生产成本的40%~50%。聚己二酰己二胺具有高强度、高韧性、抗蠕变性和优良的耐磨性等特点。同时，聚酰胺 66 也是优良的热塑性树脂，可制备成多种工程塑料，广泛应用于电子电气、汽车等领域。</w:t>
      </w:r>
    </w:p>
    <w:p>
      <w:pPr>
        <w:spacing w:before="156" w:after="156"/>
        <w:ind w:firstLine="420" w:firstLineChars="200"/>
        <w:rPr>
          <w:rFonts w:ascii="Times New Roman" w:hAnsi="Times New Roman" w:cs="Times New Roman"/>
        </w:rPr>
      </w:pPr>
      <w:r>
        <w:rPr>
          <w:rFonts w:ascii="Times New Roman" w:hAnsi="Times New Roman" w:cs="Times New Roman"/>
        </w:rPr>
        <w:t>2021 年，锦纶 66 全球总产能约为3452万吨，其中我国产能约 70 万吨，产量仅有38. 7 万吨，产能利用率仅为 55. 3%，这主要是由于关键原料己二腈严重依赖进口，目前全球己二腈产能主要来自英威达、奥升德和巴斯夫等欧美企业，三者合计产能约占全球总产能的95%，行业呈现高度集中甚至寡头垄断的局面。近年来，国内己二腈的进口逐年增多，从2010年12吨增长到2018年近30万吨，年均增长率达到12%，充分说明尼龙66的需求旺盛。相对于全球市场表现，中国尼龙市场需求增长势头迅猛。从2015年到2019年，尼龙66消费量增加了4.4万吨/年，数量上与全球所有其他地区的增长量相当。随着原料产能提升、成本下降，以及人们的生活水平提高、对高品质商品的需要、未来十年预计国内尼龙6、尼龙66的消费量将有一个较大增长空间。据华安化工测算：2025年全国尼龙66总需求量将在132万吨左右，2021-2025年年均复合增速为25%；2030年全国尼龙66总需求量将在288万吨左右，2026-2030年年均复合增速为17%。</w:t>
      </w:r>
    </w:p>
    <w:p>
      <w:pPr>
        <w:pStyle w:val="3"/>
        <w:spacing w:before="156" w:after="156"/>
        <w:rPr>
          <w:rFonts w:ascii="Times New Roman" w:hAnsi="Times New Roman" w:eastAsia="宋体" w:cs="Times New Roman"/>
        </w:rPr>
      </w:pPr>
      <w:bookmarkStart w:id="23" w:name="_Toc141669971"/>
      <w:r>
        <w:rPr>
          <w:rFonts w:ascii="Times New Roman" w:hAnsi="Times New Roman" w:eastAsia="宋体" w:cs="Times New Roman"/>
        </w:rPr>
        <w:t>2.4 市场风险分析</w:t>
      </w:r>
      <w:bookmarkEnd w:id="23"/>
    </w:p>
    <w:p>
      <w:pPr>
        <w:pStyle w:val="4"/>
        <w:spacing w:before="156" w:after="156"/>
        <w:rPr>
          <w:rFonts w:ascii="Times New Roman" w:hAnsi="Times New Roman" w:eastAsia="宋体" w:cs="Times New Roman"/>
        </w:rPr>
      </w:pPr>
      <w:bookmarkStart w:id="24" w:name="_Toc141669972"/>
      <w:r>
        <w:rPr>
          <w:rFonts w:ascii="Times New Roman" w:hAnsi="Times New Roman" w:eastAsia="宋体" w:cs="Times New Roman"/>
        </w:rPr>
        <w:t>2.4.1 风险因素识别</w:t>
      </w:r>
      <w:bookmarkEnd w:id="24"/>
    </w:p>
    <w:p>
      <w:pPr>
        <w:spacing w:before="156" w:after="156"/>
        <w:ind w:firstLine="420" w:firstLineChars="200"/>
        <w:rPr>
          <w:rFonts w:ascii="Times New Roman" w:hAnsi="Times New Roman" w:cs="Times New Roman"/>
        </w:rPr>
      </w:pPr>
      <w:r>
        <w:rPr>
          <w:rFonts w:ascii="Times New Roman" w:hAnsi="Times New Roman" w:cs="Times New Roman"/>
        </w:rPr>
        <w:t>（1）国内外多家企业的己二腈生产建设项目正在进行，预期不久己二腈市场供应短缺的现象将得到极大改善，届时己二腈面临的市场竞争将会加大；</w:t>
      </w:r>
    </w:p>
    <w:p>
      <w:pPr>
        <w:spacing w:before="156" w:after="156"/>
        <w:ind w:firstLine="420" w:firstLineChars="200"/>
        <w:rPr>
          <w:rFonts w:ascii="Times New Roman" w:hAnsi="Times New Roman" w:cs="Times New Roman"/>
        </w:rPr>
      </w:pPr>
      <w:r>
        <w:rPr>
          <w:rFonts w:ascii="Times New Roman" w:hAnsi="Times New Roman" w:cs="Times New Roman"/>
        </w:rPr>
        <w:t>（2）AND</w:t>
      </w:r>
      <w:r>
        <w:rPr>
          <w:rFonts w:hint="eastAsia" w:ascii="Times New Roman" w:hAnsi="Times New Roman" w:cs="Times New Roman"/>
        </w:rPr>
        <w:t>生产的</w:t>
      </w:r>
      <w:r>
        <w:rPr>
          <w:rFonts w:ascii="Times New Roman" w:hAnsi="Times New Roman" w:cs="Times New Roman"/>
        </w:rPr>
        <w:t>关键技术主要有欧美少数化工巨头掌握，我国产品制造成本偏高，与国外同类产品在经济性方面竞争力不强；</w:t>
      </w:r>
    </w:p>
    <w:p>
      <w:pPr>
        <w:pStyle w:val="4"/>
        <w:spacing w:before="156" w:after="156"/>
        <w:rPr>
          <w:rFonts w:ascii="Times New Roman" w:hAnsi="Times New Roman" w:eastAsia="宋体" w:cs="Times New Roman"/>
        </w:rPr>
      </w:pPr>
      <w:bookmarkStart w:id="25" w:name="_Toc141669973"/>
      <w:r>
        <w:rPr>
          <w:rFonts w:ascii="Times New Roman" w:hAnsi="Times New Roman" w:eastAsia="宋体" w:cs="Times New Roman"/>
        </w:rPr>
        <w:t>2.4.2 风险评估与对策</w:t>
      </w:r>
      <w:bookmarkEnd w:id="25"/>
    </w:p>
    <w:p>
      <w:pPr>
        <w:spacing w:before="156" w:after="156"/>
        <w:ind w:firstLine="420" w:firstLineChars="200"/>
        <w:rPr>
          <w:rFonts w:ascii="Times New Roman" w:hAnsi="Times New Roman" w:cs="Times New Roman"/>
        </w:rPr>
      </w:pPr>
      <w:r>
        <w:rPr>
          <w:rFonts w:ascii="Times New Roman" w:hAnsi="Times New Roman" w:cs="Times New Roman"/>
        </w:rPr>
        <w:t>（1）</w:t>
      </w:r>
      <w:r>
        <w:rPr>
          <w:rFonts w:hint="eastAsia" w:ascii="Times New Roman" w:hAnsi="Times New Roman" w:cs="Times New Roman"/>
          <w:b/>
        </w:rPr>
        <w:t>配套下游产品生产线，缓解市场变化风险</w:t>
      </w:r>
      <w:r>
        <w:rPr>
          <w:rFonts w:hint="eastAsia" w:ascii="Times New Roman" w:hAnsi="Times New Roman" w:cs="Times New Roman"/>
        </w:rPr>
        <w:t>。</w:t>
      </w:r>
      <w:r>
        <w:rPr>
          <w:rFonts w:ascii="Times New Roman" w:hAnsi="Times New Roman" w:cs="Times New Roman"/>
        </w:rPr>
        <w:t>己二腈主要用于生产尼龙66，中国尼龙市场需求增长势头迅猛，未来十年预计国内尼龙6、尼龙66的消费量将有一个较大增长空间。并且后期可在本项目后配套建设己二腈下游产品生产线，形成“己二腈-己二胺-尼龙66”一体化项目，可以满足自产自销，缓解市场变化的风险。</w:t>
      </w:r>
    </w:p>
    <w:p>
      <w:pPr>
        <w:spacing w:before="156" w:after="156"/>
        <w:ind w:firstLine="420" w:firstLineChars="200"/>
        <w:rPr>
          <w:rFonts w:ascii="Times New Roman" w:hAnsi="Times New Roman" w:cs="Times New Roman"/>
        </w:rPr>
      </w:pPr>
      <w:r>
        <w:rPr>
          <w:rFonts w:ascii="Times New Roman" w:hAnsi="Times New Roman" w:cs="Times New Roman"/>
        </w:rPr>
        <w:t>（2）</w:t>
      </w:r>
      <w:r>
        <w:rPr>
          <w:rFonts w:hint="eastAsia" w:ascii="Times New Roman" w:hAnsi="Times New Roman" w:cs="Times New Roman"/>
          <w:b/>
        </w:rPr>
        <w:t>合理投产，不断完善现有生产技术。</w:t>
      </w:r>
      <w:r>
        <w:rPr>
          <w:rFonts w:hint="eastAsia" w:ascii="Times New Roman" w:hAnsi="Times New Roman" w:cs="Times New Roman"/>
        </w:rPr>
        <w:t>未来不宜盲目新建或者扩建生产装置，而是应该不断完善现有生产技术，通过对现有催化剂的改进或者新型催化剂的研发，降低催化剂成本，调整工艺操作条件，以防止过多副产物的生成或对设备的堵塞等不良情况，还应加快各种新型装置设备的应用，以改进生产工艺，提高装置的运行稳定性和降低成本。</w:t>
      </w:r>
    </w:p>
    <w:p>
      <w:pPr>
        <w:spacing w:before="156" w:after="156"/>
        <w:ind w:firstLine="420" w:firstLineChars="200"/>
        <w:rPr>
          <w:rFonts w:ascii="Times New Roman" w:hAnsi="Times New Roman" w:cs="Times New Roman"/>
        </w:rPr>
      </w:pPr>
      <w:r>
        <w:rPr>
          <w:rFonts w:hint="eastAsia" w:ascii="Times New Roman" w:hAnsi="Times New Roman" w:cs="Times New Roman"/>
        </w:rPr>
        <w:t>（3）</w:t>
      </w:r>
      <w:r>
        <w:rPr>
          <w:rFonts w:hint="eastAsia" w:ascii="Times New Roman" w:hAnsi="Times New Roman" w:cs="Times New Roman"/>
          <w:b/>
        </w:rPr>
        <w:t>延伸上游产品的工艺路线，灵活调配产出比例。</w:t>
      </w:r>
      <w:r>
        <w:rPr>
          <w:rFonts w:hint="eastAsia" w:ascii="Times New Roman" w:hAnsi="Times New Roman" w:cs="Times New Roman"/>
        </w:rPr>
        <w:t>本项目利用总厂来源的氨气和己二酸合成己二腈，延伸了上游产品的工艺路线，提高产品的附加值，同时可以根据市场变化灵活调配产品的产出比例，提高了本项目的生存能力。</w:t>
      </w:r>
    </w:p>
    <w:p>
      <w:pPr>
        <w:pStyle w:val="2"/>
        <w:spacing w:before="156" w:after="156"/>
        <w:rPr>
          <w:rFonts w:ascii="Times New Roman" w:hAnsi="Times New Roman" w:eastAsia="宋体" w:cs="Times New Roman"/>
          <w:color w:val="000000" w:themeColor="text1"/>
          <w14:textFill>
            <w14:solidFill>
              <w14:schemeClr w14:val="tx1"/>
            </w14:solidFill>
          </w14:textFill>
        </w:rPr>
      </w:pPr>
      <w:bookmarkStart w:id="26" w:name="_Toc141669974"/>
      <w:r>
        <w:rPr>
          <w:rFonts w:ascii="Times New Roman" w:hAnsi="Times New Roman" w:eastAsia="宋体" w:cs="Times New Roman"/>
          <w:color w:val="000000" w:themeColor="text1"/>
          <w14:textFill>
            <w14:solidFill>
              <w14:schemeClr w14:val="tx1"/>
            </w14:solidFill>
          </w14:textFill>
        </w:rPr>
        <w:t>第三章 建设规模及产品方案</w:t>
      </w:r>
      <w:bookmarkEnd w:id="26"/>
    </w:p>
    <w:p>
      <w:pPr>
        <w:pStyle w:val="3"/>
        <w:spacing w:before="156" w:after="156"/>
        <w:rPr>
          <w:rFonts w:ascii="宋体" w:hAnsi="宋体" w:eastAsia="宋体" w:cs="Times New Roman"/>
        </w:rPr>
      </w:pPr>
      <w:bookmarkStart w:id="27" w:name="_Toc141669975"/>
      <w:r>
        <w:rPr>
          <w:rFonts w:ascii="宋体" w:hAnsi="宋体" w:eastAsia="宋体" w:cs="Times New Roman"/>
        </w:rPr>
        <w:t>3.1 政策符合性分析</w:t>
      </w:r>
      <w:bookmarkEnd w:id="27"/>
    </w:p>
    <w:p>
      <w:pPr>
        <w:pStyle w:val="4"/>
        <w:spacing w:before="156" w:after="156"/>
        <w:rPr>
          <w:rFonts w:ascii="Times New Roman" w:hAnsi="Times New Roman" w:eastAsia="宋体" w:cs="Times New Roman"/>
        </w:rPr>
      </w:pPr>
      <w:bookmarkStart w:id="28" w:name="_Toc141669976"/>
      <w:r>
        <w:rPr>
          <w:rFonts w:hint="eastAsia" w:ascii="Times New Roman" w:hAnsi="Times New Roman" w:eastAsia="宋体" w:cs="Times New Roman"/>
        </w:rPr>
        <w:t>3</w:t>
      </w:r>
      <w:r>
        <w:rPr>
          <w:rFonts w:ascii="Times New Roman" w:hAnsi="Times New Roman" w:eastAsia="宋体" w:cs="Times New Roman"/>
        </w:rPr>
        <w:t>.1.1</w:t>
      </w:r>
      <w:r>
        <w:rPr>
          <w:rFonts w:hint="eastAsia" w:ascii="Times New Roman" w:hAnsi="Times New Roman" w:eastAsia="宋体" w:cs="Times New Roman"/>
        </w:rPr>
        <w:t>产业政策符合性分析</w:t>
      </w:r>
      <w:bookmarkEnd w:id="28"/>
    </w:p>
    <w:p>
      <w:pPr>
        <w:spacing w:before="156" w:after="156"/>
        <w:ind w:firstLine="420" w:firstLineChars="200"/>
        <w:rPr>
          <w:rFonts w:ascii="宋体" w:hAnsi="宋体" w:cs="Times New Roman"/>
        </w:rPr>
      </w:pPr>
      <w:r>
        <w:rPr>
          <w:rFonts w:hint="eastAsia" w:ascii="宋体" w:hAnsi="宋体" w:cs="Times New Roman"/>
        </w:rPr>
        <w:t>（1）本项目为重庆华峰化工有限公司</w:t>
      </w:r>
      <w:r>
        <w:rPr>
          <w:rFonts w:ascii="宋体" w:hAnsi="宋体" w:cs="Times New Roman"/>
        </w:rPr>
        <w:t>10.5</w:t>
      </w:r>
      <w:r>
        <w:rPr>
          <w:rFonts w:hint="eastAsia" w:ascii="宋体" w:hAnsi="宋体" w:cs="Times New Roman"/>
        </w:rPr>
        <w:t>万吨/年9</w:t>
      </w:r>
      <w:r>
        <w:rPr>
          <w:rFonts w:ascii="宋体" w:hAnsi="宋体" w:cs="Times New Roman"/>
        </w:rPr>
        <w:t>9.99</w:t>
      </w:r>
      <w:r>
        <w:rPr>
          <w:rFonts w:hint="eastAsia" w:ascii="宋体" w:hAnsi="宋体" w:cs="Times New Roman"/>
        </w:rPr>
        <w:t>%wt己二腈项目，使用原料为己二酸和液氨，产品为己二腈。</w:t>
      </w:r>
    </w:p>
    <w:p>
      <w:pPr>
        <w:spacing w:before="156" w:after="156"/>
        <w:ind w:firstLine="420" w:firstLineChars="200"/>
        <w:rPr>
          <w:rFonts w:ascii="宋体" w:hAnsi="宋体" w:cs="Times New Roman"/>
        </w:rPr>
      </w:pPr>
      <w:r>
        <w:rPr>
          <w:rFonts w:hint="eastAsia" w:ascii="宋体" w:hAnsi="宋体" w:cs="Times New Roman"/>
        </w:rPr>
        <w:t>（2）本项目符合《产业结构调整指导目录（2</w:t>
      </w:r>
      <w:r>
        <w:rPr>
          <w:rFonts w:ascii="宋体" w:hAnsi="宋体" w:cs="Times New Roman"/>
        </w:rPr>
        <w:t>019</w:t>
      </w:r>
      <w:r>
        <w:rPr>
          <w:rFonts w:hint="eastAsia" w:ascii="宋体" w:hAnsi="宋体" w:cs="Times New Roman"/>
        </w:rPr>
        <w:t>年本）》中第一类鼓励类第十一项石油化工第4条中“万吨级己二腈生产装置、生产技术开发与应用”。</w:t>
      </w:r>
    </w:p>
    <w:p>
      <w:pPr>
        <w:pStyle w:val="4"/>
        <w:spacing w:before="156" w:after="156"/>
        <w:rPr>
          <w:rFonts w:ascii="Times New Roman" w:hAnsi="Times New Roman" w:eastAsia="宋体" w:cs="Times New Roman"/>
        </w:rPr>
      </w:pPr>
      <w:bookmarkStart w:id="29" w:name="_Toc141669977"/>
      <w:r>
        <w:rPr>
          <w:rFonts w:hint="eastAsia" w:ascii="Times New Roman" w:hAnsi="Times New Roman" w:eastAsia="宋体" w:cs="Times New Roman"/>
        </w:rPr>
        <w:t>3</w:t>
      </w:r>
      <w:r>
        <w:rPr>
          <w:rFonts w:ascii="Times New Roman" w:hAnsi="Times New Roman" w:eastAsia="宋体" w:cs="Times New Roman"/>
        </w:rPr>
        <w:t>.1.2</w:t>
      </w:r>
      <w:r>
        <w:rPr>
          <w:rFonts w:hint="eastAsia" w:ascii="Times New Roman" w:hAnsi="Times New Roman" w:eastAsia="宋体" w:cs="Times New Roman"/>
        </w:rPr>
        <w:t>行业准入性符合性分析</w:t>
      </w:r>
      <w:bookmarkEnd w:id="29"/>
    </w:p>
    <w:p>
      <w:pPr>
        <w:spacing w:before="156" w:after="156"/>
        <w:ind w:firstLine="420" w:firstLineChars="200"/>
        <w:rPr>
          <w:rFonts w:ascii="宋体" w:hAnsi="宋体" w:cs="Times New Roman"/>
        </w:rPr>
      </w:pPr>
      <w:r>
        <w:rPr>
          <w:rFonts w:hint="eastAsia" w:ascii="宋体" w:hAnsi="宋体" w:cs="Times New Roman"/>
        </w:rPr>
        <w:t>（1）《中国制造</w:t>
      </w:r>
      <w:r>
        <w:rPr>
          <w:rFonts w:ascii="宋体" w:hAnsi="宋体" w:cs="Times New Roman"/>
        </w:rPr>
        <w:t xml:space="preserve"> 2025》其中一项基本方针为：绿色发展。本项目采用</w:t>
      </w:r>
      <w:r>
        <w:rPr>
          <w:rFonts w:hint="eastAsia" w:ascii="宋体" w:hAnsi="宋体" w:cs="Times New Roman"/>
        </w:rPr>
        <w:t>己二酸催化氨化方法生产</w:t>
      </w:r>
      <w:r>
        <w:rPr>
          <w:rFonts w:ascii="宋体" w:hAnsi="宋体" w:cs="Times New Roman"/>
        </w:rPr>
        <w:t xml:space="preserve"> ADN，</w:t>
      </w:r>
      <w:r>
        <w:rPr>
          <w:rFonts w:hint="eastAsia" w:ascii="宋体" w:hAnsi="宋体" w:cs="Times New Roman"/>
        </w:rPr>
        <w:t>原料毒性相较于丁二烯法和丙烯腈法更低，生产过程中有脱碳工艺，减少了二氧化碳排放并得到具有后续利用价值的氮肥产品，符合《中国制造</w:t>
      </w:r>
      <w:r>
        <w:rPr>
          <w:rFonts w:ascii="宋体" w:hAnsi="宋体" w:cs="Times New Roman"/>
        </w:rPr>
        <w:t xml:space="preserve"> 2025》对中国制造业的要求。</w:t>
      </w:r>
    </w:p>
    <w:p>
      <w:pPr>
        <w:spacing w:before="156" w:after="156"/>
        <w:ind w:firstLine="420" w:firstLineChars="200"/>
        <w:rPr>
          <w:rFonts w:ascii="宋体" w:hAnsi="宋体" w:cs="Times New Roman"/>
        </w:rPr>
      </w:pPr>
      <w:r>
        <w:rPr>
          <w:rFonts w:hint="eastAsia" w:ascii="宋体" w:hAnsi="宋体" w:cs="Times New Roman"/>
        </w:rPr>
        <w:t>（2）本项目内容未被列入《重庆市产业投资准入工作手册》涉及的“不予准入”类，根据“限制准入类”中所提及“在合格园区外新建石化类高污染项目”，本项目在合格集中工业园区内建设，符合其要求。</w:t>
      </w:r>
    </w:p>
    <w:p>
      <w:pPr>
        <w:pStyle w:val="4"/>
        <w:spacing w:before="156" w:after="156"/>
        <w:rPr>
          <w:rFonts w:ascii="Times New Roman" w:hAnsi="Times New Roman" w:eastAsia="宋体" w:cs="Times New Roman"/>
        </w:rPr>
      </w:pPr>
      <w:bookmarkStart w:id="30" w:name="_Toc141669978"/>
      <w:r>
        <w:rPr>
          <w:rFonts w:ascii="Times New Roman" w:hAnsi="Times New Roman" w:eastAsia="宋体" w:cs="Times New Roman"/>
        </w:rPr>
        <w:t>3.1.3</w:t>
      </w:r>
      <w:r>
        <w:rPr>
          <w:rFonts w:hint="eastAsia" w:ascii="Times New Roman" w:hAnsi="Times New Roman" w:eastAsia="宋体" w:cs="Times New Roman"/>
        </w:rPr>
        <w:t>所在地或园区规划符合性分析</w:t>
      </w:r>
      <w:bookmarkEnd w:id="30"/>
    </w:p>
    <w:p>
      <w:pPr>
        <w:spacing w:before="156" w:after="156"/>
        <w:ind w:firstLine="420" w:firstLineChars="200"/>
        <w:rPr>
          <w:rFonts w:ascii="宋体" w:hAnsi="宋体" w:cs="Times New Roman"/>
        </w:rPr>
      </w:pPr>
      <w:r>
        <w:rPr>
          <w:rFonts w:hint="eastAsia" w:ascii="宋体" w:hAnsi="宋体" w:cs="Times New Roman"/>
        </w:rPr>
        <w:t>（1）根据《“十四五”工业绿色发展规划》对长江经济带的要求，长江经济带。加强化工园区整治提升和污染治理，长江干支流</w:t>
      </w:r>
      <w:r>
        <w:rPr>
          <w:rFonts w:ascii="宋体" w:hAnsi="宋体" w:cs="Times New Roman"/>
        </w:rPr>
        <w:t>1公里范围内严禁新建扩建化工项目，开展沿江工业节水减污</w:t>
      </w:r>
      <w:r>
        <w:rPr>
          <w:rFonts w:hint="eastAsia" w:ascii="宋体" w:hAnsi="宋体" w:cs="Times New Roman"/>
        </w:rPr>
        <w:t>，该项目符合其要求。</w:t>
      </w:r>
    </w:p>
    <w:p>
      <w:pPr>
        <w:spacing w:before="156" w:after="156"/>
        <w:ind w:firstLine="420" w:firstLineChars="200"/>
        <w:rPr>
          <w:rFonts w:ascii="宋体" w:hAnsi="宋体" w:cs="Times New Roman"/>
        </w:rPr>
      </w:pPr>
      <w:r>
        <w:rPr>
          <w:rFonts w:hint="eastAsia" w:ascii="宋体" w:hAnsi="宋体" w:cs="Times New Roman"/>
        </w:rPr>
        <w:t>（2）</w:t>
      </w:r>
      <w:r>
        <w:rPr>
          <w:rFonts w:ascii="宋体" w:hAnsi="宋体" w:cs="Times New Roman"/>
        </w:rPr>
        <w:t>《重庆市涪陵区化工行业“十四五”安全发展规划（2021—2025年）》</w:t>
      </w:r>
      <w:r>
        <w:rPr>
          <w:rFonts w:hint="eastAsia" w:ascii="宋体" w:hAnsi="宋体" w:cs="Times New Roman"/>
        </w:rPr>
        <w:t>中指出，重庆白涛化工园区未来产业发展方向应该发挥本地己二酸、己二胺等产能优势，依托全球最大己二酸生产工厂优势，攻克己二腈“卡脖子技术”，本项目利用所在白涛化工园区具有产能优势的己二酸为原料生产万吨级己二腈，有助于发展园区产业，形成产业集聚效应，提升园区产业在全市乃至全国产业的比重，延伸上游产品工艺路线，符合园区发展规划。</w:t>
      </w:r>
    </w:p>
    <w:p>
      <w:pPr>
        <w:pStyle w:val="3"/>
        <w:spacing w:before="156" w:after="156"/>
        <w:rPr>
          <w:rFonts w:ascii="宋体" w:hAnsi="宋体" w:eastAsia="宋体" w:cs="Times New Roman"/>
        </w:rPr>
      </w:pPr>
      <w:bookmarkStart w:id="31" w:name="_Toc141669979"/>
      <w:r>
        <w:rPr>
          <w:rFonts w:ascii="宋体" w:hAnsi="宋体" w:eastAsia="宋体" w:cs="Times New Roman"/>
        </w:rPr>
        <w:t>3.2 建设规模和产品</w:t>
      </w:r>
      <w:bookmarkEnd w:id="31"/>
    </w:p>
    <w:p>
      <w:pPr>
        <w:pStyle w:val="4"/>
        <w:spacing w:before="156" w:after="156"/>
        <w:rPr>
          <w:rFonts w:ascii="Times New Roman" w:hAnsi="Times New Roman" w:eastAsia="宋体" w:cs="Times New Roman"/>
        </w:rPr>
      </w:pPr>
      <w:bookmarkStart w:id="32" w:name="_Toc141669980"/>
      <w:r>
        <w:rPr>
          <w:rFonts w:hint="eastAsia" w:ascii="Times New Roman" w:hAnsi="Times New Roman" w:eastAsia="宋体" w:cs="Times New Roman"/>
        </w:rPr>
        <w:t>3</w:t>
      </w:r>
      <w:r>
        <w:rPr>
          <w:rFonts w:ascii="Times New Roman" w:hAnsi="Times New Roman" w:eastAsia="宋体" w:cs="Times New Roman"/>
        </w:rPr>
        <w:t>.2.1</w:t>
      </w:r>
      <w:r>
        <w:rPr>
          <w:rFonts w:hint="eastAsia" w:ascii="Times New Roman" w:hAnsi="Times New Roman" w:eastAsia="宋体" w:cs="Times New Roman"/>
        </w:rPr>
        <w:t>建设规模</w:t>
      </w:r>
      <w:bookmarkEnd w:id="32"/>
    </w:p>
    <w:p>
      <w:pPr>
        <w:spacing w:before="156" w:after="156"/>
        <w:ind w:firstLine="420" w:firstLineChars="200"/>
        <w:rPr>
          <w:rFonts w:ascii="宋体" w:hAnsi="宋体" w:cs="Times New Roman"/>
        </w:rPr>
      </w:pPr>
      <w:r>
        <w:rPr>
          <w:rFonts w:hint="eastAsia" w:ascii="宋体" w:hAnsi="宋体" w:cs="Times New Roman"/>
        </w:rPr>
        <w:t>本项目综合考虑了原料供应条件、市场供需现状、建设条件技术设备水平、环境保护及产</w:t>
      </w:r>
      <w:r>
        <w:rPr>
          <w:rFonts w:hint="eastAsia" w:ascii="Times New Roman" w:hAnsi="Times New Roman" w:cs="Times New Roman"/>
          <w:szCs w:val="21"/>
        </w:rPr>
        <w:t>业政策等，同时参照了国内外主要生产企业的生产情况。确定本厂的生产规模为：以每年</w:t>
      </w:r>
      <w:r>
        <w:rPr>
          <w:rFonts w:ascii="Times New Roman" w:hAnsi="Times New Roman" w:cs="Times New Roman"/>
          <w:szCs w:val="21"/>
        </w:rPr>
        <w:t>8000小时为生产周期，每年生产10.5万吨 99.9%wt</w:t>
      </w:r>
      <w:r>
        <w:rPr>
          <w:rFonts w:hint="eastAsia" w:ascii="Times New Roman" w:hAnsi="Times New Roman" w:cs="Times New Roman"/>
          <w:szCs w:val="21"/>
        </w:rPr>
        <w:t>己二腈（A</w:t>
      </w:r>
      <w:r>
        <w:rPr>
          <w:rFonts w:ascii="Times New Roman" w:hAnsi="Times New Roman" w:cs="Times New Roman"/>
          <w:szCs w:val="21"/>
        </w:rPr>
        <w:t>DN</w:t>
      </w:r>
      <w:r>
        <w:rPr>
          <w:rFonts w:hint="eastAsia" w:ascii="Times New Roman" w:hAnsi="Times New Roman" w:cs="Times New Roman"/>
          <w:szCs w:val="21"/>
        </w:rPr>
        <w:t>）</w:t>
      </w:r>
      <w:r>
        <w:rPr>
          <w:rFonts w:ascii="Times New Roman" w:hAnsi="Times New Roman" w:cs="Times New Roman"/>
          <w:szCs w:val="21"/>
        </w:rPr>
        <w:t>。项目建设规模如表 3-1 所示</w:t>
      </w:r>
      <w:r>
        <w:rPr>
          <w:rFonts w:hint="eastAsia" w:ascii="Times New Roman" w:hAnsi="Times New Roman" w:cs="Times New Roman"/>
          <w:szCs w:val="21"/>
        </w:rPr>
        <w:t>。</w:t>
      </w:r>
    </w:p>
    <w:p>
      <w:pPr>
        <w:spacing w:before="156" w:after="156"/>
        <w:jc w:val="center"/>
        <w:rPr>
          <w:rFonts w:ascii="宋体" w:hAnsi="宋体" w:cs="Times New Roman"/>
          <w:b/>
          <w:sz w:val="18"/>
          <w:szCs w:val="18"/>
        </w:rPr>
      </w:pPr>
      <w:r>
        <w:rPr>
          <w:rFonts w:hint="eastAsia" w:ascii="宋体" w:hAnsi="宋体" w:cs="Times New Roman"/>
          <w:b/>
          <w:sz w:val="18"/>
          <w:szCs w:val="18"/>
        </w:rPr>
        <w:t>表3</w:t>
      </w:r>
      <w:r>
        <w:rPr>
          <w:rFonts w:ascii="宋体" w:hAnsi="宋体" w:cs="Times New Roman"/>
          <w:b/>
          <w:sz w:val="18"/>
          <w:szCs w:val="18"/>
        </w:rPr>
        <w:t xml:space="preserve">-1 </w:t>
      </w:r>
      <w:r>
        <w:rPr>
          <w:rFonts w:hint="eastAsia" w:ascii="宋体" w:hAnsi="宋体" w:cs="Times New Roman"/>
          <w:b/>
          <w:sz w:val="18"/>
          <w:szCs w:val="18"/>
        </w:rPr>
        <w:t>项目建设规模</w:t>
      </w:r>
    </w:p>
    <w:tbl>
      <w:tblPr>
        <w:tblStyle w:val="41"/>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序号</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项目名称</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单位</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指标</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tcPr>
          <w:p>
            <w:pPr>
              <w:spacing w:before="0" w:beforeLines="0" w:after="0" w:afterLines="0"/>
              <w:jc w:val="center"/>
              <w:rPr>
                <w:rFonts w:ascii="宋体" w:hAnsi="宋体" w:cs="Times New Roman"/>
                <w:b w:val="0"/>
                <w:bCs w:val="0"/>
              </w:rPr>
            </w:pPr>
            <w:r>
              <w:rPr>
                <w:rFonts w:hint="eastAsia" w:ascii="宋体" w:hAnsi="宋体" w:cs="Times New Roman"/>
                <w:b/>
                <w:bCs/>
              </w:rPr>
              <w:t>1</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A</w:t>
            </w:r>
            <w:r>
              <w:rPr>
                <w:rFonts w:ascii="宋体" w:hAnsi="宋体" w:cs="Times New Roman"/>
              </w:rPr>
              <w:t>DN</w:t>
            </w:r>
            <w:r>
              <w:rPr>
                <w:rFonts w:hint="eastAsia" w:ascii="宋体" w:hAnsi="宋体" w:cs="Times New Roman"/>
              </w:rPr>
              <w:t>产量</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1</w:t>
            </w:r>
            <w:r>
              <w:rPr>
                <w:rFonts w:ascii="宋体" w:hAnsi="宋体" w:cs="Times New Roman"/>
              </w:rPr>
              <w:t>0</w:t>
            </w:r>
            <w:r>
              <w:rPr>
                <w:rFonts w:ascii="宋体" w:hAnsi="宋体" w:cs="Times New Roman"/>
                <w:vertAlign w:val="superscript"/>
              </w:rPr>
              <w:t>4</w:t>
            </w:r>
            <w:r>
              <w:rPr>
                <w:rFonts w:hint="eastAsia" w:ascii="宋体" w:hAnsi="宋体" w:cs="Times New Roman"/>
              </w:rPr>
              <w:t>t</w:t>
            </w:r>
            <w:r>
              <w:rPr>
                <w:rFonts w:ascii="宋体" w:hAnsi="宋体" w:cs="Times New Roman"/>
              </w:rPr>
              <w:t>/a</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1</w:t>
            </w:r>
            <w:r>
              <w:rPr>
                <w:rFonts w:ascii="宋体" w:hAnsi="宋体" w:cs="Times New Roman"/>
              </w:rPr>
              <w:t>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tcPr>
          <w:p>
            <w:pPr>
              <w:spacing w:before="0" w:beforeLines="0" w:after="0" w:afterLines="0"/>
              <w:jc w:val="center"/>
              <w:rPr>
                <w:rFonts w:ascii="宋体" w:hAnsi="宋体" w:cs="Times New Roman"/>
                <w:b w:val="0"/>
                <w:bCs w:val="0"/>
              </w:rPr>
            </w:pPr>
            <w:r>
              <w:rPr>
                <w:rFonts w:hint="eastAsia" w:ascii="宋体" w:hAnsi="宋体" w:cs="Times New Roman"/>
                <w:b/>
                <w:bCs/>
              </w:rPr>
              <w:t>2</w:t>
            </w:r>
          </w:p>
        </w:tc>
        <w:tc>
          <w:tcPr>
            <w:tcW w:w="2074" w:type="dxa"/>
          </w:tcPr>
          <w:p>
            <w:pPr>
              <w:spacing w:before="0" w:beforeLines="0" w:after="0" w:afterLines="0"/>
              <w:jc w:val="center"/>
              <w:rPr>
                <w:rFonts w:ascii="宋体" w:hAnsi="宋体" w:cs="Times New Roman"/>
              </w:rPr>
            </w:pPr>
            <w:r>
              <w:rPr>
                <w:rFonts w:hint="eastAsia" w:ascii="宋体" w:hAnsi="宋体" w:cs="Times New Roman"/>
              </w:rPr>
              <w:t>I</w:t>
            </w:r>
            <w:r>
              <w:rPr>
                <w:rFonts w:ascii="宋体" w:hAnsi="宋体" w:cs="Times New Roman"/>
              </w:rPr>
              <w:t>CCP</w:t>
            </w:r>
            <w:r>
              <w:rPr>
                <w:rFonts w:hint="eastAsia" w:ascii="宋体" w:hAnsi="宋体" w:cs="Times New Roman"/>
              </w:rPr>
              <w:t>产量</w:t>
            </w:r>
          </w:p>
        </w:tc>
        <w:tc>
          <w:tcPr>
            <w:tcW w:w="2074" w:type="dxa"/>
          </w:tcPr>
          <w:p>
            <w:pPr>
              <w:spacing w:before="0" w:beforeLines="0" w:after="0" w:afterLines="0"/>
              <w:jc w:val="center"/>
              <w:rPr>
                <w:rFonts w:ascii="宋体" w:hAnsi="宋体" w:cs="Times New Roman"/>
              </w:rPr>
            </w:pPr>
            <w:r>
              <w:rPr>
                <w:rFonts w:hint="eastAsia" w:ascii="宋体" w:hAnsi="宋体" w:cs="Times New Roman"/>
              </w:rPr>
              <w:t>1</w:t>
            </w:r>
            <w:r>
              <w:rPr>
                <w:rFonts w:ascii="宋体" w:hAnsi="宋体" w:cs="Times New Roman"/>
              </w:rPr>
              <w:t>0</w:t>
            </w:r>
            <w:r>
              <w:rPr>
                <w:rFonts w:ascii="宋体" w:hAnsi="宋体" w:cs="Times New Roman"/>
                <w:vertAlign w:val="superscript"/>
              </w:rPr>
              <w:t>4</w:t>
            </w:r>
            <w:r>
              <w:rPr>
                <w:rFonts w:hint="eastAsia" w:ascii="宋体" w:hAnsi="宋体" w:cs="Times New Roman"/>
              </w:rPr>
              <w:t>t</w:t>
            </w:r>
            <w:r>
              <w:rPr>
                <w:rFonts w:ascii="宋体" w:hAnsi="宋体" w:cs="Times New Roman"/>
              </w:rPr>
              <w:t>/a</w:t>
            </w:r>
          </w:p>
        </w:tc>
        <w:tc>
          <w:tcPr>
            <w:tcW w:w="2074" w:type="dxa"/>
          </w:tcPr>
          <w:p>
            <w:pPr>
              <w:spacing w:before="0" w:beforeLines="0" w:after="0" w:afterLines="0"/>
              <w:jc w:val="center"/>
              <w:rPr>
                <w:rFonts w:ascii="宋体" w:hAnsi="宋体" w:cs="Times New Roman"/>
              </w:rPr>
            </w:pPr>
            <w:r>
              <w:rPr>
                <w:rFonts w:hint="eastAsia" w:ascii="宋体" w:hAnsi="宋体" w:cs="Times New Roman"/>
              </w:rPr>
              <w:t>1.</w:t>
            </w:r>
            <w:r>
              <w:rPr>
                <w:rFonts w:ascii="宋体" w:hAnsi="宋体" w:cs="Times New Roman"/>
              </w:rPr>
              <w:t>74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tcPr>
          <w:p>
            <w:pPr>
              <w:spacing w:before="0" w:beforeLines="0" w:after="0" w:afterLines="0"/>
              <w:jc w:val="center"/>
              <w:rPr>
                <w:rFonts w:ascii="宋体" w:hAnsi="宋体" w:cs="Times New Roman"/>
                <w:b w:val="0"/>
                <w:bCs w:val="0"/>
              </w:rPr>
            </w:pPr>
            <w:r>
              <w:rPr>
                <w:rFonts w:hint="eastAsia" w:ascii="宋体" w:hAnsi="宋体" w:cs="Times New Roman"/>
                <w:b/>
                <w:bCs/>
              </w:rPr>
              <w:t>3</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己二腈二聚物产量</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1</w:t>
            </w:r>
            <w:r>
              <w:rPr>
                <w:rFonts w:ascii="宋体" w:hAnsi="宋体" w:cs="Times New Roman"/>
              </w:rPr>
              <w:t>0</w:t>
            </w:r>
            <w:r>
              <w:rPr>
                <w:rFonts w:ascii="宋体" w:hAnsi="宋体" w:cs="Times New Roman"/>
                <w:vertAlign w:val="superscript"/>
              </w:rPr>
              <w:t>4</w:t>
            </w:r>
            <w:r>
              <w:rPr>
                <w:rFonts w:hint="eastAsia" w:ascii="宋体" w:hAnsi="宋体" w:cs="Times New Roman"/>
              </w:rPr>
              <w:t>t</w:t>
            </w:r>
            <w:r>
              <w:rPr>
                <w:rFonts w:ascii="宋体" w:hAnsi="宋体" w:cs="Times New Roman"/>
              </w:rPr>
              <w:t>/a</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0</w:t>
            </w:r>
            <w:r>
              <w:rPr>
                <w:rFonts w:ascii="宋体" w:hAnsi="宋体" w:cs="Times New Roman"/>
              </w:rPr>
              <w:t>.512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tcPr>
          <w:p>
            <w:pPr>
              <w:spacing w:before="0" w:beforeLines="0" w:after="0" w:afterLines="0"/>
              <w:jc w:val="center"/>
              <w:rPr>
                <w:rFonts w:ascii="宋体" w:hAnsi="宋体" w:cs="Times New Roman"/>
                <w:b w:val="0"/>
                <w:bCs w:val="0"/>
              </w:rPr>
            </w:pPr>
            <w:r>
              <w:rPr>
                <w:rFonts w:ascii="宋体" w:hAnsi="宋体" w:cs="Times New Roman"/>
                <w:b/>
                <w:bCs/>
              </w:rPr>
              <w:t>4</w:t>
            </w:r>
          </w:p>
        </w:tc>
        <w:tc>
          <w:tcPr>
            <w:tcW w:w="2074" w:type="dxa"/>
          </w:tcPr>
          <w:p>
            <w:pPr>
              <w:spacing w:before="0" w:beforeLines="0" w:after="0" w:afterLines="0"/>
              <w:jc w:val="center"/>
              <w:rPr>
                <w:rFonts w:ascii="宋体" w:hAnsi="宋体" w:cs="Times New Roman"/>
              </w:rPr>
            </w:pPr>
            <w:r>
              <w:rPr>
                <w:rFonts w:hint="eastAsia" w:ascii="宋体" w:hAnsi="宋体" w:cs="Times New Roman"/>
              </w:rPr>
              <w:t>工作时间</w:t>
            </w:r>
          </w:p>
        </w:tc>
        <w:tc>
          <w:tcPr>
            <w:tcW w:w="2074" w:type="dxa"/>
          </w:tcPr>
          <w:p>
            <w:pPr>
              <w:spacing w:before="0" w:beforeLines="0" w:after="0" w:afterLines="0"/>
              <w:jc w:val="center"/>
              <w:rPr>
                <w:rFonts w:ascii="宋体" w:hAnsi="宋体" w:cs="Times New Roman"/>
              </w:rPr>
            </w:pPr>
            <w:r>
              <w:rPr>
                <w:rFonts w:hint="eastAsia" w:ascii="宋体" w:hAnsi="宋体" w:cs="Times New Roman"/>
              </w:rPr>
              <w:t>h</w:t>
            </w:r>
            <w:r>
              <w:rPr>
                <w:rFonts w:ascii="宋体" w:hAnsi="宋体" w:cs="Times New Roman"/>
              </w:rPr>
              <w:t>/a</w:t>
            </w:r>
          </w:p>
        </w:tc>
        <w:tc>
          <w:tcPr>
            <w:tcW w:w="2074" w:type="dxa"/>
          </w:tcPr>
          <w:p>
            <w:pPr>
              <w:spacing w:before="0" w:beforeLines="0" w:after="0" w:afterLines="0"/>
              <w:jc w:val="center"/>
              <w:rPr>
                <w:rFonts w:ascii="宋体" w:hAnsi="宋体" w:cs="Times New Roman"/>
              </w:rPr>
            </w:pPr>
            <w:r>
              <w:rPr>
                <w:rFonts w:hint="eastAsia" w:ascii="宋体" w:hAnsi="宋体" w:cs="Times New Roman"/>
              </w:rPr>
              <w:t>8</w:t>
            </w:r>
            <w:r>
              <w:rPr>
                <w:rFonts w:ascii="宋体" w:hAnsi="宋体" w:cs="Times New Roman"/>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tcPr>
          <w:p>
            <w:pPr>
              <w:spacing w:before="0" w:beforeLines="0" w:after="0" w:afterLines="0"/>
              <w:jc w:val="center"/>
              <w:rPr>
                <w:rFonts w:ascii="宋体" w:hAnsi="宋体" w:cs="Times New Roman"/>
                <w:b w:val="0"/>
                <w:bCs w:val="0"/>
              </w:rPr>
            </w:pPr>
            <w:r>
              <w:rPr>
                <w:rFonts w:ascii="宋体" w:hAnsi="宋体" w:cs="Times New Roman"/>
                <w:b/>
                <w:bCs/>
              </w:rPr>
              <w:t>5</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项目用地</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m</w:t>
            </w:r>
            <w:r>
              <w:rPr>
                <w:rFonts w:ascii="宋体" w:hAnsi="宋体" w:cs="Times New Roman"/>
                <w:vertAlign w:val="superscript"/>
              </w:rPr>
              <w:t>2</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1</w:t>
            </w:r>
            <w:r>
              <w:rPr>
                <w:rFonts w:ascii="宋体" w:hAnsi="宋体" w:cs="Times New Roman"/>
              </w:rPr>
              <w:t>03315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tcPr>
          <w:p>
            <w:pPr>
              <w:spacing w:before="0" w:beforeLines="0" w:after="0" w:afterLines="0"/>
              <w:jc w:val="center"/>
              <w:rPr>
                <w:rFonts w:ascii="宋体" w:hAnsi="宋体" w:cs="Times New Roman"/>
                <w:b w:val="0"/>
                <w:bCs w:val="0"/>
              </w:rPr>
            </w:pPr>
            <w:r>
              <w:rPr>
                <w:rFonts w:ascii="宋体" w:hAnsi="宋体" w:cs="Times New Roman"/>
                <w:b/>
                <w:bCs/>
              </w:rPr>
              <w:t>6</w:t>
            </w:r>
          </w:p>
        </w:tc>
        <w:tc>
          <w:tcPr>
            <w:tcW w:w="2074" w:type="dxa"/>
          </w:tcPr>
          <w:p>
            <w:pPr>
              <w:spacing w:before="0" w:beforeLines="0" w:after="0" w:afterLines="0"/>
              <w:jc w:val="center"/>
              <w:rPr>
                <w:rFonts w:ascii="宋体" w:hAnsi="宋体" w:cs="Times New Roman"/>
              </w:rPr>
            </w:pPr>
            <w:r>
              <w:rPr>
                <w:rFonts w:hint="eastAsia" w:ascii="宋体" w:hAnsi="宋体" w:cs="Times New Roman"/>
              </w:rPr>
              <w:t>项目投资</w:t>
            </w:r>
          </w:p>
        </w:tc>
        <w:tc>
          <w:tcPr>
            <w:tcW w:w="2074" w:type="dxa"/>
          </w:tcPr>
          <w:p>
            <w:pPr>
              <w:spacing w:before="0" w:beforeLines="0" w:after="0" w:afterLines="0"/>
              <w:jc w:val="center"/>
              <w:rPr>
                <w:rFonts w:ascii="宋体" w:hAnsi="宋体" w:cs="Times New Roman"/>
              </w:rPr>
            </w:pPr>
            <w:r>
              <w:rPr>
                <w:rFonts w:hint="eastAsia" w:ascii="宋体" w:hAnsi="宋体" w:cs="Times New Roman"/>
              </w:rPr>
              <w:t>万元</w:t>
            </w:r>
          </w:p>
        </w:tc>
        <w:tc>
          <w:tcPr>
            <w:tcW w:w="2074" w:type="dxa"/>
          </w:tcPr>
          <w:p>
            <w:pPr>
              <w:spacing w:before="0" w:beforeLines="0" w:after="0" w:afterLines="0"/>
              <w:jc w:val="center"/>
              <w:rPr>
                <w:rFonts w:ascii="宋体" w:hAnsi="宋体" w:cs="Times New Roman"/>
              </w:rPr>
            </w:pPr>
            <w:r>
              <w:rPr>
                <w:rFonts w:hint="eastAsia" w:ascii="宋体" w:hAnsi="宋体" w:cs="Times New Roman"/>
              </w:rPr>
              <w:t>4</w:t>
            </w:r>
            <w:r>
              <w:rPr>
                <w:rFonts w:ascii="宋体" w:hAnsi="宋体" w:cs="Times New Roman"/>
              </w:rPr>
              <w:t>2897.26</w:t>
            </w:r>
          </w:p>
        </w:tc>
      </w:tr>
    </w:tbl>
    <w:p>
      <w:pPr>
        <w:pStyle w:val="4"/>
        <w:spacing w:before="156" w:after="156"/>
        <w:rPr>
          <w:rFonts w:ascii="Times New Roman" w:hAnsi="Times New Roman" w:eastAsia="宋体" w:cs="Times New Roman"/>
        </w:rPr>
      </w:pPr>
      <w:bookmarkStart w:id="33" w:name="_Toc141669981"/>
      <w:r>
        <w:rPr>
          <w:rFonts w:ascii="Times New Roman" w:hAnsi="Times New Roman" w:eastAsia="宋体" w:cs="Times New Roman"/>
        </w:rPr>
        <w:t>3.2.2</w:t>
      </w:r>
      <w:r>
        <w:rPr>
          <w:rFonts w:hint="eastAsia" w:ascii="Times New Roman" w:hAnsi="Times New Roman" w:eastAsia="宋体" w:cs="Times New Roman"/>
        </w:rPr>
        <w:t>建设规模比选</w:t>
      </w:r>
      <w:bookmarkEnd w:id="33"/>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为确定最佳生产规模，本项目调研了目前国内己二腈生产厂家的生产规模，拟定了三种不同的生产规模进行对比，项目建设规模比较见表3</w:t>
      </w:r>
      <w:r>
        <w:rPr>
          <w:rFonts w:ascii="Times New Roman" w:hAnsi="Times New Roman" w:cs="Times New Roman"/>
          <w:szCs w:val="21"/>
        </w:rPr>
        <w:t>-2</w:t>
      </w:r>
      <w:r>
        <w:rPr>
          <w:rFonts w:hint="eastAsia" w:ascii="Times New Roman" w:hAnsi="Times New Roman" w:cs="Times New Roman"/>
          <w:szCs w:val="21"/>
        </w:rPr>
        <w:t>所示：</w:t>
      </w:r>
    </w:p>
    <w:p>
      <w:pPr>
        <w:spacing w:before="156" w:after="156"/>
        <w:jc w:val="center"/>
        <w:rPr>
          <w:rFonts w:ascii="宋体" w:hAnsi="宋体" w:cs="Times New Roman"/>
          <w:b/>
          <w:sz w:val="18"/>
          <w:szCs w:val="18"/>
        </w:rPr>
      </w:pPr>
      <w:r>
        <w:rPr>
          <w:rFonts w:hint="eastAsia" w:ascii="宋体" w:hAnsi="宋体" w:cs="Times New Roman"/>
          <w:b/>
          <w:sz w:val="18"/>
          <w:szCs w:val="18"/>
        </w:rPr>
        <w:t>表3</w:t>
      </w:r>
      <w:r>
        <w:rPr>
          <w:rFonts w:ascii="宋体" w:hAnsi="宋体" w:cs="Times New Roman"/>
          <w:b/>
          <w:sz w:val="18"/>
          <w:szCs w:val="18"/>
        </w:rPr>
        <w:t xml:space="preserve">-2 </w:t>
      </w:r>
      <w:r>
        <w:rPr>
          <w:rFonts w:hint="eastAsia" w:ascii="宋体" w:hAnsi="宋体" w:cs="Times New Roman"/>
          <w:b/>
          <w:sz w:val="18"/>
          <w:szCs w:val="18"/>
        </w:rPr>
        <w:t>生产规模比选</w:t>
      </w:r>
    </w:p>
    <w:tbl>
      <w:tblPr>
        <w:tblStyle w:val="41"/>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96"/>
        <w:gridCol w:w="2452"/>
        <w:gridCol w:w="2074"/>
        <w:gridCol w:w="207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96"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己二腈生产规模</w:t>
            </w:r>
          </w:p>
        </w:tc>
        <w:tc>
          <w:tcPr>
            <w:tcW w:w="245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5万吨/年</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1</w:t>
            </w:r>
            <w:r>
              <w:rPr>
                <w:rFonts w:ascii="宋体" w:hAnsi="宋体" w:cs="Times New Roman"/>
                <w:b/>
                <w:bCs/>
                <w:color w:val="FFFFFF" w:themeColor="background1"/>
                <w14:textFill>
                  <w14:solidFill>
                    <w14:schemeClr w14:val="bg1"/>
                  </w14:solidFill>
                </w14:textFill>
              </w:rPr>
              <w:t>0</w:t>
            </w:r>
            <w:r>
              <w:rPr>
                <w:rFonts w:hint="eastAsia" w:ascii="宋体" w:hAnsi="宋体" w:cs="Times New Roman"/>
                <w:b/>
                <w:bCs/>
                <w:color w:val="FFFFFF" w:themeColor="background1"/>
                <w14:textFill>
                  <w14:solidFill>
                    <w14:schemeClr w14:val="bg1"/>
                  </w14:solidFill>
                </w14:textFill>
              </w:rPr>
              <w:t>万吨/年</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1</w:t>
            </w:r>
            <w:r>
              <w:rPr>
                <w:rFonts w:ascii="宋体" w:hAnsi="宋体" w:cs="Times New Roman"/>
                <w:b/>
                <w:bCs/>
                <w:color w:val="FFFFFF" w:themeColor="background1"/>
                <w14:textFill>
                  <w14:solidFill>
                    <w14:schemeClr w14:val="bg1"/>
                  </w14:solidFill>
                </w14:textFill>
              </w:rPr>
              <w:t>0</w:t>
            </w:r>
            <w:r>
              <w:rPr>
                <w:rFonts w:hint="eastAsia" w:ascii="宋体" w:hAnsi="宋体" w:cs="Times New Roman"/>
                <w:b/>
                <w:bCs/>
                <w:color w:val="FFFFFF" w:themeColor="background1"/>
                <w14:textFill>
                  <w14:solidFill>
                    <w14:schemeClr w14:val="bg1"/>
                  </w14:solidFill>
                </w14:textFill>
              </w:rPr>
              <w:t>万吨/年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jc w:val="center"/>
        </w:trPr>
        <w:tc>
          <w:tcPr>
            <w:tcW w:w="1696" w:type="dxa"/>
            <w:shd w:val="clear" w:color="auto" w:fill="D9E2F3" w:themeFill="accent1" w:themeFillTint="33"/>
          </w:tcPr>
          <w:p>
            <w:pPr>
              <w:spacing w:before="0" w:beforeLines="0" w:after="0" w:afterLines="0"/>
              <w:jc w:val="center"/>
              <w:rPr>
                <w:rFonts w:ascii="宋体" w:hAnsi="宋体" w:cs="Times New Roman"/>
                <w:b w:val="0"/>
                <w:bCs w:val="0"/>
              </w:rPr>
            </w:pPr>
            <w:r>
              <w:rPr>
                <w:rFonts w:hint="eastAsia" w:ascii="宋体" w:hAnsi="宋体" w:cs="Times New Roman"/>
                <w:b/>
                <w:bCs/>
              </w:rPr>
              <w:t>生产厂家</w:t>
            </w:r>
          </w:p>
        </w:tc>
        <w:tc>
          <w:tcPr>
            <w:tcW w:w="2452"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重庆华峰化工</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重庆华峰化工</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湖北三宁化工</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jc w:val="center"/>
        </w:trPr>
        <w:tc>
          <w:tcPr>
            <w:tcW w:w="1696" w:type="dxa"/>
          </w:tcPr>
          <w:p>
            <w:pPr>
              <w:spacing w:before="0" w:beforeLines="0" w:after="0" w:afterLines="0"/>
              <w:jc w:val="center"/>
              <w:rPr>
                <w:rFonts w:ascii="宋体" w:hAnsi="宋体" w:cs="Times New Roman"/>
                <w:b w:val="0"/>
                <w:bCs w:val="0"/>
              </w:rPr>
            </w:pPr>
            <w:r>
              <w:rPr>
                <w:rFonts w:hint="eastAsia" w:ascii="宋体" w:hAnsi="宋体" w:cs="Times New Roman"/>
                <w:b/>
                <w:bCs/>
              </w:rPr>
              <w:t>生产方法</w:t>
            </w:r>
          </w:p>
        </w:tc>
        <w:tc>
          <w:tcPr>
            <w:tcW w:w="2452" w:type="dxa"/>
          </w:tcPr>
          <w:p>
            <w:pPr>
              <w:spacing w:before="0" w:beforeLines="0" w:after="0" w:afterLines="0"/>
              <w:jc w:val="center"/>
              <w:rPr>
                <w:rFonts w:ascii="宋体" w:hAnsi="宋体" w:cs="Times New Roman"/>
              </w:rPr>
            </w:pPr>
            <w:r>
              <w:rPr>
                <w:rFonts w:hint="eastAsia" w:ascii="宋体" w:hAnsi="宋体" w:cs="Times New Roman"/>
              </w:rPr>
              <w:t>己二酸催化氨化法</w:t>
            </w:r>
          </w:p>
        </w:tc>
        <w:tc>
          <w:tcPr>
            <w:tcW w:w="2074" w:type="dxa"/>
          </w:tcPr>
          <w:p>
            <w:pPr>
              <w:spacing w:before="0" w:beforeLines="0" w:after="0" w:afterLines="0"/>
              <w:jc w:val="center"/>
              <w:rPr>
                <w:rFonts w:ascii="宋体" w:hAnsi="宋体" w:cs="Times New Roman"/>
              </w:rPr>
            </w:pPr>
            <w:r>
              <w:rPr>
                <w:rFonts w:hint="eastAsia" w:ascii="宋体" w:hAnsi="宋体" w:cs="Times New Roman"/>
              </w:rPr>
              <w:t>己二酸催化氨化法</w:t>
            </w:r>
          </w:p>
        </w:tc>
        <w:tc>
          <w:tcPr>
            <w:tcW w:w="2074" w:type="dxa"/>
          </w:tcPr>
          <w:p>
            <w:pPr>
              <w:spacing w:before="0" w:beforeLines="0" w:after="0" w:afterLines="0"/>
              <w:jc w:val="center"/>
              <w:rPr>
                <w:rFonts w:ascii="宋体" w:hAnsi="宋体" w:cs="Times New Roman"/>
              </w:rPr>
            </w:pPr>
            <w:r>
              <w:rPr>
                <w:rFonts w:hint="eastAsia" w:ascii="宋体" w:hAnsi="宋体" w:cs="Times New Roman"/>
              </w:rPr>
              <w:t>己二酸催化氨化法</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96" w:type="dxa"/>
            <w:shd w:val="clear" w:color="auto" w:fill="D9E2F3" w:themeFill="accent1" w:themeFillTint="33"/>
          </w:tcPr>
          <w:p>
            <w:pPr>
              <w:spacing w:before="0" w:beforeLines="0" w:after="0" w:afterLines="0"/>
              <w:jc w:val="center"/>
              <w:rPr>
                <w:rFonts w:ascii="宋体" w:hAnsi="宋体" w:cs="Times New Roman"/>
                <w:b w:val="0"/>
                <w:bCs w:val="0"/>
              </w:rPr>
            </w:pPr>
            <w:r>
              <w:rPr>
                <w:rFonts w:hint="eastAsia" w:ascii="宋体" w:hAnsi="宋体" w:cs="Times New Roman"/>
                <w:b/>
                <w:bCs/>
              </w:rPr>
              <w:t>项目进行程度</w:t>
            </w:r>
          </w:p>
        </w:tc>
        <w:tc>
          <w:tcPr>
            <w:tcW w:w="2452"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稳定运行</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调试阶段</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投产</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96" w:type="dxa"/>
          </w:tcPr>
          <w:p>
            <w:pPr>
              <w:spacing w:before="0" w:beforeLines="0" w:after="0" w:afterLines="0"/>
              <w:jc w:val="center"/>
              <w:rPr>
                <w:rFonts w:ascii="宋体" w:hAnsi="宋体" w:cs="Times New Roman"/>
                <w:b w:val="0"/>
                <w:bCs w:val="0"/>
              </w:rPr>
            </w:pPr>
            <w:r>
              <w:rPr>
                <w:rFonts w:hint="eastAsia" w:ascii="宋体" w:hAnsi="宋体" w:cs="Times New Roman"/>
                <w:b/>
                <w:bCs/>
              </w:rPr>
              <w:t>技术成熟度</w:t>
            </w:r>
          </w:p>
        </w:tc>
        <w:tc>
          <w:tcPr>
            <w:tcW w:w="2452" w:type="dxa"/>
          </w:tcPr>
          <w:p>
            <w:pPr>
              <w:spacing w:before="0" w:beforeLines="0" w:after="0" w:afterLines="0"/>
              <w:jc w:val="center"/>
              <w:rPr>
                <w:rFonts w:ascii="宋体" w:hAnsi="宋体" w:cs="Times New Roman"/>
              </w:rPr>
            </w:pPr>
            <w:r>
              <w:rPr>
                <w:rFonts w:hint="eastAsia" w:ascii="宋体" w:hAnsi="宋体" w:cs="Times New Roman"/>
              </w:rPr>
              <w:t>相对成熟</w:t>
            </w:r>
          </w:p>
        </w:tc>
        <w:tc>
          <w:tcPr>
            <w:tcW w:w="2074" w:type="dxa"/>
          </w:tcPr>
          <w:p>
            <w:pPr>
              <w:spacing w:before="0" w:beforeLines="0" w:after="0" w:afterLines="0"/>
              <w:jc w:val="center"/>
              <w:rPr>
                <w:rFonts w:ascii="宋体" w:hAnsi="宋体" w:cs="Times New Roman"/>
              </w:rPr>
            </w:pPr>
            <w:r>
              <w:rPr>
                <w:rFonts w:hint="eastAsia" w:ascii="宋体" w:hAnsi="宋体" w:cs="Times New Roman"/>
              </w:rPr>
              <w:t>相对成熟</w:t>
            </w:r>
          </w:p>
        </w:tc>
        <w:tc>
          <w:tcPr>
            <w:tcW w:w="2074" w:type="dxa"/>
          </w:tcPr>
          <w:p>
            <w:pPr>
              <w:spacing w:before="0" w:beforeLines="0" w:after="0" w:afterLines="0"/>
              <w:jc w:val="center"/>
              <w:rPr>
                <w:rFonts w:ascii="宋体" w:hAnsi="宋体" w:cs="Times New Roman"/>
              </w:rPr>
            </w:pPr>
            <w:r>
              <w:rPr>
                <w:rFonts w:hint="eastAsia" w:ascii="宋体" w:hAnsi="宋体" w:cs="Times New Roman"/>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96" w:type="dxa"/>
            <w:shd w:val="clear" w:color="auto" w:fill="D9E2F3" w:themeFill="accent1" w:themeFillTint="33"/>
          </w:tcPr>
          <w:p>
            <w:pPr>
              <w:spacing w:before="0" w:beforeLines="0" w:after="0" w:afterLines="0"/>
              <w:jc w:val="center"/>
              <w:rPr>
                <w:rFonts w:ascii="宋体" w:hAnsi="宋体" w:cs="Times New Roman"/>
                <w:b w:val="0"/>
                <w:bCs w:val="0"/>
              </w:rPr>
            </w:pPr>
            <w:r>
              <w:rPr>
                <w:rFonts w:hint="eastAsia" w:ascii="宋体" w:hAnsi="宋体" w:cs="Times New Roman"/>
                <w:b/>
                <w:bCs/>
              </w:rPr>
              <w:t>原料</w:t>
            </w:r>
          </w:p>
        </w:tc>
        <w:tc>
          <w:tcPr>
            <w:tcW w:w="2452"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充足</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充足</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充足</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96" w:type="dxa"/>
          </w:tcPr>
          <w:p>
            <w:pPr>
              <w:spacing w:before="0" w:beforeLines="0" w:after="0" w:afterLines="0"/>
              <w:jc w:val="center"/>
              <w:rPr>
                <w:rFonts w:ascii="宋体" w:hAnsi="宋体" w:cs="Times New Roman"/>
                <w:b w:val="0"/>
                <w:bCs w:val="0"/>
              </w:rPr>
            </w:pPr>
            <w:r>
              <w:rPr>
                <w:rFonts w:hint="eastAsia" w:ascii="宋体" w:hAnsi="宋体" w:cs="Times New Roman"/>
                <w:b/>
                <w:bCs/>
              </w:rPr>
              <w:t>产品市场</w:t>
            </w:r>
          </w:p>
        </w:tc>
        <w:tc>
          <w:tcPr>
            <w:tcW w:w="2452" w:type="dxa"/>
          </w:tcPr>
          <w:p>
            <w:pPr>
              <w:spacing w:before="0" w:beforeLines="0" w:after="0" w:afterLines="0"/>
              <w:jc w:val="center"/>
              <w:rPr>
                <w:rFonts w:ascii="宋体" w:hAnsi="宋体" w:cs="Times New Roman"/>
              </w:rPr>
            </w:pPr>
            <w:r>
              <w:rPr>
                <w:rFonts w:hint="eastAsia" w:ascii="宋体" w:hAnsi="宋体" w:cs="Times New Roman"/>
              </w:rPr>
              <w:t>可完全消费</w:t>
            </w:r>
          </w:p>
        </w:tc>
        <w:tc>
          <w:tcPr>
            <w:tcW w:w="2074" w:type="dxa"/>
          </w:tcPr>
          <w:p>
            <w:pPr>
              <w:spacing w:before="0" w:beforeLines="0" w:after="0" w:afterLines="0"/>
              <w:jc w:val="center"/>
              <w:rPr>
                <w:rFonts w:ascii="宋体" w:hAnsi="宋体" w:cs="Times New Roman"/>
              </w:rPr>
            </w:pPr>
            <w:r>
              <w:rPr>
                <w:rFonts w:hint="eastAsia" w:ascii="宋体" w:hAnsi="宋体" w:cs="Times New Roman"/>
              </w:rPr>
              <w:t>可完全消费</w:t>
            </w:r>
          </w:p>
        </w:tc>
        <w:tc>
          <w:tcPr>
            <w:tcW w:w="2074" w:type="dxa"/>
          </w:tcPr>
          <w:p>
            <w:pPr>
              <w:spacing w:before="0" w:beforeLines="0" w:after="0" w:afterLines="0"/>
              <w:jc w:val="center"/>
              <w:rPr>
                <w:rFonts w:ascii="宋体" w:hAnsi="宋体" w:cs="Times New Roman"/>
              </w:rPr>
            </w:pPr>
            <w:r>
              <w:rPr>
                <w:rFonts w:hint="eastAsia" w:ascii="宋体" w:hAnsi="宋体" w:cs="Times New Roman"/>
              </w:rPr>
              <w:t>可完全消费</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96" w:type="dxa"/>
            <w:shd w:val="clear" w:color="auto" w:fill="D9E2F3" w:themeFill="accent1" w:themeFillTint="33"/>
          </w:tcPr>
          <w:p>
            <w:pPr>
              <w:spacing w:before="0" w:beforeLines="0" w:after="0" w:afterLines="0"/>
              <w:jc w:val="center"/>
              <w:rPr>
                <w:rFonts w:ascii="宋体" w:hAnsi="宋体" w:cs="Times New Roman"/>
                <w:b w:val="0"/>
                <w:bCs w:val="0"/>
              </w:rPr>
            </w:pPr>
            <w:r>
              <w:rPr>
                <w:rFonts w:hint="eastAsia" w:ascii="宋体" w:hAnsi="宋体" w:cs="Times New Roman"/>
                <w:b/>
                <w:bCs/>
              </w:rPr>
              <w:t>可行性</w:t>
            </w:r>
          </w:p>
        </w:tc>
        <w:tc>
          <w:tcPr>
            <w:tcW w:w="2452"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规模一般，具有可行性，项目稳定运行</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规模适中，具有可行性</w:t>
            </w:r>
          </w:p>
        </w:tc>
        <w:tc>
          <w:tcPr>
            <w:tcW w:w="2074" w:type="dxa"/>
            <w:shd w:val="clear" w:color="auto" w:fill="D9E2F3" w:themeFill="accent1" w:themeFillTint="33"/>
          </w:tcPr>
          <w:p>
            <w:pPr>
              <w:spacing w:before="0" w:beforeLines="0" w:after="0" w:afterLines="0"/>
              <w:jc w:val="center"/>
              <w:rPr>
                <w:rFonts w:ascii="宋体" w:hAnsi="宋体" w:cs="Times New Roman"/>
              </w:rPr>
            </w:pPr>
            <w:r>
              <w:rPr>
                <w:rFonts w:hint="eastAsia" w:ascii="宋体" w:hAnsi="宋体" w:cs="Times New Roman"/>
              </w:rPr>
              <w:t>规模适中，项目刚投产</w:t>
            </w:r>
          </w:p>
        </w:tc>
      </w:tr>
    </w:tbl>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上述分析中可知目前1</w:t>
      </w:r>
      <w:r>
        <w:rPr>
          <w:rFonts w:ascii="Times New Roman" w:hAnsi="Times New Roman" w:cs="Times New Roman"/>
          <w:szCs w:val="21"/>
        </w:rPr>
        <w:t>0</w:t>
      </w:r>
      <w:r>
        <w:rPr>
          <w:rFonts w:hint="eastAsia" w:ascii="Times New Roman" w:hAnsi="Times New Roman" w:cs="Times New Roman"/>
          <w:szCs w:val="21"/>
        </w:rPr>
        <w:t>万/吨的生产规模已经处于调试阶段，表明1</w:t>
      </w:r>
      <w:r>
        <w:rPr>
          <w:rFonts w:ascii="Times New Roman" w:hAnsi="Times New Roman" w:cs="Times New Roman"/>
          <w:szCs w:val="21"/>
        </w:rPr>
        <w:t>0</w:t>
      </w:r>
      <w:r>
        <w:rPr>
          <w:rFonts w:hint="eastAsia" w:ascii="Times New Roman" w:hAnsi="Times New Roman" w:cs="Times New Roman"/>
          <w:szCs w:val="21"/>
        </w:rPr>
        <w:t>万吨/年的己二腈生产项目具有可行性。此外，由于上游产品己二酸的供应量一直大于表观消费量，并且己二腈的产量目前并未满足下游产品己二胺、尼龙6</w:t>
      </w:r>
      <w:r>
        <w:rPr>
          <w:rFonts w:ascii="Times New Roman" w:hAnsi="Times New Roman" w:cs="Times New Roman"/>
          <w:szCs w:val="21"/>
        </w:rPr>
        <w:t>6</w:t>
      </w:r>
      <w:r>
        <w:rPr>
          <w:rFonts w:hint="eastAsia" w:ascii="Times New Roman" w:hAnsi="Times New Roman" w:cs="Times New Roman"/>
          <w:szCs w:val="21"/>
        </w:rPr>
        <w:t>的市场需求量，故而第一方案的产量相对较小，不能满足市场需求，选用相对较大规模的项目能够充分利用上游产品，且尽可能的满足下游产品的需求量。结合原厂原料规模、地域效应、原料安全性等多方面因素考虑，采用己二酸催化氨化法</w:t>
      </w:r>
      <w:r>
        <w:rPr>
          <w:rFonts w:ascii="Times New Roman" w:hAnsi="Times New Roman" w:cs="Times New Roman"/>
          <w:szCs w:val="21"/>
        </w:rPr>
        <w:t>10.5</w:t>
      </w:r>
      <w:r>
        <w:rPr>
          <w:rFonts w:hint="eastAsia" w:ascii="Times New Roman" w:hAnsi="Times New Roman" w:cs="Times New Roman"/>
          <w:szCs w:val="21"/>
        </w:rPr>
        <w:t>万吨/年的己二腈生产项目充分可行，技术相对成熟，规模合适，同时能够充分利用原厂原料，延伸上游产品工艺路线，经济效益高。</w:t>
      </w:r>
    </w:p>
    <w:p>
      <w:pPr>
        <w:pStyle w:val="4"/>
        <w:spacing w:before="156" w:after="156"/>
        <w:rPr>
          <w:rFonts w:ascii="Times New Roman" w:hAnsi="Times New Roman" w:eastAsia="宋体" w:cs="Times New Roman"/>
        </w:rPr>
      </w:pPr>
      <w:bookmarkStart w:id="34" w:name="_Toc141669982"/>
      <w:r>
        <w:rPr>
          <w:rFonts w:hint="eastAsia" w:ascii="Times New Roman" w:hAnsi="Times New Roman" w:eastAsia="宋体" w:cs="Times New Roman"/>
        </w:rPr>
        <w:t>3.</w:t>
      </w:r>
      <w:r>
        <w:rPr>
          <w:rFonts w:ascii="Times New Roman" w:hAnsi="Times New Roman" w:eastAsia="宋体" w:cs="Times New Roman"/>
        </w:rPr>
        <w:t>2.3</w:t>
      </w:r>
      <w:r>
        <w:rPr>
          <w:rFonts w:hint="eastAsia" w:ascii="Times New Roman" w:hAnsi="Times New Roman" w:eastAsia="宋体" w:cs="Times New Roman"/>
        </w:rPr>
        <w:t>主产品</w:t>
      </w:r>
      <w:bookmarkEnd w:id="34"/>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己二腈，英文名称为</w:t>
      </w:r>
      <w:r>
        <w:rPr>
          <w:rFonts w:ascii="Times New Roman" w:hAnsi="Times New Roman" w:cs="Times New Roman"/>
          <w:szCs w:val="21"/>
        </w:rPr>
        <w:t>1,4-Dicyanobutane，简称为AND。己二腈在常温常压下为无色油状液体，有轻微苦味。 溶于甲醇、乙醇、氯仿。难溶于水、环己烷、乙醚、二硫化碳和四氯化碳。己二腈易燃，有毒性和腐蚀性，遇高温分解生成一氧化氮、二氧化氮等有毒气体。与氧化剂可发生反应。</w:t>
      </w:r>
      <w:r>
        <w:rPr>
          <w:rFonts w:hint="eastAsia" w:ascii="Times New Roman" w:hAnsi="Times New Roman" w:cs="Times New Roman"/>
          <w:szCs w:val="21"/>
        </w:rPr>
        <w:t>己二腈是重要的化工生产中间体，主要用于尼龙</w:t>
      </w:r>
      <w:r>
        <w:rPr>
          <w:rFonts w:ascii="Times New Roman" w:hAnsi="Times New Roman" w:cs="Times New Roman"/>
          <w:szCs w:val="21"/>
        </w:rPr>
        <w:t>66的生产，该用途约占全球全年己二腈产量的90％，而尼龙66在新能源汽车、芯片等领域发挥重要作用。</w:t>
      </w:r>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以下为重庆华峰化工企业标准</w:t>
      </w:r>
      <w:r>
        <w:rPr>
          <w:rFonts w:ascii="Times New Roman" w:hAnsi="Times New Roman" w:cs="Times New Roman"/>
          <w:szCs w:val="21"/>
        </w:rPr>
        <w:t>Q/HFHG 007-2017</w:t>
      </w:r>
      <w:r>
        <w:rPr>
          <w:rFonts w:hint="eastAsia" w:ascii="Times New Roman" w:hAnsi="Times New Roman" w:cs="Times New Roman"/>
          <w:szCs w:val="21"/>
        </w:rPr>
        <w:t>：</w:t>
      </w:r>
    </w:p>
    <w:tbl>
      <w:tblPr>
        <w:tblStyle w:val="41"/>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704"/>
        <w:gridCol w:w="1985"/>
        <w:gridCol w:w="3827"/>
        <w:gridCol w:w="178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序号</w:t>
            </w:r>
          </w:p>
        </w:tc>
        <w:tc>
          <w:tcPr>
            <w:tcW w:w="198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技术指标名称</w:t>
            </w:r>
          </w:p>
        </w:tc>
        <w:tc>
          <w:tcPr>
            <w:tcW w:w="382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指标要求</w:t>
            </w:r>
          </w:p>
        </w:tc>
        <w:tc>
          <w:tcPr>
            <w:tcW w:w="178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jc w:val="center"/>
              <w:rPr>
                <w:rFonts w:ascii="宋体" w:hAnsi="宋体" w:cs="Times New Roman"/>
                <w:b w:val="0"/>
                <w:bCs w:val="0"/>
                <w:color w:val="FFFFFF" w:themeColor="background1"/>
                <w14:textFill>
                  <w14:solidFill>
                    <w14:schemeClr w14:val="bg1"/>
                  </w14:solidFill>
                </w14:textFill>
              </w:rPr>
            </w:pPr>
            <w:r>
              <w:rPr>
                <w:rFonts w:hint="eastAsia" w:ascii="宋体" w:hAnsi="宋体" w:cs="Times New Roman"/>
                <w:b/>
                <w:bCs/>
                <w:color w:val="FFFFFF" w:themeColor="background1"/>
                <w14:textFill>
                  <w14:solidFill>
                    <w14:schemeClr w14:val="bg1"/>
                  </w14:solidFill>
                </w14:textFill>
              </w:rPr>
              <w:t>测试方法</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shd w:val="clear" w:color="auto" w:fill="D9E2F3" w:themeFill="accent1" w:themeFillTint="33"/>
            <w:vAlign w:val="center"/>
          </w:tcPr>
          <w:p>
            <w:pPr>
              <w:spacing w:before="0" w:beforeLines="0" w:after="0" w:afterLines="0"/>
              <w:jc w:val="center"/>
              <w:rPr>
                <w:rFonts w:ascii="宋体" w:hAnsi="宋体" w:cs="Times New Roman"/>
                <w:b w:val="0"/>
                <w:bCs w:val="0"/>
              </w:rPr>
            </w:pPr>
            <w:r>
              <w:rPr>
                <w:rFonts w:hint="eastAsia" w:ascii="宋体" w:hAnsi="宋体" w:cs="Times New Roman"/>
                <w:b/>
                <w:bCs/>
              </w:rPr>
              <w:t>1</w:t>
            </w:r>
          </w:p>
        </w:tc>
        <w:tc>
          <w:tcPr>
            <w:tcW w:w="1985"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己二腈</w:t>
            </w:r>
          </w:p>
        </w:tc>
        <w:tc>
          <w:tcPr>
            <w:tcW w:w="3827"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9</w:t>
            </w:r>
            <w:r>
              <w:rPr>
                <w:rFonts w:ascii="宋体" w:hAnsi="宋体" w:cs="Times New Roman"/>
              </w:rPr>
              <w:t>9.0(</w:t>
            </w:r>
            <w:r>
              <w:rPr>
                <w:rFonts w:hint="eastAsia" w:ascii="宋体" w:hAnsi="宋体" w:cs="Times New Roman"/>
              </w:rPr>
              <w:t>±</w:t>
            </w:r>
            <w:r>
              <w:rPr>
                <w:rFonts w:ascii="宋体" w:hAnsi="宋体" w:cs="Times New Roman"/>
              </w:rPr>
              <w:t>0</w:t>
            </w:r>
            <w:r>
              <w:rPr>
                <w:rFonts w:hint="eastAsia" w:ascii="宋体" w:hAnsi="宋体" w:cs="Times New Roman"/>
              </w:rPr>
              <w:t>.</w:t>
            </w:r>
            <w:r>
              <w:rPr>
                <w:rFonts w:ascii="宋体" w:hAnsi="宋体" w:cs="Times New Roman"/>
              </w:rPr>
              <w:t>000)</w:t>
            </w:r>
            <w:r>
              <w:rPr>
                <w:rFonts w:hint="eastAsia" w:ascii="宋体" w:hAnsi="宋体" w:cs="Times New Roman"/>
              </w:rPr>
              <w:t>&lt;己二腈&lt;</w:t>
            </w:r>
            <w:r>
              <w:rPr>
                <w:rFonts w:ascii="宋体" w:hAnsi="宋体" w:cs="Times New Roman"/>
              </w:rPr>
              <w:t>100</w:t>
            </w:r>
            <w:r>
              <w:rPr>
                <w:rFonts w:hint="eastAsia" w:ascii="宋体" w:hAnsi="宋体" w:cs="Times New Roman"/>
              </w:rPr>
              <w:t>(±0.</w:t>
            </w:r>
            <w:r>
              <w:rPr>
                <w:rFonts w:ascii="宋体" w:hAnsi="宋体" w:cs="Times New Roman"/>
              </w:rPr>
              <w:t>000</w:t>
            </w:r>
            <w:r>
              <w:rPr>
                <w:rFonts w:hint="eastAsia" w:ascii="宋体" w:hAnsi="宋体" w:cs="Times New Roman"/>
              </w:rPr>
              <w:t>)%</w:t>
            </w:r>
          </w:p>
        </w:tc>
        <w:tc>
          <w:tcPr>
            <w:tcW w:w="1780"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气相色谱法</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vAlign w:val="center"/>
          </w:tcPr>
          <w:p>
            <w:pPr>
              <w:spacing w:before="0" w:beforeLines="0" w:after="0" w:afterLines="0"/>
              <w:jc w:val="center"/>
              <w:rPr>
                <w:rFonts w:ascii="宋体" w:hAnsi="宋体" w:cs="Times New Roman"/>
                <w:b w:val="0"/>
                <w:bCs w:val="0"/>
              </w:rPr>
            </w:pPr>
            <w:r>
              <w:rPr>
                <w:rFonts w:hint="eastAsia" w:ascii="宋体" w:hAnsi="宋体" w:cs="Times New Roman"/>
                <w:b/>
                <w:bCs/>
              </w:rPr>
              <w:t>2</w:t>
            </w:r>
          </w:p>
        </w:tc>
        <w:tc>
          <w:tcPr>
            <w:tcW w:w="1985" w:type="dxa"/>
            <w:vAlign w:val="center"/>
          </w:tcPr>
          <w:p>
            <w:pPr>
              <w:spacing w:before="0" w:beforeLines="0" w:after="0" w:afterLines="0"/>
              <w:jc w:val="center"/>
              <w:rPr>
                <w:rFonts w:ascii="宋体" w:hAnsi="宋体" w:cs="Times New Roman"/>
              </w:rPr>
            </w:pPr>
            <w:r>
              <w:rPr>
                <w:rFonts w:hint="eastAsia" w:ascii="宋体" w:hAnsi="宋体" w:cs="Times New Roman"/>
              </w:rPr>
              <w:t>K</w:t>
            </w:r>
            <w:r>
              <w:rPr>
                <w:rFonts w:ascii="宋体" w:hAnsi="宋体" w:cs="Times New Roman"/>
              </w:rPr>
              <w:t>M</w:t>
            </w:r>
            <w:r>
              <w:rPr>
                <w:rFonts w:hint="eastAsia" w:ascii="宋体" w:hAnsi="宋体" w:cs="Times New Roman"/>
              </w:rPr>
              <w:t>n</w:t>
            </w:r>
            <w:r>
              <w:rPr>
                <w:rFonts w:ascii="宋体" w:hAnsi="宋体" w:cs="Times New Roman"/>
              </w:rPr>
              <w:t>O</w:t>
            </w:r>
            <w:r>
              <w:rPr>
                <w:rFonts w:ascii="宋体" w:hAnsi="宋体" w:cs="Times New Roman"/>
                <w:vertAlign w:val="subscript"/>
              </w:rPr>
              <w:t>4</w:t>
            </w:r>
            <w:r>
              <w:rPr>
                <w:rFonts w:hint="eastAsia" w:ascii="宋体" w:hAnsi="宋体" w:cs="Times New Roman"/>
              </w:rPr>
              <w:t>值</w:t>
            </w:r>
          </w:p>
        </w:tc>
        <w:tc>
          <w:tcPr>
            <w:tcW w:w="3827" w:type="dxa"/>
            <w:vAlign w:val="center"/>
          </w:tcPr>
          <w:p>
            <w:pPr>
              <w:spacing w:before="0" w:beforeLines="0" w:after="0" w:afterLines="0"/>
              <w:jc w:val="center"/>
              <w:rPr>
                <w:rFonts w:ascii="宋体" w:hAnsi="宋体" w:cs="Times New Roman"/>
              </w:rPr>
            </w:pPr>
            <w:r>
              <w:rPr>
                <w:rFonts w:hint="eastAsia" w:ascii="宋体" w:hAnsi="宋体" w:cs="Times New Roman"/>
              </w:rPr>
              <w:t>0(±</w:t>
            </w:r>
            <w:r>
              <w:rPr>
                <w:rFonts w:ascii="宋体" w:hAnsi="宋体" w:cs="Times New Roman"/>
              </w:rPr>
              <w:t>0.000)&lt;KMnO</w:t>
            </w:r>
            <w:r>
              <w:rPr>
                <w:rFonts w:ascii="宋体" w:hAnsi="宋体" w:cs="Times New Roman"/>
                <w:vertAlign w:val="subscript"/>
              </w:rPr>
              <w:t>4</w:t>
            </w:r>
            <w:r>
              <w:rPr>
                <w:rFonts w:hint="eastAsia" w:ascii="宋体" w:hAnsi="宋体" w:cs="Times New Roman"/>
              </w:rPr>
              <w:t>值</w:t>
            </w:r>
            <w:r>
              <w:rPr>
                <w:rFonts w:ascii="宋体" w:hAnsi="宋体" w:cs="Times New Roman"/>
              </w:rPr>
              <w:t>&lt;=0.7(</w:t>
            </w:r>
            <w:r>
              <w:rPr>
                <w:rFonts w:hint="eastAsia" w:ascii="宋体" w:hAnsi="宋体" w:cs="Times New Roman"/>
              </w:rPr>
              <w:t>±</w:t>
            </w:r>
            <w:r>
              <w:rPr>
                <w:rFonts w:ascii="宋体" w:hAnsi="宋体" w:cs="Times New Roman"/>
              </w:rPr>
              <w:t>0.000)%</w:t>
            </w:r>
          </w:p>
        </w:tc>
        <w:tc>
          <w:tcPr>
            <w:tcW w:w="1780" w:type="dxa"/>
            <w:vAlign w:val="center"/>
          </w:tcPr>
          <w:p>
            <w:pPr>
              <w:spacing w:before="0" w:beforeLines="0" w:after="0" w:afterLines="0"/>
              <w:jc w:val="center"/>
              <w:rPr>
                <w:rFonts w:ascii="宋体" w:hAnsi="宋体" w:cs="Times New Roman"/>
              </w:rPr>
            </w:pPr>
            <w:r>
              <w:rPr>
                <w:rFonts w:hint="eastAsia" w:ascii="宋体" w:hAnsi="宋体" w:cs="Times New Roman"/>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shd w:val="clear" w:color="auto" w:fill="D9E2F3" w:themeFill="accent1" w:themeFillTint="33"/>
            <w:vAlign w:val="center"/>
          </w:tcPr>
          <w:p>
            <w:pPr>
              <w:spacing w:before="0" w:beforeLines="0" w:after="0" w:afterLines="0"/>
              <w:jc w:val="center"/>
              <w:rPr>
                <w:rFonts w:ascii="宋体" w:hAnsi="宋体" w:cs="Times New Roman"/>
                <w:b w:val="0"/>
                <w:bCs w:val="0"/>
              </w:rPr>
            </w:pPr>
            <w:r>
              <w:rPr>
                <w:rFonts w:hint="eastAsia" w:ascii="宋体" w:hAnsi="宋体" w:cs="Times New Roman"/>
                <w:b/>
                <w:bCs/>
              </w:rPr>
              <w:t>3</w:t>
            </w:r>
          </w:p>
        </w:tc>
        <w:tc>
          <w:tcPr>
            <w:tcW w:w="1985"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A</w:t>
            </w:r>
            <w:r>
              <w:rPr>
                <w:rFonts w:ascii="宋体" w:hAnsi="宋体" w:cs="Times New Roman"/>
              </w:rPr>
              <w:t>BP</w:t>
            </w:r>
          </w:p>
        </w:tc>
        <w:tc>
          <w:tcPr>
            <w:tcW w:w="3827" w:type="dxa"/>
            <w:shd w:val="clear" w:color="auto" w:fill="D9E2F3" w:themeFill="accent1" w:themeFillTint="33"/>
            <w:vAlign w:val="center"/>
          </w:tcPr>
          <w:p>
            <w:pPr>
              <w:spacing w:before="0" w:beforeLines="0" w:after="0" w:afterLines="0"/>
              <w:jc w:val="center"/>
              <w:rPr>
                <w:rFonts w:ascii="宋体" w:hAnsi="宋体" w:cs="Times New Roman"/>
              </w:rPr>
            </w:pPr>
            <w:r>
              <w:rPr>
                <w:rFonts w:ascii="宋体" w:hAnsi="宋体" w:cs="Times New Roman"/>
              </w:rPr>
              <w:t>0(±0.000)&lt;ABP&lt;=0.13(±0.000)%</w:t>
            </w:r>
          </w:p>
        </w:tc>
        <w:tc>
          <w:tcPr>
            <w:tcW w:w="1780"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vAlign w:val="center"/>
          </w:tcPr>
          <w:p>
            <w:pPr>
              <w:spacing w:before="0" w:beforeLines="0" w:after="0" w:afterLines="0"/>
              <w:jc w:val="center"/>
              <w:rPr>
                <w:rFonts w:ascii="宋体" w:hAnsi="宋体" w:cs="Times New Roman"/>
                <w:b w:val="0"/>
                <w:bCs w:val="0"/>
              </w:rPr>
            </w:pPr>
            <w:r>
              <w:rPr>
                <w:rFonts w:hint="eastAsia" w:ascii="宋体" w:hAnsi="宋体" w:cs="Times New Roman"/>
                <w:b/>
                <w:bCs/>
              </w:rPr>
              <w:t>4</w:t>
            </w:r>
          </w:p>
        </w:tc>
        <w:tc>
          <w:tcPr>
            <w:tcW w:w="1985" w:type="dxa"/>
            <w:vAlign w:val="center"/>
          </w:tcPr>
          <w:p>
            <w:pPr>
              <w:spacing w:before="0" w:beforeLines="0" w:after="0" w:afterLines="0"/>
              <w:jc w:val="center"/>
              <w:rPr>
                <w:rFonts w:ascii="宋体" w:hAnsi="宋体" w:cs="Times New Roman"/>
              </w:rPr>
            </w:pPr>
            <w:r>
              <w:rPr>
                <w:rFonts w:hint="eastAsia" w:ascii="宋体" w:hAnsi="宋体" w:cs="Times New Roman"/>
              </w:rPr>
              <w:t>I</w:t>
            </w:r>
            <w:r>
              <w:rPr>
                <w:rFonts w:ascii="宋体" w:hAnsi="宋体" w:cs="Times New Roman"/>
              </w:rPr>
              <w:t>CCP</w:t>
            </w:r>
          </w:p>
        </w:tc>
        <w:tc>
          <w:tcPr>
            <w:tcW w:w="3827" w:type="dxa"/>
            <w:vAlign w:val="center"/>
          </w:tcPr>
          <w:p>
            <w:pPr>
              <w:spacing w:before="0" w:beforeLines="0" w:after="0" w:afterLines="0"/>
              <w:jc w:val="center"/>
              <w:rPr>
                <w:rFonts w:ascii="宋体" w:hAnsi="宋体" w:cs="Times New Roman"/>
              </w:rPr>
            </w:pPr>
            <w:r>
              <w:rPr>
                <w:rFonts w:hint="eastAsia" w:ascii="宋体" w:hAnsi="宋体" w:cs="Times New Roman"/>
              </w:rPr>
              <w:t>0(±</w:t>
            </w:r>
            <w:r>
              <w:rPr>
                <w:rFonts w:ascii="宋体" w:hAnsi="宋体" w:cs="Times New Roman"/>
              </w:rPr>
              <w:t>0.000)&lt;ICCP&lt;=0.1(</w:t>
            </w:r>
            <w:r>
              <w:rPr>
                <w:rFonts w:hint="eastAsia" w:ascii="宋体" w:hAnsi="宋体" w:cs="Times New Roman"/>
              </w:rPr>
              <w:t>±</w:t>
            </w:r>
            <w:r>
              <w:rPr>
                <w:rFonts w:ascii="宋体" w:hAnsi="宋体" w:cs="Times New Roman"/>
              </w:rPr>
              <w:t>0.000)%</w:t>
            </w:r>
          </w:p>
        </w:tc>
        <w:tc>
          <w:tcPr>
            <w:tcW w:w="1780" w:type="dxa"/>
            <w:vAlign w:val="center"/>
          </w:tcPr>
          <w:p>
            <w:pPr>
              <w:spacing w:before="0" w:beforeLines="0" w:after="0" w:afterLines="0"/>
              <w:jc w:val="center"/>
              <w:rPr>
                <w:rFonts w:ascii="宋体" w:hAnsi="宋体" w:cs="Times New Roman"/>
              </w:rPr>
            </w:pPr>
            <w:r>
              <w:rPr>
                <w:rFonts w:hint="eastAsia" w:ascii="宋体" w:hAnsi="宋体" w:cs="Times New Roman"/>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shd w:val="clear" w:color="auto" w:fill="D9E2F3" w:themeFill="accent1" w:themeFillTint="33"/>
            <w:vAlign w:val="center"/>
          </w:tcPr>
          <w:p>
            <w:pPr>
              <w:spacing w:before="0" w:beforeLines="0" w:after="0" w:afterLines="0"/>
              <w:jc w:val="center"/>
              <w:rPr>
                <w:rFonts w:ascii="宋体" w:hAnsi="宋体" w:cs="Times New Roman"/>
                <w:b w:val="0"/>
                <w:bCs w:val="0"/>
              </w:rPr>
            </w:pPr>
            <w:r>
              <w:rPr>
                <w:rFonts w:hint="eastAsia" w:ascii="宋体" w:hAnsi="宋体" w:cs="Times New Roman"/>
                <w:b/>
                <w:bCs/>
              </w:rPr>
              <w:t>5</w:t>
            </w:r>
          </w:p>
        </w:tc>
        <w:tc>
          <w:tcPr>
            <w:tcW w:w="1985"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色度</w:t>
            </w:r>
          </w:p>
        </w:tc>
        <w:tc>
          <w:tcPr>
            <w:tcW w:w="3827"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0(±</w:t>
            </w:r>
            <w:r>
              <w:rPr>
                <w:rFonts w:ascii="宋体" w:hAnsi="宋体" w:cs="Times New Roman"/>
              </w:rPr>
              <w:t>0.000)&lt;</w:t>
            </w:r>
            <w:r>
              <w:rPr>
                <w:rFonts w:hint="eastAsia" w:ascii="宋体" w:hAnsi="宋体" w:cs="Times New Roman"/>
              </w:rPr>
              <w:t>色度</w:t>
            </w:r>
            <w:r>
              <w:rPr>
                <w:rFonts w:ascii="宋体" w:hAnsi="宋体" w:cs="Times New Roman"/>
              </w:rPr>
              <w:t>&lt;=300(</w:t>
            </w:r>
            <w:r>
              <w:rPr>
                <w:rFonts w:hint="eastAsia" w:ascii="宋体" w:hAnsi="宋体" w:cs="Times New Roman"/>
              </w:rPr>
              <w:t>±</w:t>
            </w:r>
            <w:r>
              <w:rPr>
                <w:rFonts w:ascii="宋体" w:hAnsi="宋体" w:cs="Times New Roman"/>
              </w:rPr>
              <w:t>0.000)</w:t>
            </w:r>
          </w:p>
          <w:p>
            <w:pPr>
              <w:spacing w:before="0" w:beforeLines="0" w:after="0" w:afterLines="0"/>
              <w:jc w:val="center"/>
              <w:rPr>
                <w:rFonts w:ascii="宋体" w:hAnsi="宋体" w:cs="Times New Roman"/>
              </w:rPr>
            </w:pPr>
            <w:r>
              <w:rPr>
                <w:rFonts w:hint="eastAsia" w:ascii="宋体" w:hAnsi="宋体" w:cs="Times New Roman"/>
              </w:rPr>
              <w:t>H</w:t>
            </w:r>
            <w:r>
              <w:rPr>
                <w:rFonts w:ascii="宋体" w:hAnsi="宋体" w:cs="Times New Roman"/>
              </w:rPr>
              <w:t>AZEN</w:t>
            </w:r>
            <w:r>
              <w:rPr>
                <w:rFonts w:hint="eastAsia" w:ascii="宋体" w:hAnsi="宋体" w:cs="Times New Roman"/>
              </w:rPr>
              <w:t>标准单位</w:t>
            </w:r>
          </w:p>
        </w:tc>
        <w:tc>
          <w:tcPr>
            <w:tcW w:w="1780" w:type="dxa"/>
            <w:shd w:val="clear" w:color="auto" w:fill="D9E2F3" w:themeFill="accent1" w:themeFillTint="33"/>
            <w:vAlign w:val="center"/>
          </w:tcPr>
          <w:p>
            <w:pPr>
              <w:spacing w:before="0" w:beforeLines="0" w:after="0" w:afterLines="0"/>
              <w:jc w:val="center"/>
              <w:rPr>
                <w:rFonts w:ascii="宋体" w:hAnsi="宋体" w:cs="Times New Roman"/>
              </w:rPr>
            </w:pPr>
            <w:r>
              <w:rPr>
                <w:rFonts w:hint="eastAsia" w:ascii="宋体" w:hAnsi="宋体" w:cs="Times New Roman"/>
              </w:rPr>
              <w:t>G</w:t>
            </w:r>
            <w:r>
              <w:rPr>
                <w:rFonts w:ascii="宋体" w:hAnsi="宋体" w:cs="Times New Roman"/>
              </w:rPr>
              <w:t>B/T 605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vAlign w:val="center"/>
          </w:tcPr>
          <w:p>
            <w:pPr>
              <w:spacing w:before="0" w:beforeLines="0" w:after="0" w:afterLines="0"/>
              <w:jc w:val="center"/>
              <w:rPr>
                <w:rFonts w:ascii="宋体" w:hAnsi="宋体" w:cs="Times New Roman"/>
                <w:b w:val="0"/>
                <w:bCs w:val="0"/>
              </w:rPr>
            </w:pPr>
            <w:r>
              <w:rPr>
                <w:rFonts w:hint="eastAsia" w:ascii="宋体" w:hAnsi="宋体" w:cs="Times New Roman"/>
                <w:b/>
                <w:bCs/>
              </w:rPr>
              <w:t>6</w:t>
            </w:r>
          </w:p>
        </w:tc>
        <w:tc>
          <w:tcPr>
            <w:tcW w:w="1985" w:type="dxa"/>
            <w:vAlign w:val="center"/>
          </w:tcPr>
          <w:p>
            <w:pPr>
              <w:spacing w:before="0" w:beforeLines="0" w:after="0" w:afterLines="0"/>
              <w:jc w:val="center"/>
              <w:rPr>
                <w:rFonts w:ascii="宋体" w:hAnsi="宋体" w:cs="Times New Roman"/>
              </w:rPr>
            </w:pPr>
            <w:r>
              <w:rPr>
                <w:rFonts w:hint="eastAsia" w:ascii="宋体" w:hAnsi="宋体" w:cs="Times New Roman"/>
              </w:rPr>
              <w:t>H</w:t>
            </w:r>
            <w:r>
              <w:rPr>
                <w:rFonts w:ascii="宋体" w:hAnsi="宋体" w:cs="Times New Roman"/>
                <w:vertAlign w:val="subscript"/>
              </w:rPr>
              <w:t>2</w:t>
            </w:r>
            <w:r>
              <w:rPr>
                <w:rFonts w:ascii="宋体" w:hAnsi="宋体" w:cs="Times New Roman"/>
              </w:rPr>
              <w:t>O</w:t>
            </w:r>
          </w:p>
        </w:tc>
        <w:tc>
          <w:tcPr>
            <w:tcW w:w="3827" w:type="dxa"/>
            <w:vAlign w:val="center"/>
          </w:tcPr>
          <w:p>
            <w:pPr>
              <w:spacing w:before="0" w:beforeLines="0" w:after="0" w:afterLines="0"/>
              <w:jc w:val="center"/>
              <w:rPr>
                <w:rFonts w:ascii="宋体" w:hAnsi="宋体" w:cs="Times New Roman"/>
              </w:rPr>
            </w:pPr>
            <w:r>
              <w:rPr>
                <w:rFonts w:hint="eastAsia" w:ascii="宋体" w:hAnsi="宋体" w:cs="Times New Roman"/>
              </w:rPr>
              <w:t>0(±</w:t>
            </w:r>
            <w:r>
              <w:rPr>
                <w:rFonts w:ascii="宋体" w:hAnsi="宋体" w:cs="Times New Roman"/>
              </w:rPr>
              <w:t>0.000)&lt;H</w:t>
            </w:r>
            <w:r>
              <w:rPr>
                <w:rFonts w:ascii="宋体" w:hAnsi="宋体" w:cs="Times New Roman"/>
                <w:vertAlign w:val="subscript"/>
              </w:rPr>
              <w:t>2</w:t>
            </w:r>
            <w:r>
              <w:rPr>
                <w:rFonts w:ascii="宋体" w:hAnsi="宋体" w:cs="Times New Roman"/>
              </w:rPr>
              <w:t>O&lt;=0.2(</w:t>
            </w:r>
            <w:r>
              <w:rPr>
                <w:rFonts w:hint="eastAsia" w:ascii="宋体" w:hAnsi="宋体" w:cs="Times New Roman"/>
              </w:rPr>
              <w:t>±</w:t>
            </w:r>
            <w:r>
              <w:rPr>
                <w:rFonts w:ascii="宋体" w:hAnsi="宋体" w:cs="Times New Roman"/>
              </w:rPr>
              <w:t>0.000)%</w:t>
            </w:r>
          </w:p>
        </w:tc>
        <w:tc>
          <w:tcPr>
            <w:tcW w:w="1780" w:type="dxa"/>
            <w:vAlign w:val="center"/>
          </w:tcPr>
          <w:p>
            <w:pPr>
              <w:spacing w:before="0" w:beforeLines="0" w:after="0" w:afterLines="0"/>
              <w:jc w:val="center"/>
              <w:rPr>
                <w:rFonts w:ascii="宋体" w:hAnsi="宋体" w:cs="Times New Roman"/>
              </w:rPr>
            </w:pPr>
            <w:r>
              <w:rPr>
                <w:rFonts w:hint="eastAsia" w:ascii="宋体" w:hAnsi="宋体" w:cs="Times New Roman"/>
              </w:rPr>
              <w:t>G</w:t>
            </w:r>
            <w:r>
              <w:rPr>
                <w:rFonts w:ascii="宋体" w:hAnsi="宋体" w:cs="Times New Roman"/>
              </w:rPr>
              <w:t>B/T 11133</w:t>
            </w:r>
          </w:p>
        </w:tc>
      </w:tr>
    </w:tbl>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以下为国家标准</w:t>
      </w:r>
      <w:r>
        <w:rPr>
          <w:rFonts w:ascii="Times New Roman" w:hAnsi="Times New Roman" w:cs="Times New Roman"/>
          <w:szCs w:val="21"/>
        </w:rPr>
        <w:t>GB/T 35724-2017</w:t>
      </w:r>
      <w:r>
        <w:rPr>
          <w:rFonts w:hint="eastAsia" w:ascii="Times New Roman" w:hAnsi="Times New Roman" w:cs="Times New Roman"/>
          <w:szCs w:val="21"/>
        </w:rPr>
        <w:t>：</w:t>
      </w:r>
    </w:p>
    <w:tbl>
      <w:tblPr>
        <w:tblStyle w:val="41"/>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547"/>
        <w:gridCol w:w="1984"/>
        <w:gridCol w:w="1691"/>
        <w:gridCol w:w="207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指标</w:t>
            </w:r>
          </w:p>
        </w:tc>
        <w:tc>
          <w:tcPr>
            <w:tcW w:w="198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优等品</w:t>
            </w:r>
          </w:p>
        </w:tc>
        <w:tc>
          <w:tcPr>
            <w:tcW w:w="169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一等品</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合格品</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shd w:val="clear" w:color="auto" w:fill="D9E2F3" w:themeFill="accent1" w:themeFillTint="33"/>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外观</w:t>
            </w:r>
          </w:p>
        </w:tc>
        <w:tc>
          <w:tcPr>
            <w:tcW w:w="198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无色透明液体</w:t>
            </w:r>
          </w:p>
        </w:tc>
        <w:tc>
          <w:tcPr>
            <w:tcW w:w="1691"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无色透明液体</w:t>
            </w:r>
          </w:p>
        </w:tc>
        <w:tc>
          <w:tcPr>
            <w:tcW w:w="207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无色透明液体</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总杂质</w:t>
            </w:r>
          </w:p>
        </w:tc>
        <w:tc>
          <w:tcPr>
            <w:tcW w:w="198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05%</w:t>
            </w:r>
          </w:p>
        </w:tc>
        <w:tc>
          <w:tcPr>
            <w:tcW w:w="1691"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p>
        </w:tc>
        <w:tc>
          <w:tcPr>
            <w:tcW w:w="207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shd w:val="clear" w:color="auto" w:fill="D9E2F3" w:themeFill="accent1" w:themeFillTint="33"/>
          </w:tcPr>
          <w:p>
            <w:pPr>
              <w:spacing w:before="0" w:beforeLines="0" w:after="0" w:afterLines="0"/>
              <w:jc w:val="center"/>
              <w:rPr>
                <w:rFonts w:ascii="Times New Roman" w:hAnsi="Times New Roman" w:cs="Times New Roman"/>
                <w:b/>
                <w:bCs/>
              </w:rPr>
            </w:pPr>
            <w:r>
              <w:rPr>
                <w:rFonts w:hint="eastAsia" w:ascii="Times New Roman" w:hAnsi="Times New Roman" w:cs="Times New Roman"/>
                <w:b/>
                <w:bCs/>
              </w:rPr>
              <w:t>酸度（以氢氧化钠滴定）</w:t>
            </w:r>
          </w:p>
        </w:tc>
        <w:tc>
          <w:tcPr>
            <w:tcW w:w="198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0007</w:t>
            </w:r>
            <w:r>
              <w:rPr>
                <w:rFonts w:hint="eastAsia" w:ascii="Times New Roman" w:hAnsi="Times New Roman" w:cs="Times New Roman"/>
              </w:rPr>
              <w:t>mol</w:t>
            </w:r>
            <w:r>
              <w:rPr>
                <w:rFonts w:ascii="Times New Roman" w:hAnsi="Times New Roman" w:cs="Times New Roman"/>
              </w:rPr>
              <w:t>/L</w:t>
            </w:r>
          </w:p>
        </w:tc>
        <w:tc>
          <w:tcPr>
            <w:tcW w:w="1691"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001</w:t>
            </w:r>
            <w:r>
              <w:rPr>
                <w:rFonts w:hint="eastAsia" w:ascii="Times New Roman" w:hAnsi="Times New Roman" w:cs="Times New Roman"/>
              </w:rPr>
              <w:t>mol</w:t>
            </w:r>
            <w:r>
              <w:rPr>
                <w:rFonts w:ascii="Times New Roman" w:hAnsi="Times New Roman" w:cs="Times New Roman"/>
              </w:rPr>
              <w:t>/L</w:t>
            </w:r>
          </w:p>
        </w:tc>
        <w:tc>
          <w:tcPr>
            <w:tcW w:w="207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005</w:t>
            </w:r>
            <w:r>
              <w:rPr>
                <w:rFonts w:hint="eastAsia" w:ascii="Times New Roman" w:hAnsi="Times New Roman" w:cs="Times New Roman"/>
              </w:rPr>
              <w:t>mol</w:t>
            </w:r>
            <w:r>
              <w:rPr>
                <w:rFonts w:ascii="Times New Roman" w:hAnsi="Times New Roman" w:cs="Times New Roman"/>
              </w:rPr>
              <w:t>/L</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水分</w:t>
            </w:r>
          </w:p>
        </w:tc>
        <w:tc>
          <w:tcPr>
            <w:tcW w:w="198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.03%</w:t>
            </w:r>
          </w:p>
        </w:tc>
        <w:tc>
          <w:tcPr>
            <w:tcW w:w="1691"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.05%</w:t>
            </w:r>
          </w:p>
        </w:tc>
        <w:tc>
          <w:tcPr>
            <w:tcW w:w="2074" w:type="dxa"/>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shd w:val="clear" w:color="auto" w:fill="D9E2F3" w:themeFill="accent1" w:themeFillTint="33"/>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氯离子</w:t>
            </w:r>
          </w:p>
        </w:tc>
        <w:tc>
          <w:tcPr>
            <w:tcW w:w="198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≤5</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1691"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207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硫酸根</w:t>
            </w:r>
          </w:p>
        </w:tc>
        <w:tc>
          <w:tcPr>
            <w:tcW w:w="1984" w:type="dxa"/>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1691" w:type="dxa"/>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c>
          <w:tcPr>
            <w:tcW w:w="2074" w:type="dxa"/>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100</w:t>
            </w:r>
            <w:r>
              <w:rPr>
                <w:rFonts w:hint="eastAsia" w:ascii="Yu Gothic" w:hAnsi="Yu Gothic" w:eastAsia="Yu Gothic" w:cs="Times New Roman"/>
                <w:sz w:val="18"/>
                <w:szCs w:val="18"/>
              </w:rPr>
              <w:t>μ</w:t>
            </w:r>
            <w:r>
              <w:rPr>
                <w:rFonts w:hint="eastAsia" w:ascii="Times New Roman" w:hAnsi="Times New Roman" w:cs="Times New Roman"/>
              </w:rPr>
              <w:t>g</w:t>
            </w:r>
            <w:r>
              <w:rPr>
                <w:rFonts w:ascii="Times New Roman" w:hAnsi="Times New Roman" w:cs="Times New Roman"/>
              </w:rPr>
              <w:t>/</w:t>
            </w:r>
            <w:r>
              <w:rPr>
                <w:rFonts w:hint="eastAsia" w:ascii="Times New Roman" w:hAnsi="Times New Roman" w:cs="Times New Roman"/>
              </w:rPr>
              <w:t>g</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547" w:type="dxa"/>
            <w:shd w:val="clear" w:color="auto" w:fill="D9E2F3" w:themeFill="accent1" w:themeFillTint="33"/>
          </w:tcPr>
          <w:p>
            <w:pPr>
              <w:spacing w:before="0" w:beforeLines="0" w:after="0" w:afterLines="0"/>
              <w:jc w:val="center"/>
              <w:rPr>
                <w:rFonts w:ascii="Times New Roman" w:hAnsi="Times New Roman" w:cs="Times New Roman"/>
                <w:b w:val="0"/>
                <w:bCs w:val="0"/>
              </w:rPr>
            </w:pPr>
            <w:r>
              <w:rPr>
                <w:rFonts w:hint="eastAsia" w:ascii="Times New Roman" w:hAnsi="Times New Roman" w:cs="Times New Roman"/>
                <w:b/>
                <w:bCs/>
              </w:rPr>
              <w:t>加氢氢物（以乙腈计）</w:t>
            </w:r>
          </w:p>
        </w:tc>
        <w:tc>
          <w:tcPr>
            <w:tcW w:w="198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.2%</w:t>
            </w:r>
          </w:p>
        </w:tc>
        <w:tc>
          <w:tcPr>
            <w:tcW w:w="1691"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.5%</w:t>
            </w:r>
          </w:p>
        </w:tc>
        <w:tc>
          <w:tcPr>
            <w:tcW w:w="2074"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0%</w:t>
            </w:r>
          </w:p>
        </w:tc>
      </w:tr>
    </w:tbl>
    <w:p>
      <w:pPr>
        <w:pStyle w:val="4"/>
        <w:spacing w:before="156" w:after="156"/>
        <w:rPr>
          <w:rFonts w:ascii="Times New Roman" w:hAnsi="Times New Roman" w:eastAsia="宋体" w:cs="Times New Roman"/>
        </w:rPr>
      </w:pPr>
      <w:bookmarkStart w:id="35" w:name="_Toc141669983"/>
      <w:r>
        <w:rPr>
          <w:rFonts w:hint="eastAsia" w:ascii="Times New Roman" w:hAnsi="Times New Roman" w:eastAsia="宋体" w:cs="Times New Roman"/>
        </w:rPr>
        <w:t>3</w:t>
      </w:r>
      <w:r>
        <w:rPr>
          <w:rFonts w:ascii="Times New Roman" w:hAnsi="Times New Roman" w:eastAsia="宋体" w:cs="Times New Roman"/>
        </w:rPr>
        <w:t>.2.4</w:t>
      </w:r>
      <w:r>
        <w:rPr>
          <w:rFonts w:hint="eastAsia" w:ascii="Times New Roman" w:hAnsi="Times New Roman" w:eastAsia="宋体" w:cs="Times New Roman"/>
        </w:rPr>
        <w:t>副产品</w:t>
      </w:r>
      <w:bookmarkEnd w:id="35"/>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本项目的主要副产品为</w:t>
      </w:r>
      <w:r>
        <w:rPr>
          <w:rFonts w:ascii="Times New Roman" w:hAnsi="Times New Roman" w:cs="Times New Roman"/>
          <w:szCs w:val="21"/>
        </w:rPr>
        <w:t>99.1%wt的</w:t>
      </w:r>
      <w:r>
        <w:rPr>
          <w:rFonts w:hint="eastAsia" w:ascii="Times New Roman" w:hAnsi="Times New Roman" w:cs="Times New Roman"/>
          <w:szCs w:val="21"/>
        </w:rPr>
        <w:t>1</w:t>
      </w:r>
      <w:r>
        <w:rPr>
          <w:rFonts w:ascii="Times New Roman" w:hAnsi="Times New Roman" w:cs="Times New Roman"/>
          <w:szCs w:val="21"/>
        </w:rPr>
        <w:t>-</w:t>
      </w:r>
      <w:r>
        <w:rPr>
          <w:rFonts w:hint="eastAsia" w:ascii="Times New Roman" w:hAnsi="Times New Roman" w:cs="Times New Roman"/>
          <w:szCs w:val="21"/>
        </w:rPr>
        <w:t>亚氨基-</w:t>
      </w:r>
      <w:r>
        <w:rPr>
          <w:rFonts w:ascii="Times New Roman" w:hAnsi="Times New Roman" w:cs="Times New Roman"/>
          <w:szCs w:val="21"/>
        </w:rPr>
        <w:t>2-</w:t>
      </w:r>
      <w:r>
        <w:rPr>
          <w:rFonts w:hint="eastAsia" w:ascii="Times New Roman" w:hAnsi="Times New Roman" w:cs="Times New Roman"/>
          <w:szCs w:val="21"/>
        </w:rPr>
        <w:t>氰基环戊烷（I</w:t>
      </w:r>
      <w:r>
        <w:rPr>
          <w:rFonts w:ascii="Times New Roman" w:hAnsi="Times New Roman" w:cs="Times New Roman"/>
          <w:szCs w:val="21"/>
        </w:rPr>
        <w:t>CCP</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有文献报道，I</w:t>
      </w:r>
      <w:r>
        <w:rPr>
          <w:rFonts w:ascii="Times New Roman" w:hAnsi="Times New Roman" w:cs="Times New Roman"/>
          <w:szCs w:val="21"/>
        </w:rPr>
        <w:t>CCP</w:t>
      </w:r>
      <w:r>
        <w:rPr>
          <w:rFonts w:hint="eastAsia" w:ascii="Times New Roman" w:hAnsi="Times New Roman" w:cs="Times New Roman"/>
          <w:szCs w:val="21"/>
        </w:rPr>
        <w:t>常以1</w:t>
      </w:r>
      <w:r>
        <w:rPr>
          <w:rFonts w:ascii="Times New Roman" w:hAnsi="Times New Roman" w:cs="Times New Roman"/>
          <w:szCs w:val="21"/>
        </w:rPr>
        <w:t>-</w:t>
      </w:r>
      <w:r>
        <w:rPr>
          <w:rFonts w:hint="eastAsia" w:ascii="Times New Roman" w:hAnsi="Times New Roman" w:cs="Times New Roman"/>
          <w:szCs w:val="21"/>
        </w:rPr>
        <w:t>氨基-</w:t>
      </w:r>
      <w:r>
        <w:rPr>
          <w:rFonts w:ascii="Times New Roman" w:hAnsi="Times New Roman" w:cs="Times New Roman"/>
          <w:szCs w:val="21"/>
        </w:rPr>
        <w:t>2-</w:t>
      </w:r>
      <w:r>
        <w:rPr>
          <w:rFonts w:hint="eastAsia" w:ascii="Times New Roman" w:hAnsi="Times New Roman" w:cs="Times New Roman"/>
          <w:szCs w:val="21"/>
        </w:rPr>
        <w:t>氰基环戊烯（A</w:t>
      </w:r>
      <w:r>
        <w:rPr>
          <w:rFonts w:ascii="Times New Roman" w:hAnsi="Times New Roman" w:cs="Times New Roman"/>
          <w:szCs w:val="21"/>
        </w:rPr>
        <w:t>CCP</w:t>
      </w:r>
      <w:r>
        <w:rPr>
          <w:rFonts w:hint="eastAsia" w:ascii="Times New Roman" w:hAnsi="Times New Roman" w:cs="Times New Roman"/>
          <w:szCs w:val="21"/>
        </w:rPr>
        <w:t>）形式存在。</w:t>
      </w:r>
      <w:r>
        <w:rPr>
          <w:rFonts w:ascii="Times New Roman" w:hAnsi="Times New Roman" w:cs="Times New Roman"/>
          <w:szCs w:val="21"/>
        </w:rPr>
        <w:t>采用</w:t>
      </w:r>
      <w:r>
        <w:rPr>
          <w:rFonts w:hint="eastAsia" w:ascii="Times New Roman" w:hAnsi="Times New Roman" w:cs="Times New Roman"/>
          <w:szCs w:val="21"/>
        </w:rPr>
        <w:t>己二酸催化氨化法</w:t>
      </w:r>
      <w:r>
        <w:rPr>
          <w:rFonts w:ascii="Times New Roman" w:hAnsi="Times New Roman" w:cs="Times New Roman"/>
          <w:szCs w:val="21"/>
        </w:rPr>
        <w:t>制备</w:t>
      </w:r>
      <w:r>
        <w:rPr>
          <w:rFonts w:hint="eastAsia" w:ascii="Times New Roman" w:hAnsi="Times New Roman" w:cs="Times New Roman"/>
          <w:szCs w:val="21"/>
        </w:rPr>
        <w:t>己二腈</w:t>
      </w:r>
      <w:r>
        <w:rPr>
          <w:rFonts w:ascii="Times New Roman" w:hAnsi="Times New Roman" w:cs="Times New Roman"/>
          <w:szCs w:val="21"/>
        </w:rPr>
        <w:t>时</w:t>
      </w:r>
      <w:r>
        <w:rPr>
          <w:rFonts w:hint="eastAsia" w:ascii="Times New Roman" w:hAnsi="Times New Roman" w:cs="Times New Roman"/>
          <w:szCs w:val="21"/>
        </w:rPr>
        <w:t>脱水反应步骤中</w:t>
      </w:r>
      <w:r>
        <w:rPr>
          <w:rFonts w:ascii="Times New Roman" w:hAnsi="Times New Roman" w:cs="Times New Roman"/>
          <w:szCs w:val="21"/>
        </w:rPr>
        <w:t>副反应会</w:t>
      </w:r>
      <w:r>
        <w:rPr>
          <w:rFonts w:hint="eastAsia" w:ascii="Times New Roman" w:hAnsi="Times New Roman" w:cs="Times New Roman"/>
          <w:szCs w:val="21"/>
        </w:rPr>
        <w:t>产生I</w:t>
      </w:r>
      <w:r>
        <w:rPr>
          <w:rFonts w:ascii="Times New Roman" w:hAnsi="Times New Roman" w:cs="Times New Roman"/>
          <w:szCs w:val="21"/>
        </w:rPr>
        <w:t>CCP</w:t>
      </w:r>
      <w:r>
        <w:rPr>
          <w:rFonts w:hint="eastAsia" w:ascii="Times New Roman" w:hAnsi="Times New Roman" w:cs="Times New Roman"/>
          <w:szCs w:val="21"/>
        </w:rPr>
        <w:t>，将其精制可年产</w:t>
      </w:r>
      <w:r>
        <w:rPr>
          <w:rFonts w:ascii="Times New Roman" w:hAnsi="Times New Roman" w:cs="Times New Roman"/>
          <w:szCs w:val="21"/>
        </w:rPr>
        <w:t>1.8万吨99.9%wt的高品质ICCP。</w:t>
      </w:r>
      <w:r>
        <w:rPr>
          <w:rFonts w:hint="eastAsia" w:ascii="Times New Roman" w:hAnsi="Times New Roman" w:cs="Times New Roman"/>
          <w:szCs w:val="21"/>
        </w:rPr>
        <w:t>I</w:t>
      </w:r>
      <w:r>
        <w:rPr>
          <w:rFonts w:ascii="Times New Roman" w:hAnsi="Times New Roman" w:cs="Times New Roman"/>
          <w:szCs w:val="21"/>
        </w:rPr>
        <w:t>CCP</w:t>
      </w:r>
      <w:r>
        <w:rPr>
          <w:rFonts w:hint="eastAsia" w:ascii="Times New Roman" w:hAnsi="Times New Roman" w:cs="Times New Roman"/>
          <w:szCs w:val="21"/>
        </w:rPr>
        <w:t>是白色针状晶体，在沸水中微溶，I</w:t>
      </w:r>
      <w:r>
        <w:rPr>
          <w:rFonts w:ascii="Times New Roman" w:hAnsi="Times New Roman" w:cs="Times New Roman"/>
          <w:szCs w:val="21"/>
        </w:rPr>
        <w:t>CCP</w:t>
      </w:r>
      <w:r>
        <w:rPr>
          <w:rFonts w:hint="eastAsia" w:ascii="Times New Roman" w:hAnsi="Times New Roman" w:cs="Times New Roman"/>
          <w:szCs w:val="21"/>
        </w:rPr>
        <w:t>在医药上，可制备咪唑类衍生物、嘧啶类衍生物、烟酸等；在染料上，可制备各种染料中间体；在农业上，可制备除草剂等。</w:t>
      </w:r>
    </w:p>
    <w:p>
      <w:pPr>
        <w:widowControl/>
        <w:autoSpaceDE/>
        <w:autoSpaceDN/>
        <w:spacing w:before="0" w:beforeLines="0" w:after="0" w:afterLines="0"/>
        <w:rPr>
          <w:rFonts w:ascii="Times New Roman" w:hAnsi="Times New Roman" w:cs="Times New Roman"/>
          <w:b/>
          <w:bCs/>
          <w:color w:val="4472C4" w:themeColor="accent1"/>
          <w:kern w:val="44"/>
          <w:sz w:val="44"/>
          <w:szCs w:val="44"/>
          <w14:textFill>
            <w14:solidFill>
              <w14:schemeClr w14:val="accent1"/>
            </w14:solidFill>
          </w14:textFill>
        </w:rPr>
      </w:pPr>
      <w:r>
        <w:rPr>
          <w:rFonts w:ascii="Times New Roman" w:hAnsi="Times New Roman" w:cs="Times New Roman"/>
        </w:rPr>
        <w:br w:type="page"/>
      </w:r>
    </w:p>
    <w:p>
      <w:pPr>
        <w:pStyle w:val="2"/>
        <w:spacing w:before="156" w:after="156"/>
        <w:rPr>
          <w:rFonts w:ascii="Times New Roman" w:hAnsi="Times New Roman" w:eastAsia="宋体" w:cs="Times New Roman"/>
          <w:color w:val="auto"/>
        </w:rPr>
      </w:pPr>
      <w:bookmarkStart w:id="36" w:name="_Toc141669984"/>
      <w:r>
        <w:rPr>
          <w:rFonts w:ascii="Times New Roman" w:hAnsi="Times New Roman" w:eastAsia="宋体" w:cs="Times New Roman"/>
          <w:color w:val="auto"/>
        </w:rPr>
        <w:t>第四章 工艺技术方案</w:t>
      </w:r>
      <w:bookmarkEnd w:id="36"/>
    </w:p>
    <w:p>
      <w:pPr>
        <w:pStyle w:val="3"/>
        <w:spacing w:before="156" w:after="156"/>
        <w:rPr>
          <w:rFonts w:ascii="Times New Roman" w:hAnsi="Times New Roman" w:eastAsia="宋体" w:cs="Times New Roman"/>
        </w:rPr>
      </w:pPr>
      <w:bookmarkStart w:id="37" w:name="_Toc141669985"/>
      <w:r>
        <w:rPr>
          <w:rFonts w:ascii="Times New Roman" w:hAnsi="Times New Roman" w:eastAsia="宋体" w:cs="Times New Roman"/>
        </w:rPr>
        <w:t>4.1 工艺技术方案概述</w:t>
      </w:r>
      <w:bookmarkEnd w:id="37"/>
    </w:p>
    <w:p>
      <w:pPr>
        <w:spacing w:before="156" w:after="156"/>
        <w:ind w:firstLine="420" w:firstLineChars="200"/>
        <w:rPr>
          <w:rFonts w:ascii="Times New Roman" w:hAnsi="Times New Roman" w:cs="Times New Roman"/>
          <w:szCs w:val="21"/>
        </w:rPr>
      </w:pPr>
      <w:r>
        <w:rPr>
          <w:rFonts w:ascii="Times New Roman" w:hAnsi="Times New Roman" w:cs="Times New Roman"/>
          <w:szCs w:val="21"/>
        </w:rPr>
        <w:t>目前，全球己二腈生产技术路线主要有5种：己二酸催化氨化法、丙烯腈电解二聚法、丙烯腈催化二聚法、丁二烯直接氰化法和己内酰胺法。各自简介如下：</w:t>
      </w:r>
    </w:p>
    <w:p>
      <w:pPr>
        <w:spacing w:before="156" w:after="156"/>
        <w:ind w:firstLine="360"/>
        <w:rPr>
          <w:rFonts w:ascii="Times New Roman" w:hAnsi="Times New Roman" w:cs="Times New Roman"/>
          <w:szCs w:val="21"/>
        </w:rPr>
      </w:pPr>
      <w:r>
        <w:rPr>
          <w:rFonts w:ascii="Times New Roman" w:hAnsi="Times New Roman" w:cs="Times New Roman"/>
          <w:szCs w:val="21"/>
        </w:rPr>
        <w:t>（1）己二酸催化氨化法：己二酸与氨气在催化剂作用下生成己二腈和水，根据己二酸相态可分为液相己二酸催化氨化法和气相己二酸催化氨化法。</w:t>
      </w:r>
    </w:p>
    <w:p>
      <w:pPr>
        <w:spacing w:before="156" w:after="156"/>
        <w:ind w:firstLine="360"/>
        <w:rPr>
          <w:rFonts w:ascii="Times New Roman" w:hAnsi="Times New Roman" w:cs="Times New Roman"/>
          <w:szCs w:val="21"/>
        </w:rPr>
      </w:pPr>
      <w:r>
        <w:rPr>
          <w:rFonts w:ascii="Times New Roman" w:hAnsi="Times New Roman" w:cs="Times New Roman"/>
          <w:szCs w:val="21"/>
        </w:rPr>
        <w:t>（2）丙烯腈电解二聚法：以丙烯腈和水作为原料电解，丙烯腈在阴极发生反应生成己二腈，水在阳极反应生成氧气，丙烯腈不参与阴极反应，无隔膜丙烯腈电解法逐渐代替最初的有隔膜丙烯腈电解法。</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（3）丙烯腈催化二聚法：通过将催化剂加入到丙烯腈反应液中,使得丙烯腈分子之间发生二聚反应,形成己二腈。</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（4）丁二烯直接氰化法：丁二烯和HCN在催化剂作用下发生一级氰化和异构化生成4-戊烯腈和3-戊烯腈，二者在催化剂作用下发生二级氰化生成己二腈，一般会配套HCN合成设备。</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（5）己内酰胺法：己内酰胺法是由己内酰胺与氨在催化剂作用下,进行气相反应生成氨基己腈。</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己内酰胺法由于原料稀缺，目前并没有投入大量工业生产中，只有日本小部分公司使用该工艺</w:t>
      </w:r>
      <w:r>
        <w:rPr>
          <w:rFonts w:hint="eastAsia" w:ascii="Times New Roman" w:hAnsi="Times New Roman" w:cs="Times New Roman"/>
          <w:szCs w:val="21"/>
        </w:rPr>
        <w:t>，</w:t>
      </w:r>
      <w:r>
        <w:rPr>
          <w:rFonts w:ascii="Times New Roman" w:hAnsi="Times New Roman" w:cs="Times New Roman"/>
          <w:szCs w:val="21"/>
        </w:rPr>
        <w:t>综上，目前生产己二腈最主要的工艺路线为丙烯腈法和丁二烯法，所以此部分</w:t>
      </w:r>
      <w:r>
        <w:rPr>
          <w:rFonts w:hint="eastAsia" w:ascii="Times New Roman" w:hAnsi="Times New Roman" w:cs="Times New Roman"/>
          <w:szCs w:val="21"/>
        </w:rPr>
        <w:t>对</w:t>
      </w:r>
      <w:r>
        <w:rPr>
          <w:rFonts w:ascii="Times New Roman" w:hAnsi="Times New Roman" w:cs="Times New Roman"/>
          <w:szCs w:val="21"/>
        </w:rPr>
        <w:t>己内酰胺法不予比较。</w:t>
      </w:r>
    </w:p>
    <w:p>
      <w:pPr>
        <w:pStyle w:val="3"/>
        <w:spacing w:before="156" w:after="156"/>
        <w:rPr>
          <w:rFonts w:ascii="Times New Roman" w:hAnsi="Times New Roman" w:eastAsia="宋体" w:cs="Times New Roman"/>
        </w:rPr>
      </w:pPr>
      <w:bookmarkStart w:id="38" w:name="_Toc141669986"/>
      <w:r>
        <w:rPr>
          <w:rFonts w:ascii="Times New Roman" w:hAnsi="Times New Roman" w:eastAsia="宋体" w:cs="Times New Roman"/>
        </w:rPr>
        <w:t>4.2 工艺技术方案选择</w:t>
      </w:r>
      <w:bookmarkEnd w:id="38"/>
    </w:p>
    <w:p>
      <w:pPr>
        <w:pStyle w:val="4"/>
        <w:spacing w:before="156" w:after="156"/>
        <w:rPr>
          <w:rFonts w:ascii="Times New Roman" w:hAnsi="Times New Roman" w:eastAsia="宋体" w:cs="Times New Roman"/>
        </w:rPr>
      </w:pPr>
      <w:bookmarkStart w:id="39" w:name="_Toc141669987"/>
      <w:r>
        <w:rPr>
          <w:rFonts w:ascii="Times New Roman" w:hAnsi="Times New Roman" w:eastAsia="宋体" w:cs="Times New Roman"/>
        </w:rPr>
        <w:t>4.2.1 丙烯腈电解二聚法</w:t>
      </w:r>
      <w:bookmarkEnd w:id="39"/>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丙烯腈（AN）电解二聚法的反应方程式如下：</w:t>
      </w:r>
    </w:p>
    <w:p>
      <w:pPr>
        <w:spacing w:before="156" w:after="156"/>
        <w:ind w:firstLine="420" w:firstLineChars="200"/>
        <w:rPr>
          <w:rFonts w:ascii="Cambria Math" w:hAnsi="Cambria Math" w:cs="Times New Roman"/>
          <w:szCs w:val="21"/>
          <w:oMath/>
        </w:rPr>
      </w:pPr>
      <m:oMathPara>
        <m:oMath>
          <m:r>
            <m:rPr>
              <m:sty m:val="p"/>
            </m:rPr>
            <w:rPr>
              <w:rFonts w:ascii="Cambria Math" w:hAnsi="Cambria Math" w:cs="Times New Roman"/>
              <w:szCs w:val="21"/>
            </w:rPr>
            <m:t>阴极：2C</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=CHCN+2</m:t>
          </m:r>
          <m:sSup>
            <m:sSupPr>
              <m:ctrlPr>
                <w:rPr>
                  <w:rFonts w:ascii="Cambria Math" w:hAnsi="Cambria Math" w:cs="Times New Roman"/>
                  <w:szCs w:val="21"/>
                </w:rPr>
              </m:ctrlPr>
            </m:sSupPr>
            <m:e>
              <m:r>
                <m:rPr>
                  <m:sty m:val="p"/>
                </m:rPr>
                <w:rPr>
                  <w:rFonts w:ascii="Cambria Math" w:hAnsi="Cambria Math" w:cs="Times New Roman"/>
                  <w:szCs w:val="21"/>
                </w:rPr>
                <m:t>H</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e</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 xml:space="preserve"> → NC</m:t>
          </m:r>
          <m:sSub>
            <m:sSubPr>
              <m:ctrlPr>
                <w:rPr>
                  <w:rFonts w:ascii="Cambria Math" w:hAnsi="Cambria Math" w:cs="Times New Roman"/>
                  <w:szCs w:val="21"/>
                </w:rPr>
              </m:ctrlPr>
            </m:sSubPr>
            <m:e>
              <m:r>
                <m:rPr>
                  <m:sty m:val="p"/>
                </m:rPr>
                <w:rPr>
                  <w:rFonts w:ascii="Cambria Math" w:hAnsi="Cambria Math" w:cs="Times New Roman"/>
                  <w:szCs w:val="21"/>
                </w:rPr>
                <m:t>(CH)</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m:sty m:val="p"/>
            </m:rPr>
            <w:rPr>
              <w:rFonts w:ascii="Cambria Math" w:hAnsi="Cambria Math" w:cs="Times New Roman"/>
              <w:szCs w:val="21"/>
            </w:rPr>
            <m:t>CN</m:t>
          </m:r>
        </m:oMath>
      </m:oMathPara>
    </w:p>
    <w:p>
      <w:pPr>
        <w:spacing w:before="156" w:after="156"/>
        <w:ind w:firstLine="420" w:firstLineChars="200"/>
        <w:rPr>
          <w:rFonts w:ascii="Cambria Math" w:hAnsi="Cambria Math" w:cs="Times New Roman"/>
          <w:szCs w:val="21"/>
          <w:oMath/>
        </w:rPr>
      </w:pPr>
      <m:oMathPara>
        <m:oMath>
          <m:r>
            <m:rPr>
              <m:sty m:val="p"/>
            </m:rPr>
            <w:rPr>
              <w:rFonts w:ascii="Cambria Math" w:hAnsi="Cambria Math" w:cs="Times New Roman"/>
              <w:szCs w:val="21"/>
            </w:rPr>
            <m:t>阳极：</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 xml:space="preserve">O → </m:t>
          </m:r>
          <m:f>
            <m:fPr>
              <m:ctrlPr>
                <w:rPr>
                  <w:rFonts w:ascii="Cambria Math" w:hAnsi="Cambria Math" w:cs="Times New Roman"/>
                  <w:szCs w:val="21"/>
                </w:rPr>
              </m:ctrlPr>
            </m:fPr>
            <m:num>
              <m:r>
                <m:rPr>
                  <m:sty m:val="p"/>
                </m:rPr>
                <w:rPr>
                  <w:rFonts w:ascii="Cambria Math" w:hAnsi="Cambria Math" w:cs="Times New Roman"/>
                  <w:szCs w:val="21"/>
                </w:rPr>
                <m:t>1</m:t>
              </m:r>
              <m:ctrlPr>
                <w:rPr>
                  <w:rFonts w:ascii="Cambria Math" w:hAnsi="Cambria Math" w:cs="Times New Roman"/>
                  <w:szCs w:val="21"/>
                </w:rPr>
              </m:ctrlPr>
            </m:num>
            <m:den>
              <m:r>
                <m:rPr>
                  <m:sty m:val="p"/>
                </m:rPr>
                <w:rPr>
                  <w:rFonts w:ascii="Cambria Math" w:hAnsi="Cambria Math" w:cs="Times New Roman"/>
                  <w:szCs w:val="21"/>
                </w:rPr>
                <m:t>2</m:t>
              </m:r>
              <m:ctrlPr>
                <w:rPr>
                  <w:rFonts w:ascii="Cambria Math" w:hAnsi="Cambria Math" w:cs="Times New Roman"/>
                  <w:szCs w:val="21"/>
                </w:rPr>
              </m:ctrlPr>
            </m:den>
          </m:f>
          <m:sSub>
            <m:sSubPr>
              <m:ctrlPr>
                <w:rPr>
                  <w:rFonts w:ascii="Cambria Math" w:hAnsi="Cambria Math" w:cs="Times New Roman"/>
                  <w:szCs w:val="21"/>
                </w:rPr>
              </m:ctrlPr>
            </m:sSubPr>
            <m:e>
              <m:r>
                <m:rPr>
                  <m:sty m:val="p"/>
                </m:rPr>
                <w:rPr>
                  <w:rFonts w:ascii="Cambria Math" w:hAnsi="Cambria Math" w:cs="Times New Roman"/>
                  <w:szCs w:val="21"/>
                </w:rPr>
                <m:t>O</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H</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r>
            <m:rPr>
              <m:sty m:val="p"/>
            </m:rPr>
            <w:rPr>
              <w:rFonts w:ascii="Cambria Math" w:hAnsi="Cambria Math" w:cs="Times New Roman"/>
              <w:szCs w:val="21"/>
            </w:rPr>
            <m:t>+2</m:t>
          </m:r>
          <m:sSup>
            <m:sSupPr>
              <m:ctrlPr>
                <w:rPr>
                  <w:rFonts w:ascii="Cambria Math" w:hAnsi="Cambria Math" w:cs="Times New Roman"/>
                  <w:szCs w:val="21"/>
                </w:rPr>
              </m:ctrlPr>
            </m:sSupPr>
            <m:e>
              <m:r>
                <m:rPr>
                  <m:sty m:val="p"/>
                </m:rPr>
                <w:rPr>
                  <w:rFonts w:ascii="Cambria Math" w:hAnsi="Cambria Math" w:cs="Times New Roman"/>
                  <w:szCs w:val="21"/>
                </w:rPr>
                <m:t>e</m:t>
              </m:r>
              <m:ctrlPr>
                <w:rPr>
                  <w:rFonts w:ascii="Cambria Math" w:hAnsi="Cambria Math" w:cs="Times New Roman"/>
                  <w:szCs w:val="21"/>
                </w:rPr>
              </m:ctrlPr>
            </m:e>
            <m:sup>
              <m:r>
                <m:rPr>
                  <m:sty m:val="p"/>
                </m:rPr>
                <w:rPr>
                  <w:rFonts w:ascii="Cambria Math" w:hAnsi="Cambria Math" w:cs="Times New Roman"/>
                  <w:szCs w:val="21"/>
                </w:rPr>
                <m:t>−</m:t>
              </m:r>
              <m:ctrlPr>
                <w:rPr>
                  <w:rFonts w:ascii="Cambria Math" w:hAnsi="Cambria Math" w:cs="Times New Roman"/>
                  <w:szCs w:val="21"/>
                </w:rPr>
              </m:ctrlPr>
            </m:sup>
          </m:sSup>
        </m:oMath>
      </m:oMathPara>
    </w:p>
    <w:p>
      <w:pPr>
        <w:spacing w:before="156" w:after="156"/>
        <w:ind w:firstLine="420" w:firstLineChars="200"/>
        <w:rPr>
          <w:rFonts w:ascii="Cambria Math" w:hAnsi="Cambria Math" w:cs="Times New Roman"/>
          <w:szCs w:val="21"/>
          <w:oMath/>
        </w:rPr>
      </w:pPr>
      <m:oMathPara>
        <m:oMath>
          <m:r>
            <m:rPr>
              <m:sty m:val="p"/>
            </m:rPr>
            <w:rPr>
              <w:rFonts w:ascii="Cambria Math" w:hAnsi="Cambria Math" w:cs="Times New Roman"/>
              <w:szCs w:val="21"/>
            </w:rPr>
            <m:t>主反应式：2C</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=CHCN+</m:t>
          </m:r>
          <m:sSub>
            <m:sSubPr>
              <m:ctrlPr>
                <w:rPr>
                  <w:rFonts w:ascii="Cambria Math" w:hAnsi="Cambria Math" w:cs="Times New Roman"/>
                  <w:szCs w:val="21"/>
                </w:rPr>
              </m:ctrlPr>
            </m:sSubPr>
            <m:e>
              <m:r>
                <m:rPr>
                  <m:sty m:val="p"/>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O → NC</m:t>
          </m:r>
          <m:sSub>
            <m:sSubPr>
              <m:ctrlPr>
                <w:rPr>
                  <w:rFonts w:ascii="Cambria Math" w:hAnsi="Cambria Math" w:cs="Times New Roman"/>
                  <w:szCs w:val="21"/>
                </w:rPr>
              </m:ctrlPr>
            </m:sSubPr>
            <m:e>
              <m:r>
                <m:rPr>
                  <m:sty m:val="p"/>
                </m:rPr>
                <w:rPr>
                  <w:rFonts w:ascii="Cambria Math" w:hAnsi="Cambria Math" w:cs="Times New Roman"/>
                  <w:szCs w:val="21"/>
                </w:rPr>
                <m:t>(CH)</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m:sty m:val="p"/>
            </m:rPr>
            <w:rPr>
              <w:rFonts w:ascii="Cambria Math" w:hAnsi="Cambria Math" w:cs="Times New Roman"/>
              <w:szCs w:val="21"/>
            </w:rPr>
            <m:t>CN+</m:t>
          </m:r>
          <m:f>
            <m:fPr>
              <m:ctrlPr>
                <w:rPr>
                  <w:rFonts w:ascii="Cambria Math" w:hAnsi="Cambria Math" w:cs="Times New Roman"/>
                  <w:szCs w:val="21"/>
                </w:rPr>
              </m:ctrlPr>
            </m:fPr>
            <m:num>
              <m:r>
                <m:rPr>
                  <m:sty m:val="p"/>
                </m:rPr>
                <w:rPr>
                  <w:rFonts w:ascii="Cambria Math" w:hAnsi="Cambria Math" w:cs="Times New Roman"/>
                  <w:szCs w:val="21"/>
                </w:rPr>
                <m:t>1</m:t>
              </m:r>
              <m:ctrlPr>
                <w:rPr>
                  <w:rFonts w:ascii="Cambria Math" w:hAnsi="Cambria Math" w:cs="Times New Roman"/>
                  <w:szCs w:val="21"/>
                </w:rPr>
              </m:ctrlPr>
            </m:num>
            <m:den>
              <m:r>
                <m:rPr>
                  <m:sty m:val="p"/>
                </m:rPr>
                <w:rPr>
                  <w:rFonts w:ascii="Cambria Math" w:hAnsi="Cambria Math" w:cs="Times New Roman"/>
                  <w:szCs w:val="21"/>
                </w:rPr>
                <m:t>2</m:t>
              </m:r>
              <m:ctrlPr>
                <w:rPr>
                  <w:rFonts w:ascii="Cambria Math" w:hAnsi="Cambria Math" w:cs="Times New Roman"/>
                  <w:szCs w:val="21"/>
                </w:rPr>
              </m:ctrlPr>
            </m:den>
          </m:f>
          <m:sSub>
            <m:sSubPr>
              <m:ctrlPr>
                <w:rPr>
                  <w:rFonts w:ascii="Cambria Math" w:hAnsi="Cambria Math" w:cs="Times New Roman"/>
                  <w:szCs w:val="21"/>
                </w:rPr>
              </m:ctrlPr>
            </m:sSubPr>
            <m:e>
              <m:r>
                <m:rPr>
                  <m:sty m:val="p"/>
                </m:rPr>
                <w:rPr>
                  <w:rFonts w:ascii="Cambria Math" w:hAnsi="Cambria Math" w:cs="Times New Roman"/>
                  <w:szCs w:val="21"/>
                </w:rPr>
                <m:t>O</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oMath>
      </m:oMathPara>
    </w:p>
    <w:p>
      <w:pPr>
        <w:spacing w:before="156" w:after="156"/>
        <w:ind w:firstLine="420" w:firstLineChars="200"/>
        <w:rPr>
          <w:rFonts w:ascii="Times New Roman" w:hAnsi="Times New Roman" w:cs="Times New Roman"/>
          <w:szCs w:val="21"/>
        </w:rPr>
      </w:pPr>
      <w:r>
        <w:rPr>
          <w:rFonts w:ascii="Times New Roman" w:hAnsi="Times New Roman" w:cs="Times New Roman"/>
          <w:szCs w:val="21"/>
        </w:rPr>
        <w:t>参考孟山都生产工艺，采用阳离子交换膜作为隔膜将阴阳极电解液分开，可以得到高收率的己二腈，选择性可达92%。后期孟山公司简化了设备结构，采用无隔膜电解槽，降低了投资和能耗，选择性仍可保持在88%。有研究表明，在配对电解系统下，丙烯腈的转化率可达到96.7%。</w:t>
      </w:r>
    </w:p>
    <w:p>
      <w:pPr>
        <w:pStyle w:val="4"/>
        <w:spacing w:before="156" w:after="156"/>
        <w:rPr>
          <w:rFonts w:ascii="Times New Roman" w:hAnsi="Times New Roman" w:eastAsia="宋体" w:cs="Times New Roman"/>
        </w:rPr>
      </w:pPr>
      <w:bookmarkStart w:id="40" w:name="_Toc141669988"/>
      <w:r>
        <w:rPr>
          <w:rFonts w:ascii="Times New Roman" w:hAnsi="Times New Roman" w:eastAsia="宋体" w:cs="Times New Roman"/>
        </w:rPr>
        <w:t>4.2.2 丙烯腈催化二聚法</w:t>
      </w:r>
      <w:bookmarkEnd w:id="40"/>
    </w:p>
    <w:p>
      <w:pPr>
        <w:spacing w:before="156" w:after="156"/>
        <w:ind w:firstLine="420" w:firstLineChars="200"/>
        <w:rPr>
          <w:rFonts w:ascii="Times New Roman" w:hAnsi="Times New Roman" w:cs="Times New Roman"/>
          <w:szCs w:val="21"/>
        </w:rPr>
      </w:pPr>
      <w:r>
        <w:rPr>
          <w:rFonts w:ascii="Times New Roman" w:hAnsi="Times New Roman" w:cs="Times New Roman"/>
          <w:szCs w:val="21"/>
        </w:rPr>
        <w:t>由丙烯脯催化二聚制己二脯的方法主要有高压加氢二聚法、光化法、通过先生成中间体再还原二聚成己二腈的方法及其它方法。</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1）高压加氢二聚法：法国隆纳-普莱迈公司用羰基金属化物作触媒加防氢化剂和阻聚剂，在水存在下，由丙烯腈催化二聚制得己二腈，但最高收率仅15%，且有较多副产物；西德金属公司用钴-硅-铝系固体催化剂，在氢气流中使丙烯腈二聚，丙烯腈转化率可达49%。</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（2）光化法：日本东洋公司提出将丙烯腈、水和五羰基铁常温光照可以达到92-95%收率。</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（3）先生成中间体再还原二聚成己二腈</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美国海尔康公司采用卤化氢把丙烯腈卤化形成卤代丙腈后再制成己二腈，选择性可达96%以上，很多公司研究环状二聚物法，通过调节pH、温度、压强以及催化剂种类，可将反应产率提到百分之九十多，但目前暂时只在研究工作阶段。</w:t>
      </w:r>
    </w:p>
    <w:p>
      <w:pPr>
        <w:pStyle w:val="4"/>
        <w:spacing w:before="156" w:after="156"/>
        <w:rPr>
          <w:rFonts w:ascii="Times New Roman" w:hAnsi="Times New Roman" w:eastAsia="宋体" w:cs="Times New Roman"/>
        </w:rPr>
      </w:pPr>
      <w:bookmarkStart w:id="41" w:name="_Toc141669989"/>
      <w:r>
        <w:rPr>
          <w:rFonts w:ascii="Times New Roman" w:hAnsi="Times New Roman" w:eastAsia="宋体" w:cs="Times New Roman"/>
        </w:rPr>
        <w:t>4.2.3 丁二烯直接氰化法</w:t>
      </w:r>
      <w:bookmarkEnd w:id="41"/>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丁二烯直接氰化法的步骤（反应方程式）如下：</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一级氰化：</w:t>
      </w:r>
      <m:oMath>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r>
          <m:rPr/>
          <w:rPr>
            <w:rFonts w:ascii="Cambria Math" w:hAnsi="Cambria Math" w:cs="Times New Roman"/>
            <w:szCs w:val="21"/>
          </w:rPr>
          <m:t>CHCH</m:t>
        </m:r>
        <m:r>
          <m:rPr>
            <m:sty m:val="p"/>
          </m:rPr>
          <w:rPr>
            <w:rFonts w:ascii="Cambria Math" w:hAnsi="Cambria Math" w:cs="Times New Roman"/>
            <w:szCs w:val="21"/>
          </w:rPr>
          <m:t>+</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r>
              <m:rPr>
                <m:sty m:val="p"/>
              </m:rPr>
              <w:rPr>
                <w:rFonts w:ascii="Cambria Math" w:hAnsi="Cambria Math" w:cs="Times New Roman"/>
                <w:szCs w:val="21"/>
              </w:rPr>
              <m:t>+2</m:t>
            </m:r>
            <m:r>
              <m:rPr/>
              <w:rPr>
                <w:rFonts w:ascii="Cambria Math" w:hAnsi="Cambria Math" w:cs="Times New Roman"/>
                <w:szCs w:val="21"/>
              </w:rPr>
              <m:t>M</m:t>
            </m:r>
            <m:r>
              <m:rPr>
                <m:sty m:val="p"/>
              </m:rPr>
              <w:rPr>
                <w:rFonts w:ascii="Cambria Math" w:hAnsi="Cambria Math" w:cs="Times New Roman"/>
                <w:szCs w:val="21"/>
              </w:rPr>
              <m:t>3</m:t>
            </m:r>
            <m:r>
              <m:rPr/>
              <w:rPr>
                <w:rFonts w:ascii="Cambria Math" w:hAnsi="Cambria Math" w:cs="Times New Roman"/>
                <w:szCs w:val="21"/>
              </w:rPr>
              <m:t>BN</m:t>
            </m:r>
            <m:ctrlPr>
              <w:rPr>
                <w:rFonts w:ascii="Cambria Math" w:hAnsi="Cambria Math" w:cs="Times New Roman"/>
                <w:szCs w:val="21"/>
              </w:rPr>
            </m:ctrlPr>
          </m:e>
        </m:box>
      </m:oMath>
    </w:p>
    <w:p>
      <w:pPr>
        <w:spacing w:before="156" w:after="156"/>
        <w:ind w:firstLine="420" w:firstLineChars="200"/>
        <w:rPr>
          <w:rFonts w:ascii="Times New Roman" w:hAnsi="Times New Roman" w:cs="Times New Roman"/>
          <w:szCs w:val="21"/>
        </w:rPr>
      </w:pPr>
      <w:r>
        <w:rPr>
          <w:rFonts w:ascii="Times New Roman" w:hAnsi="Times New Roman" w:cs="Times New Roman"/>
          <w:szCs w:val="21"/>
        </w:rPr>
        <w:t>异构化：</w:t>
      </w:r>
      <m:oMath>
        <m:r>
          <m:rPr>
            <m:sty m:val="p"/>
          </m:rPr>
          <w:rPr>
            <w:rFonts w:ascii="Cambria Math" w:hAnsi="Cambria Math" w:cs="Times New Roman"/>
            <w:szCs w:val="21"/>
          </w:rPr>
          <m:t>2</m:t>
        </m:r>
        <m:r>
          <m:rPr/>
          <w:rPr>
            <w:rFonts w:ascii="Cambria Math" w:hAnsi="Cambria Math" w:cs="Times New Roman"/>
            <w:szCs w:val="21"/>
          </w:rPr>
          <m:t>M</m:t>
        </m:r>
        <m:r>
          <m:rPr>
            <m:sty m:val="p"/>
          </m:rPr>
          <w:rPr>
            <w:rFonts w:ascii="Cambria Math" w:hAnsi="Cambria Math" w:cs="Times New Roman"/>
            <w:szCs w:val="21"/>
          </w:rPr>
          <m:t>3</m:t>
        </m:r>
        <m:r>
          <m:rPr/>
          <w:rPr>
            <w:rFonts w:ascii="Cambria Math" w:hAnsi="Cambria Math" w:cs="Times New Roman"/>
            <w:szCs w:val="21"/>
          </w:rPr>
          <m:t>BN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ctrlPr>
              <w:rPr>
                <w:rFonts w:ascii="Cambria Math" w:hAnsi="Cambria Math" w:cs="Times New Roman"/>
                <w:szCs w:val="21"/>
              </w:rPr>
            </m:ctrlPr>
          </m:e>
        </m:box>
      </m:oMath>
    </w:p>
    <w:p>
      <w:pPr>
        <w:spacing w:before="156" w:after="156"/>
        <w:ind w:firstLine="420" w:firstLineChars="200"/>
        <w:rPr>
          <w:rFonts w:ascii="Times New Roman" w:hAnsi="Times New Roman" w:cs="Times New Roman"/>
          <w:szCs w:val="21"/>
        </w:rPr>
      </w:pPr>
      <w:r>
        <w:rPr>
          <w:rFonts w:ascii="Times New Roman" w:hAnsi="Times New Roman" w:cs="Times New Roman"/>
          <w:szCs w:val="21"/>
        </w:rPr>
        <w:t>二级氰化：</w:t>
      </w:r>
      <m:oMath>
        <m:r>
          <m:rPr>
            <m:sty m:val="p"/>
          </m:rPr>
          <w:rPr>
            <w:rFonts w:ascii="Cambria Math" w:hAnsi="Cambria Math" w:cs="Times New Roman"/>
            <w:szCs w:val="21"/>
          </w:rPr>
          <m:t>4</m:t>
        </m:r>
        <m:r>
          <m:rPr/>
          <w:rPr>
            <w:rFonts w:ascii="Cambria Math" w:hAnsi="Cambria Math" w:cs="Times New Roman"/>
            <w:szCs w:val="21"/>
          </w:rPr>
          <m:t>PN</m:t>
        </m:r>
        <m:r>
          <m:rPr>
            <m:sty m:val="p"/>
          </m:rPr>
          <w:rPr>
            <w:rFonts w:ascii="Cambria Math" w:hAnsi="Cambria Math" w:cs="Times New Roman"/>
            <w:szCs w:val="21"/>
          </w:rPr>
          <m:t>+3</m:t>
        </m:r>
        <m:r>
          <m:rPr/>
          <w:rPr>
            <w:rFonts w:ascii="Cambria Math" w:hAnsi="Cambria Math" w:cs="Times New Roman"/>
            <w:szCs w:val="21"/>
          </w:rPr>
          <m:t>PN</m:t>
        </m:r>
        <m:r>
          <m:rPr>
            <m:sty m:val="p"/>
          </m:rPr>
          <w:rPr>
            <w:rFonts w:ascii="Cambria Math" w:hAnsi="Cambria Math" w:cs="Times New Roman"/>
            <w:szCs w:val="21"/>
          </w:rPr>
          <m:t>+</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催化剂体系，路易斯酸</m:t>
                </m:r>
                <m:ctrlPr>
                  <w:rPr>
                    <w:rFonts w:ascii="Cambria Math" w:hAnsi="Cambria Math" w:cs="Times New Roman"/>
                    <w:szCs w:val="21"/>
                  </w:rPr>
                </m:ctrlPr>
              </m:e>
            </m:groupChr>
            <m:r>
              <m:rPr/>
              <w:rPr>
                <w:rFonts w:ascii="Cambria Math" w:hAnsi="Cambria Math" w:cs="Times New Roman"/>
                <w:szCs w:val="21"/>
              </w:rPr>
              <m:t>ADN</m:t>
            </m:r>
            <m:ctrlPr>
              <w:rPr>
                <w:rFonts w:ascii="Cambria Math" w:hAnsi="Cambria Math" w:cs="Times New Roman"/>
                <w:szCs w:val="21"/>
              </w:rPr>
            </m:ctrlPr>
          </m:e>
        </m:box>
      </m:oMath>
    </w:p>
    <w:p>
      <w:pPr>
        <w:spacing w:before="156" w:after="156"/>
        <w:ind w:firstLine="420" w:firstLineChars="200"/>
        <w:rPr>
          <w:rFonts w:ascii="Times New Roman" w:hAnsi="Times New Roman" w:cs="Times New Roman"/>
          <w:szCs w:val="21"/>
        </w:rPr>
      </w:pPr>
      <w:r>
        <w:rPr>
          <w:rFonts w:ascii="Times New Roman" w:hAnsi="Times New Roman" w:cs="Times New Roman"/>
          <w:szCs w:val="21"/>
        </w:rPr>
        <w:t>总方程式：</w:t>
      </w:r>
      <m:oMath>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r>
          <m:rPr/>
          <w:rPr>
            <w:rFonts w:ascii="Cambria Math" w:hAnsi="Cambria Math" w:cs="Times New Roman"/>
            <w:szCs w:val="21"/>
          </w:rPr>
          <m:t>CHCH</m:t>
        </m:r>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r>
          <m:rPr/>
          <w:rPr>
            <w:rFonts w:ascii="Cambria Math" w:hAnsi="Cambria Math" w:cs="Times New Roman"/>
            <w:szCs w:val="21"/>
          </w:rPr>
          <m:t>HCN</m:t>
        </m:r>
        <m:box>
          <m:boxPr>
            <m:opEmu m:val="1"/>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ascii="Cambria Math" w:hAnsi="Cambria Math" w:cs="Times New Roman"/>
                    <w:szCs w:val="21"/>
                  </w:rPr>
                  <m:t>催化剂体系</m:t>
                </m:r>
                <m:ctrlPr>
                  <w:rPr>
                    <w:rFonts w:ascii="Cambria Math" w:hAnsi="Cambria Math" w:cs="Times New Roman"/>
                    <w:szCs w:val="21"/>
                  </w:rPr>
                </m:ctrlPr>
              </m:e>
            </m:groupChr>
            <m:ctrlPr>
              <w:rPr>
                <w:rFonts w:ascii="Cambria Math" w:hAnsi="Cambria Math" w:cs="Times New Roman"/>
                <w:szCs w:val="21"/>
              </w:rPr>
            </m:ctrlPr>
          </m:e>
        </m:box>
        <m:r>
          <m:rPr/>
          <w:rPr>
            <w:rFonts w:ascii="Cambria Math" w:hAnsi="Cambria Math" w:cs="Times New Roman"/>
            <w:szCs w:val="21"/>
          </w:rPr>
          <m:t>NC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CN</m:t>
        </m:r>
      </m:oMath>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丁二烯法采用剧毒、易挥发的 HCN 为生产原料，采用容易水解和氧化的物质作为催化剂，而且生产过程中生成的同系物比较多，分离纯度要求高，因此对于反应以及分离的设备要求非常高。据英威达公司表示，丁二烯法相比丙烯腈法二氧化碳排放可减少60-65%。普遍的异构化步骤中4-戊烯腈（4PN）和3-戊烯腈（3PN）单程转化率为26.4%，选择性为79.8%；目前有研究表明以二噁烷为溶剂可以实现丁二烯的完全转化，且3PN选择性为97.5%，同时目前对于双齿配体催化剂对3PN氢氰化的转化率可达70-80%以上，选择性可达85-95%。丁二烯氢氰化法生产己二腈</w:t>
      </w:r>
      <w:r>
        <w:rPr>
          <w:rFonts w:hint="eastAsia" w:ascii="Times New Roman" w:hAnsi="Times New Roman" w:cs="Times New Roman"/>
          <w:szCs w:val="21"/>
        </w:rPr>
        <w:t>（实验室研究阶段）</w:t>
      </w:r>
      <w:r>
        <w:rPr>
          <w:rFonts w:ascii="Times New Roman" w:hAnsi="Times New Roman" w:cs="Times New Roman"/>
          <w:szCs w:val="21"/>
        </w:rPr>
        <w:t>的总收率可达到95%</w:t>
      </w:r>
      <w:r>
        <w:rPr>
          <w:rFonts w:hint="eastAsia" w:ascii="Times New Roman" w:hAnsi="Times New Roman" w:cs="Times New Roman"/>
          <w:szCs w:val="21"/>
        </w:rPr>
        <w:t>。</w:t>
      </w:r>
    </w:p>
    <w:p>
      <w:pPr>
        <w:pStyle w:val="4"/>
        <w:spacing w:before="156" w:after="156"/>
        <w:rPr>
          <w:rFonts w:ascii="Times New Roman" w:hAnsi="Times New Roman" w:eastAsia="宋体" w:cs="Times New Roman"/>
        </w:rPr>
      </w:pPr>
      <w:bookmarkStart w:id="42" w:name="_Toc141669990"/>
      <w:r>
        <w:rPr>
          <w:rFonts w:ascii="Times New Roman" w:hAnsi="Times New Roman" w:eastAsia="宋体" w:cs="Times New Roman"/>
        </w:rPr>
        <w:t xml:space="preserve">4.2.3 </w:t>
      </w:r>
      <w:r>
        <w:rPr>
          <w:rFonts w:hint="eastAsia" w:ascii="Times New Roman" w:hAnsi="Times New Roman" w:eastAsia="宋体" w:cs="Times New Roman"/>
        </w:rPr>
        <w:t>己二酸催化氨化法</w:t>
      </w:r>
      <w:bookmarkEnd w:id="42"/>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己二酸催化氨化法步骤（主反应方程式）如下：</w:t>
      </w:r>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中和反应：</w:t>
      </w:r>
      <m:oMath>
        <m:r>
          <m:rPr/>
          <w:rPr>
            <w:rFonts w:ascii="Cambria Math" w:hAnsi="Cambria Math" w:cs="Times New Roman"/>
            <w:szCs w:val="21"/>
          </w:rPr>
          <m:t>HOOC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COOH</m:t>
        </m:r>
        <m:r>
          <m:rPr>
            <m:sty m:val="p"/>
          </m:rPr>
          <w:rPr>
            <w:rFonts w:ascii="Cambria Math" w:hAnsi="Cambria Math" w:cs="Times New Roman"/>
            <w:szCs w:val="21"/>
          </w:rPr>
          <m:t>+2</m:t>
        </m:r>
        <m:r>
          <m:rPr/>
          <w:rPr>
            <w:rFonts w:ascii="Cambria Math" w:hAnsi="Cambria Math" w:cs="Times New Roman"/>
            <w:szCs w:val="21"/>
          </w:rPr>
          <m:t>N</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3</m:t>
            </m:r>
            <m:ctrlPr>
              <w:rPr>
                <w:rFonts w:ascii="Cambria Math" w:hAnsi="Cambria Math" w:cs="Times New Roman"/>
                <w:szCs w:val="21"/>
              </w:rPr>
            </m:ctrlPr>
          </m:sub>
        </m:sSub>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NOC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CON</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+2</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O</m:t>
        </m:r>
      </m:oMath>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脱水反应：</w:t>
      </w:r>
      <m:oMath>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NOC</m:t>
        </m:r>
        <m:sSub>
          <m:sSubPr>
            <m:ctrlPr>
              <w:rPr>
                <w:rFonts w:ascii="Cambria Math" w:hAnsi="Cambria Math" w:cs="Times New Roman"/>
                <w:szCs w:val="21"/>
              </w:rPr>
            </m:ctrlPr>
          </m:sSubPr>
          <m:e>
            <m:r>
              <m:rPr>
                <m:sty m:val="p"/>
              </m:rPr>
              <w:rPr>
                <w:rFonts w:ascii="Cambria Math" w:hAnsi="Cambria Math" w:cs="Times New Roman"/>
                <w:szCs w:val="21"/>
              </w:rPr>
              <m:t>(</m:t>
            </m:r>
            <m:r>
              <m:rPr/>
              <w:rPr>
                <w:rFonts w:ascii="Cambria Math" w:hAnsi="Cambria Math" w:cs="Times New Roman"/>
                <w:szCs w:val="21"/>
              </w:rPr>
              <m:t>C</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CON</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box>
          <m:boxPr>
            <m:ctrlPr>
              <w:rPr>
                <w:rFonts w:ascii="Cambria Math" w:hAnsi="Cambria Math" w:cs="Times New Roman"/>
                <w:szCs w:val="21"/>
              </w:rPr>
            </m:ctrlPr>
          </m:boxPr>
          <m:e>
            <m:groupChr>
              <m:groupChrPr>
                <m:chr m:val="→"/>
                <m:vertJc m:val="bot"/>
                <m:ctrlPr>
                  <w:rPr>
                    <w:rFonts w:ascii="Cambria Math" w:hAnsi="Cambria Math" w:cs="Times New Roman"/>
                    <w:szCs w:val="21"/>
                  </w:rPr>
                </m:ctrlPr>
              </m:groupChrPr>
              <m:e>
                <m:r>
                  <m:rPr>
                    <m:sty m:val="p"/>
                  </m:rPr>
                  <w:rPr>
                    <w:rFonts w:hint="eastAsia" w:ascii="Cambria Math" w:hAnsi="Cambria Math" w:cs="Times New Roman"/>
                    <w:szCs w:val="21"/>
                  </w:rPr>
                  <m:t>催化剂</m:t>
                </m:r>
                <m:ctrlPr>
                  <w:rPr>
                    <w:rFonts w:ascii="Cambria Math" w:hAnsi="Cambria Math" w:cs="Times New Roman"/>
                    <w:szCs w:val="21"/>
                  </w:rPr>
                </m:ctrlPr>
              </m:e>
            </m:groupChr>
            <m:ctrlPr>
              <w:rPr>
                <w:rFonts w:ascii="Cambria Math" w:hAnsi="Cambria Math" w:cs="Times New Roman"/>
                <w:szCs w:val="21"/>
              </w:rPr>
            </m:ctrlPr>
          </m:e>
        </m:box>
        <m:r>
          <m:rPr/>
          <w:rPr>
            <w:rFonts w:ascii="Cambria Math" w:hAnsi="Cambria Math" w:cs="Times New Roman"/>
            <w:szCs w:val="21"/>
          </w:rPr>
          <m:t>NC</m:t>
        </m:r>
        <m:sSub>
          <m:sSubPr>
            <m:ctrlPr>
              <w:rPr>
                <w:rFonts w:ascii="Cambria Math" w:hAnsi="Cambria Math" w:cs="Times New Roman"/>
                <w:szCs w:val="21"/>
              </w:rPr>
            </m:ctrlPr>
          </m:sSubPr>
          <m:e>
            <m:r>
              <m:rPr>
                <m:sty m:val="p"/>
              </m:rPr>
              <w:rPr>
                <w:rFonts w:ascii="Cambria Math" w:hAnsi="Cambria Math" w:cs="Times New Roman"/>
                <w:szCs w:val="21"/>
              </w:rPr>
              <m:t>(</m:t>
            </m:r>
            <m:sSub>
              <m:sSubPr>
                <m:ctrlPr>
                  <w:rPr>
                    <w:rFonts w:ascii="Cambria Math" w:hAnsi="Cambria Math" w:cs="Times New Roman"/>
                    <w:szCs w:val="21"/>
                  </w:rPr>
                </m:ctrlPr>
              </m:sSubPr>
              <m:e>
                <m:r>
                  <m:rPr/>
                  <w:rPr>
                    <w:rFonts w:ascii="Cambria Math" w:hAnsi="Cambria Math" w:cs="Times New Roman"/>
                    <w:szCs w:val="21"/>
                  </w:rPr>
                  <m:t>CH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m:sty m:val="p"/>
              </m:rPr>
              <w:rPr>
                <w:rFonts w:ascii="Cambria Math" w:hAnsi="Cambria Math" w:cs="Times New Roman"/>
                <w:szCs w:val="21"/>
              </w:rPr>
              <m:t>)</m:t>
            </m:r>
            <m:ctrlPr>
              <w:rPr>
                <w:rFonts w:ascii="Cambria Math" w:hAnsi="Cambria Math" w:cs="Times New Roman"/>
                <w:szCs w:val="21"/>
              </w:rPr>
            </m:ctrlPr>
          </m:e>
          <m:sub>
            <m:r>
              <m:rPr>
                <m:sty m:val="p"/>
              </m:rPr>
              <w:rPr>
                <w:rFonts w:ascii="Cambria Math" w:hAnsi="Cambria Math" w:cs="Times New Roman"/>
                <w:szCs w:val="21"/>
              </w:rPr>
              <m:t>4</m:t>
            </m:r>
            <m:ctrlPr>
              <w:rPr>
                <w:rFonts w:ascii="Cambria Math" w:hAnsi="Cambria Math" w:cs="Times New Roman"/>
                <w:szCs w:val="21"/>
              </w:rPr>
            </m:ctrlPr>
          </m:sub>
        </m:sSub>
        <m:r>
          <m:rPr/>
          <w:rPr>
            <w:rFonts w:ascii="Cambria Math" w:hAnsi="Cambria Math" w:cs="Times New Roman"/>
            <w:szCs w:val="21"/>
          </w:rPr>
          <m:t>CN</m:t>
        </m:r>
        <m:r>
          <m:rPr>
            <m:sty m:val="p"/>
          </m:rPr>
          <w:rPr>
            <w:rFonts w:ascii="Cambria Math" w:hAnsi="Cambria Math" w:cs="Times New Roman"/>
            <w:szCs w:val="21"/>
          </w:rPr>
          <m:t>+2</m:t>
        </m:r>
        <m:sSub>
          <m:sSubPr>
            <m:ctrlPr>
              <w:rPr>
                <w:rFonts w:ascii="Cambria Math" w:hAnsi="Cambria Math" w:cs="Times New Roman"/>
                <w:szCs w:val="21"/>
              </w:rPr>
            </m:ctrlPr>
          </m:sSubPr>
          <m:e>
            <m:r>
              <m:rPr/>
              <w:rPr>
                <w:rFonts w:ascii="Cambria Math" w:hAnsi="Cambria Math" w:cs="Times New Roman"/>
                <w:szCs w:val="21"/>
              </w:rPr>
              <m:t>H</m:t>
            </m:r>
            <m:ctrlPr>
              <w:rPr>
                <w:rFonts w:ascii="Cambria Math" w:hAnsi="Cambria Math" w:cs="Times New Roman"/>
                <w:szCs w:val="21"/>
              </w:rPr>
            </m:ctrlPr>
          </m:e>
          <m:sub>
            <m:r>
              <m:rPr>
                <m:sty m:val="p"/>
              </m:rPr>
              <w:rPr>
                <w:rFonts w:ascii="Cambria Math" w:hAnsi="Cambria Math" w:cs="Times New Roman"/>
                <w:szCs w:val="21"/>
              </w:rPr>
              <m:t>2</m:t>
            </m:r>
            <m:ctrlPr>
              <w:rPr>
                <w:rFonts w:ascii="Cambria Math" w:hAnsi="Cambria Math" w:cs="Times New Roman"/>
                <w:szCs w:val="21"/>
              </w:rPr>
            </m:ctrlPr>
          </m:sub>
        </m:sSub>
        <m:r>
          <m:rPr/>
          <w:rPr>
            <w:rFonts w:ascii="Cambria Math" w:hAnsi="Cambria Math" w:cs="Times New Roman"/>
            <w:szCs w:val="21"/>
          </w:rPr>
          <m:t>O</m:t>
        </m:r>
      </m:oMath>
    </w:p>
    <w:p>
      <w:pPr>
        <w:spacing w:before="156" w:after="156"/>
        <w:ind w:firstLine="420" w:firstLineChars="200"/>
        <w:rPr>
          <w:rFonts w:ascii="Times New Roman" w:hAnsi="Times New Roman" w:cs="Times New Roman"/>
          <w:szCs w:val="21"/>
        </w:rPr>
      </w:pPr>
      <w:r>
        <w:rPr>
          <w:rFonts w:ascii="Times New Roman" w:hAnsi="Times New Roman" w:cs="Times New Roman"/>
          <w:szCs w:val="21"/>
        </w:rPr>
        <w:t>己二酸</w:t>
      </w:r>
      <w:r>
        <w:rPr>
          <w:rFonts w:hint="eastAsia" w:ascii="Times New Roman" w:hAnsi="Times New Roman" w:cs="Times New Roman"/>
          <w:szCs w:val="21"/>
        </w:rPr>
        <w:t>催化</w:t>
      </w:r>
      <w:r>
        <w:rPr>
          <w:rFonts w:ascii="Times New Roman" w:hAnsi="Times New Roman" w:cs="Times New Roman"/>
          <w:szCs w:val="21"/>
        </w:rPr>
        <w:t>氨化法首先使</w:t>
      </w:r>
      <w:r>
        <w:rPr>
          <w:rFonts w:hint="eastAsia" w:ascii="Times New Roman" w:hAnsi="Times New Roman" w:cs="Times New Roman"/>
          <w:szCs w:val="21"/>
        </w:rPr>
        <w:t>己二酸中羧基</w:t>
      </w:r>
      <w:r>
        <w:rPr>
          <w:rFonts w:ascii="Times New Roman" w:hAnsi="Times New Roman" w:cs="Times New Roman"/>
          <w:szCs w:val="21"/>
        </w:rPr>
        <w:t>与氨反应生成酰胺基，该反应不需要催化剂即可发生，然后酰胺基在高温和脱水催化剂作用下反应生成氰基。</w:t>
      </w:r>
      <w:r>
        <w:rPr>
          <w:rFonts w:hint="eastAsia" w:ascii="Times New Roman" w:hAnsi="Times New Roman" w:cs="Times New Roman"/>
          <w:szCs w:val="21"/>
        </w:rPr>
        <w:t>己二酸催化氨化法目前通过对脱水反应步骤中脱水催化剂的研究可以提高脱水率（选择性），较好的结果达到9</w:t>
      </w:r>
      <w:r>
        <w:rPr>
          <w:rFonts w:ascii="Times New Roman" w:hAnsi="Times New Roman" w:cs="Times New Roman"/>
          <w:szCs w:val="21"/>
        </w:rPr>
        <w:t>5%-97%</w:t>
      </w:r>
      <w:r>
        <w:rPr>
          <w:rFonts w:hint="eastAsia" w:ascii="Times New Roman" w:hAnsi="Times New Roman" w:cs="Times New Roman"/>
          <w:szCs w:val="21"/>
        </w:rPr>
        <w:t>，采用固体磷酸催化剂等易回收的催化剂腐蚀性低且整体己二酸的转化率可达到9</w:t>
      </w:r>
      <w:r>
        <w:rPr>
          <w:rFonts w:ascii="Times New Roman" w:hAnsi="Times New Roman" w:cs="Times New Roman"/>
          <w:szCs w:val="21"/>
        </w:rPr>
        <w:t>5%</w:t>
      </w:r>
      <w:r>
        <w:rPr>
          <w:rFonts w:hint="eastAsia" w:ascii="Times New Roman" w:hAnsi="Times New Roman" w:cs="Times New Roman"/>
          <w:szCs w:val="21"/>
        </w:rPr>
        <w:t>以上；此外，重庆华峰聚酰胺有限公司采用在</w:t>
      </w:r>
      <w:r>
        <w:rPr>
          <w:rFonts w:ascii="Times New Roman" w:hAnsi="Times New Roman" w:cs="Times New Roman"/>
          <w:szCs w:val="21"/>
        </w:rPr>
        <w:t>155～200 ℃下</w:t>
      </w:r>
      <w:r>
        <w:rPr>
          <w:rFonts w:hint="eastAsia" w:ascii="Times New Roman" w:hAnsi="Times New Roman" w:cs="Times New Roman"/>
          <w:szCs w:val="21"/>
        </w:rPr>
        <w:t>发生第一步中和反应</w:t>
      </w:r>
      <w:r>
        <w:rPr>
          <w:rFonts w:ascii="Times New Roman" w:hAnsi="Times New Roman" w:cs="Times New Roman"/>
          <w:szCs w:val="21"/>
        </w:rPr>
        <w:t>，再在磷酸或磷酸铵催化作用下脱水生成己二腈，避免己二酸在高温下生成副产物和结焦物，收率提高3%～5%，运行周期延长30～60 d，提高了催化剂</w:t>
      </w:r>
      <w:r>
        <w:rPr>
          <w:rFonts w:hint="eastAsia" w:ascii="Times New Roman" w:hAnsi="Times New Roman" w:cs="Times New Roman"/>
          <w:szCs w:val="21"/>
        </w:rPr>
        <w:t>处理量。</w:t>
      </w:r>
    </w:p>
    <w:p>
      <w:pPr>
        <w:pStyle w:val="4"/>
        <w:spacing w:before="156" w:after="156"/>
        <w:rPr>
          <w:rFonts w:ascii="Times New Roman" w:hAnsi="Times New Roman" w:eastAsia="宋体" w:cs="Times New Roman"/>
        </w:rPr>
      </w:pPr>
      <w:bookmarkStart w:id="43" w:name="_Toc141669991"/>
      <w:r>
        <w:rPr>
          <w:rFonts w:ascii="Times New Roman" w:hAnsi="Times New Roman" w:eastAsia="宋体" w:cs="Times New Roman"/>
        </w:rPr>
        <w:t>4.2.4 工艺技术方案比较</w:t>
      </w:r>
      <w:bookmarkEnd w:id="43"/>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丙烯腈电解二聚法因为丙烯腈不在阳极反应故而采用无隔膜法降低设备成本和能耗，此法原料品种单一且来源相对广泛，具有污染小、流程短、投资少、建设规模灵活、技术相对简单且便于生产管理等优点，改进后的无隔膜电解法具有产品质量高、能耗低、收率高等特点，是目前世界上广泛应用的一种工艺。但由于原料丙烯腈目前市场价格较昂贵，电解能耗大，导致生产规模一般较小，基本没有盈利空间，预计该工艺将逐步被淘汰。</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丙烯腈催化二聚法的研究工作进行了很多年但实际最好收率并不高，主要问题是丙烯腈氢化成丙腈和异构体，不好控制，目前有较好的工艺</w:t>
      </w:r>
      <w:r>
        <w:rPr>
          <w:rFonts w:hint="eastAsia" w:ascii="Times New Roman" w:hAnsi="Times New Roman" w:cs="Times New Roman"/>
          <w:szCs w:val="21"/>
        </w:rPr>
        <w:t>例如无隔膜法</w:t>
      </w:r>
      <w:r>
        <w:rPr>
          <w:rFonts w:ascii="Times New Roman" w:hAnsi="Times New Roman" w:cs="Times New Roman"/>
          <w:szCs w:val="21"/>
        </w:rPr>
        <w:t>，但还有待发展空间。</w:t>
      </w:r>
    </w:p>
    <w:p>
      <w:pPr>
        <w:spacing w:before="156" w:after="156"/>
        <w:ind w:firstLine="420" w:firstLineChars="200"/>
        <w:rPr>
          <w:rFonts w:ascii="Times New Roman" w:hAnsi="Times New Roman" w:cs="Times New Roman"/>
          <w:szCs w:val="21"/>
        </w:rPr>
      </w:pPr>
      <w:r>
        <w:rPr>
          <w:rFonts w:ascii="Times New Roman" w:hAnsi="Times New Roman" w:cs="Times New Roman"/>
          <w:szCs w:val="21"/>
        </w:rPr>
        <w:t>丁二烯直接氰化法具有原料成本低、无污染、产品质量及收率高、工艺路线短、相对投资较低等特点。</w:t>
      </w:r>
      <w:r>
        <w:rPr>
          <w:rFonts w:hint="eastAsia" w:ascii="Times New Roman" w:hAnsi="Times New Roman" w:cs="Times New Roman"/>
          <w:szCs w:val="21"/>
        </w:rPr>
        <w:t>但其原料毒性较大，对生产设备、操作、管理有极高要求，且</w:t>
      </w:r>
      <w:r>
        <w:rPr>
          <w:rFonts w:ascii="Times New Roman" w:hAnsi="Times New Roman" w:cs="Times New Roman"/>
          <w:szCs w:val="21"/>
        </w:rPr>
        <w:t>1，4-丁二烯氢氰化法技术门槛较高、关键技术较多，使用氢氰酸原料阻碍了催化剂及回收方法的研究及发展，使得我国该技术路线发展缓慢</w:t>
      </w:r>
      <w:r>
        <w:rPr>
          <w:rFonts w:hint="eastAsia" w:ascii="Times New Roman" w:hAnsi="Times New Roman" w:cs="Times New Roman"/>
          <w:szCs w:val="21"/>
        </w:rPr>
        <w:t>。此工艺难点在于催化体系的选择性和稳定性，催化剂</w:t>
      </w:r>
      <w:r>
        <w:rPr>
          <w:rFonts w:ascii="Times New Roman" w:hAnsi="Times New Roman" w:cs="Times New Roman"/>
          <w:szCs w:val="21"/>
        </w:rPr>
        <w:t>在高温或氢氰酸存在下易降解、失活和回收难，反应产物沸点接近导致分离困难以及高温下易聚合造成堵塞，且该技术路线还需解决高纯氢氰酸的生产技术。</w:t>
      </w:r>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己二酸催化氨化法工艺技术路线相对成熟，且随着市场上己二酸供求关系的变化，己二酸氨化法生产己二腈的原料成本大幅降低，使得该生产工艺又具有了经济性优势。</w:t>
      </w:r>
    </w:p>
    <w:tbl>
      <w:tblPr>
        <w:tblStyle w:val="43"/>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top w:val="single" w:color="FFFFFF" w:themeColor="background1" w:sz="4" w:space="0"/>
              <w:left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技术路线</w:t>
            </w:r>
          </w:p>
        </w:tc>
        <w:tc>
          <w:tcPr>
            <w:tcW w:w="2074" w:type="dxa"/>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丁二烯直接氰化法</w:t>
            </w:r>
          </w:p>
        </w:tc>
        <w:tc>
          <w:tcPr>
            <w:tcW w:w="2074" w:type="dxa"/>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丙烯腈法</w:t>
            </w:r>
          </w:p>
        </w:tc>
        <w:tc>
          <w:tcPr>
            <w:tcW w:w="2074" w:type="dxa"/>
            <w:tcBorders>
              <w:top w:val="single" w:color="FFFFFF" w:themeColor="background1" w:sz="4" w:space="0"/>
              <w:right w:val="single" w:color="FFFFFF" w:themeColor="background1"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己二酸催化氨化法</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原料来源</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广泛</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广泛</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广泛</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原料成本</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生产难度</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分离提纯难度</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能耗</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低</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较高</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产率</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原料安全性</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毒性极强</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毒性极强</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环保性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危害较大</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生产规模</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大</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较小</w:t>
            </w:r>
          </w:p>
        </w:tc>
        <w:tc>
          <w:tcPr>
            <w:tcW w:w="2074" w:type="dxa"/>
            <w:shd w:val="clear" w:color="auto" w:fill="B4C6E7" w:themeFill="accent1" w:themeFillTint="66"/>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一般</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40" w:hRule="atLeast"/>
          <w:jc w:val="center"/>
        </w:trPr>
        <w:tc>
          <w:tcPr>
            <w:tcW w:w="2074" w:type="dxa"/>
            <w:tcBorders>
              <w:left w:val="single" w:color="FFFFFF" w:themeColor="background1" w:sz="4" w:space="0"/>
              <w:bottom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sz w:val="18"/>
                <w:szCs w:val="18"/>
                <w14:textFill>
                  <w14:solidFill>
                    <w14:schemeClr w14:val="bg1"/>
                  </w14:solidFill>
                </w14:textFill>
              </w:rPr>
            </w:pPr>
            <w:r>
              <w:rPr>
                <w:rFonts w:hint="eastAsia" w:ascii="Times New Roman" w:hAnsi="Times New Roman" w:cs="Times New Roman"/>
                <w:b/>
                <w:bCs/>
                <w:color w:val="FFFFFF" w:themeColor="background1"/>
                <w:sz w:val="18"/>
                <w:szCs w:val="18"/>
                <w14:textFill>
                  <w14:solidFill>
                    <w14:schemeClr w14:val="bg1"/>
                  </w14:solidFill>
                </w14:textFill>
              </w:rPr>
              <w:t>投资</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较低</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较高</w:t>
            </w:r>
          </w:p>
        </w:tc>
        <w:tc>
          <w:tcPr>
            <w:tcW w:w="2074" w:type="dxa"/>
            <w:shd w:val="clear" w:color="auto" w:fill="D9E2F3" w:themeFill="accent1" w:themeFillTint="33"/>
          </w:tcPr>
          <w:p>
            <w:pPr>
              <w:spacing w:before="0" w:beforeLines="0" w:after="0" w:afterLines="0"/>
              <w:jc w:val="center"/>
              <w:rPr>
                <w:rFonts w:ascii="Times New Roman" w:hAnsi="Times New Roman" w:cs="Times New Roman"/>
                <w:sz w:val="18"/>
                <w:szCs w:val="18"/>
              </w:rPr>
            </w:pPr>
            <w:r>
              <w:rPr>
                <w:rFonts w:hint="eastAsia" w:ascii="Times New Roman" w:hAnsi="Times New Roman" w:cs="Times New Roman"/>
                <w:sz w:val="18"/>
                <w:szCs w:val="18"/>
              </w:rPr>
              <w:t>较低</w:t>
            </w:r>
          </w:p>
        </w:tc>
      </w:tr>
    </w:tbl>
    <w:p>
      <w:pPr>
        <w:spacing w:before="156" w:after="156"/>
        <w:ind w:firstLine="360"/>
        <w:jc w:val="center"/>
        <w:rPr>
          <w:rFonts w:ascii="Times New Roman" w:hAnsi="Times New Roman" w:cs="Times New Roman"/>
          <w:b/>
          <w:sz w:val="18"/>
          <w:szCs w:val="18"/>
        </w:rPr>
      </w:pPr>
      <w:r>
        <w:rPr>
          <w:rFonts w:hint="eastAsia" w:ascii="Times New Roman" w:hAnsi="Times New Roman" w:cs="Times New Roman"/>
          <w:b/>
          <w:sz w:val="18"/>
          <w:szCs w:val="18"/>
        </w:rPr>
        <w:t>表4</w:t>
      </w:r>
      <w:r>
        <w:rPr>
          <w:rFonts w:ascii="Times New Roman" w:hAnsi="Times New Roman" w:cs="Times New Roman"/>
          <w:b/>
          <w:sz w:val="18"/>
          <w:szCs w:val="18"/>
        </w:rPr>
        <w:t>-1</w:t>
      </w:r>
      <w:r>
        <w:rPr>
          <w:rFonts w:hint="eastAsia" w:ascii="Times New Roman" w:hAnsi="Times New Roman" w:cs="Times New Roman"/>
          <w:b/>
          <w:sz w:val="18"/>
          <w:szCs w:val="18"/>
        </w:rPr>
        <w:t xml:space="preserve"> 技术路线对比</w:t>
      </w:r>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从上述表4</w:t>
      </w:r>
      <w:r>
        <w:rPr>
          <w:rFonts w:ascii="Times New Roman" w:hAnsi="Times New Roman" w:cs="Times New Roman"/>
          <w:szCs w:val="21"/>
        </w:rPr>
        <w:t>-1</w:t>
      </w:r>
      <w:r>
        <w:rPr>
          <w:rFonts w:hint="eastAsia" w:ascii="Times New Roman" w:hAnsi="Times New Roman" w:cs="Times New Roman"/>
          <w:szCs w:val="21"/>
        </w:rPr>
        <w:t>路线对比可以看出：己二酸法具有原料来源广泛、投资较低、环保性和原料安全性相比之下较好的优势，且随着市场上己二酸原料成本的降低，此工艺路线还具有较好的经济优势。</w:t>
      </w:r>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另一方面，丁二烯直接氰化法的技术难度大，且投资建设的最低经济规模不低于</w:t>
      </w:r>
      <w:r>
        <w:rPr>
          <w:rFonts w:ascii="Times New Roman" w:hAnsi="Times New Roman" w:cs="Times New Roman"/>
          <w:szCs w:val="21"/>
        </w:rPr>
        <w:t>10</w:t>
      </w:r>
      <w:r>
        <w:rPr>
          <w:rFonts w:hint="eastAsia" w:ascii="Times New Roman" w:hAnsi="Times New Roman" w:cs="Times New Roman"/>
          <w:szCs w:val="21"/>
        </w:rPr>
        <w:t>万吨，在很大程度上限制了该工艺在我国的应用和市场竞争力，己二酸的工艺流程相对成熟，可以在已有的成熟的生产工艺上进行技术整合和创新。</w:t>
      </w:r>
    </w:p>
    <w:p>
      <w:pPr>
        <w:pStyle w:val="3"/>
        <w:spacing w:before="156" w:after="156"/>
        <w:rPr>
          <w:rFonts w:ascii="Times New Roman" w:hAnsi="Times New Roman" w:eastAsia="宋体" w:cs="Times New Roman"/>
        </w:rPr>
      </w:pPr>
      <w:bookmarkStart w:id="44" w:name="_Toc141669992"/>
      <w:r>
        <w:rPr>
          <w:rFonts w:ascii="Times New Roman" w:hAnsi="Times New Roman" w:eastAsia="宋体" w:cs="Times New Roman"/>
        </w:rPr>
        <w:t>4.3 工艺流程图</w:t>
      </w:r>
      <w:bookmarkEnd w:id="44"/>
    </w:p>
    <w:p>
      <w:pPr>
        <w:spacing w:before="156" w:after="156"/>
        <w:ind w:firstLine="420" w:firstLineChars="200"/>
        <w:rPr>
          <w:rFonts w:ascii="Times New Roman" w:hAnsi="Times New Roman" w:cs="Times New Roman"/>
          <w:szCs w:val="21"/>
        </w:rPr>
      </w:pPr>
      <w:r>
        <w:rPr>
          <w:rFonts w:hint="eastAsia" w:ascii="Times New Roman" w:hAnsi="Times New Roman" w:cs="Times New Roman"/>
          <w:szCs w:val="21"/>
        </w:rPr>
        <w:t>出于环保、技术经济市场、国家政策、国家资源分布等多方面考虑，我们分析对比了种工艺路线的投资、转化率、选择性、能耗等，最终确定了我们的整套工艺。我们以己二酸和氨气（过量）为原料，己二腈为稀释剂，磷酸为催化剂，经过氨化反应、分离精制和氨气回收三个工段，最终制得纯度为</w:t>
      </w:r>
      <w:r>
        <w:rPr>
          <w:rFonts w:ascii="Times New Roman" w:hAnsi="Times New Roman" w:cs="Times New Roman"/>
          <w:szCs w:val="21"/>
        </w:rPr>
        <w:t xml:space="preserve"> 99.99%（wt%）的</w:t>
      </w:r>
      <w:r>
        <w:rPr>
          <w:rFonts w:hint="eastAsia" w:ascii="Times New Roman" w:hAnsi="Times New Roman" w:cs="Times New Roman"/>
          <w:szCs w:val="21"/>
        </w:rPr>
        <w:t>己二腈</w:t>
      </w:r>
      <w:r>
        <w:rPr>
          <w:rFonts w:ascii="Times New Roman" w:hAnsi="Times New Roman" w:cs="Times New Roman"/>
          <w:szCs w:val="21"/>
        </w:rPr>
        <w:t>，并副产纯度为99.9%</w:t>
      </w:r>
      <w:r>
        <w:rPr>
          <w:rFonts w:hint="eastAsia" w:ascii="Times New Roman" w:hAnsi="Times New Roman" w:cs="Times New Roman"/>
          <w:szCs w:val="21"/>
        </w:rPr>
        <w:t>的I</w:t>
      </w:r>
      <w:r>
        <w:rPr>
          <w:rFonts w:ascii="Times New Roman" w:hAnsi="Times New Roman" w:cs="Times New Roman"/>
          <w:szCs w:val="21"/>
        </w:rPr>
        <w:t>CCP</w:t>
      </w:r>
      <w:r>
        <w:rPr>
          <w:rFonts w:hint="eastAsia" w:ascii="Times New Roman" w:hAnsi="Times New Roman" w:cs="Times New Roman"/>
          <w:szCs w:val="21"/>
        </w:rPr>
        <w:t>。</w:t>
      </w:r>
    </w:p>
    <w:p>
      <w:pPr>
        <w:spacing w:before="156" w:after="156"/>
        <w:jc w:val="center"/>
      </w:pPr>
      <w:r>
        <w:drawing>
          <wp:inline distT="0" distB="0" distL="0" distR="0">
            <wp:extent cx="4716780" cy="214312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717058" cy="2143206"/>
                    </a:xfrm>
                    <a:prstGeom prst="rect">
                      <a:avLst/>
                    </a:prstGeom>
                  </pic:spPr>
                </pic:pic>
              </a:graphicData>
            </a:graphic>
          </wp:inline>
        </w:drawing>
      </w:r>
    </w:p>
    <w:p>
      <w:pPr>
        <w:spacing w:before="156" w:after="156"/>
        <w:jc w:val="center"/>
        <w:rPr>
          <w:b/>
          <w:sz w:val="18"/>
          <w:szCs w:val="18"/>
        </w:rPr>
      </w:pPr>
      <w:r>
        <w:rPr>
          <w:rFonts w:hint="eastAsia"/>
          <w:b/>
          <w:sz w:val="18"/>
          <w:szCs w:val="18"/>
        </w:rPr>
        <w:t>图</w:t>
      </w:r>
      <w:r>
        <w:rPr>
          <w:b/>
          <w:sz w:val="18"/>
          <w:szCs w:val="18"/>
        </w:rPr>
        <w:t xml:space="preserve">4-1 </w:t>
      </w:r>
      <w:r>
        <w:rPr>
          <w:rFonts w:hint="eastAsia"/>
          <w:b/>
          <w:sz w:val="18"/>
          <w:szCs w:val="18"/>
        </w:rPr>
        <w:t>全厂工艺流程图</w:t>
      </w:r>
    </w:p>
    <w:p>
      <w:pPr>
        <w:spacing w:before="156" w:after="156"/>
        <w:rPr>
          <w:rFonts w:ascii="Times New Roman" w:hAnsi="Times New Roman" w:cs="Times New Roman"/>
          <w:sz w:val="18"/>
          <w:szCs w:val="18"/>
        </w:rPr>
      </w:pPr>
    </w:p>
    <w:p>
      <w:pPr>
        <w:pStyle w:val="2"/>
        <w:spacing w:before="156" w:after="156"/>
        <w:rPr>
          <w:rFonts w:ascii="Times New Roman" w:hAnsi="Times New Roman" w:eastAsia="宋体" w:cs="Times New Roman"/>
          <w:color w:val="auto"/>
        </w:rPr>
      </w:pPr>
      <w:bookmarkStart w:id="45" w:name="_Toc141669993"/>
      <w:r>
        <w:rPr>
          <w:rFonts w:ascii="Times New Roman" w:hAnsi="Times New Roman" w:eastAsia="宋体" w:cs="Times New Roman"/>
          <w:color w:val="auto"/>
        </w:rPr>
        <w:t>第五章 原材料、燃料和动力的供应</w:t>
      </w:r>
      <w:bookmarkEnd w:id="45"/>
    </w:p>
    <w:p>
      <w:pPr>
        <w:pStyle w:val="3"/>
        <w:spacing w:before="156" w:after="156"/>
        <w:rPr>
          <w:rFonts w:ascii="Times New Roman" w:hAnsi="Times New Roman" w:eastAsia="宋体" w:cs="Times New Roman"/>
        </w:rPr>
      </w:pPr>
      <w:bookmarkStart w:id="46" w:name="_Toc141669994"/>
      <w:r>
        <w:rPr>
          <w:rFonts w:ascii="Times New Roman" w:hAnsi="Times New Roman" w:eastAsia="宋体" w:cs="Times New Roman"/>
        </w:rPr>
        <w:t>5.1 主要原料、辅助材料来源表</w:t>
      </w:r>
      <w:bookmarkEnd w:id="46"/>
    </w:p>
    <w:p>
      <w:pPr>
        <w:spacing w:before="156" w:after="156"/>
        <w:ind w:firstLine="420"/>
        <w:rPr>
          <w:rFonts w:ascii="Times New Roman" w:hAnsi="Times New Roman" w:cs="Times New Roman"/>
        </w:rPr>
      </w:pPr>
      <w:r>
        <w:rPr>
          <w:rFonts w:hint="eastAsia" w:ascii="Times New Roman" w:hAnsi="Times New Roman" w:cs="Times New Roman"/>
        </w:rPr>
        <w:t>本项目以丁二烯、氢氰酸、为主要原料进行己二腈的生产。</w:t>
      </w:r>
    </w:p>
    <w:p>
      <w:pPr>
        <w:widowControl/>
        <w:spacing w:before="0" w:beforeLines="0" w:after="0" w:afterLines="0"/>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表5-</w:t>
      </w:r>
      <w:r>
        <w:rPr>
          <w:rFonts w:ascii="Times New Roman" w:hAnsi="Times New Roman" w:cs="Times New Roman"/>
          <w:b/>
          <w:bCs/>
          <w:color w:val="000000"/>
          <w:sz w:val="18"/>
          <w:szCs w:val="18"/>
          <w:lang w:bidi="ar"/>
        </w:rPr>
        <w:fldChar w:fldCharType="begin"/>
      </w:r>
      <w:r>
        <w:rPr>
          <w:rFonts w:ascii="Times New Roman" w:hAnsi="Times New Roman" w:cs="Times New Roman"/>
          <w:b/>
          <w:bCs/>
          <w:color w:val="000000"/>
          <w:sz w:val="18"/>
          <w:szCs w:val="18"/>
          <w:lang w:bidi="ar"/>
        </w:rPr>
        <w:instrText xml:space="preserve"> SEQ 表 \* ARABIC </w:instrText>
      </w:r>
      <w:r>
        <w:rPr>
          <w:rFonts w:ascii="Times New Roman" w:hAnsi="Times New Roman" w:cs="Times New Roman"/>
          <w:b/>
          <w:bCs/>
          <w:color w:val="000000"/>
          <w:sz w:val="18"/>
          <w:szCs w:val="18"/>
          <w:lang w:bidi="ar"/>
        </w:rPr>
        <w:fldChar w:fldCharType="separate"/>
      </w:r>
      <w:r>
        <w:rPr>
          <w:rFonts w:ascii="Times New Roman" w:hAnsi="Times New Roman" w:cs="Times New Roman"/>
          <w:b/>
          <w:bCs/>
          <w:color w:val="000000"/>
          <w:sz w:val="18"/>
          <w:szCs w:val="18"/>
          <w:lang w:bidi="ar"/>
        </w:rPr>
        <w:t>1</w:t>
      </w:r>
      <w:r>
        <w:rPr>
          <w:rFonts w:ascii="Times New Roman" w:hAnsi="Times New Roman" w:cs="Times New Roman"/>
          <w:b/>
          <w:bCs/>
          <w:color w:val="000000"/>
          <w:sz w:val="18"/>
          <w:szCs w:val="18"/>
          <w:lang w:bidi="ar"/>
        </w:rPr>
        <w:fldChar w:fldCharType="end"/>
      </w:r>
      <w:r>
        <w:rPr>
          <w:rFonts w:ascii="Times New Roman" w:hAnsi="Times New Roman" w:cs="Times New Roman"/>
          <w:b/>
          <w:bCs/>
          <w:color w:val="000000"/>
          <w:sz w:val="18"/>
          <w:szCs w:val="18"/>
          <w:lang w:bidi="ar"/>
        </w:rPr>
        <w:t xml:space="preserve"> </w:t>
      </w:r>
      <w:r>
        <w:rPr>
          <w:rFonts w:hint="eastAsia" w:ascii="Times New Roman" w:hAnsi="Times New Roman" w:cs="Times New Roman"/>
          <w:b/>
          <w:bCs/>
          <w:color w:val="000000"/>
          <w:sz w:val="18"/>
          <w:szCs w:val="18"/>
          <w:lang w:bidi="ar"/>
        </w:rPr>
        <w:t>主要主要原料、辅助材料来源表</w:t>
      </w:r>
    </w:p>
    <w:tbl>
      <w:tblPr>
        <w:tblStyle w:val="54"/>
        <w:tblW w:w="10494"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129"/>
        <w:gridCol w:w="1985"/>
        <w:gridCol w:w="1361"/>
        <w:gridCol w:w="1704"/>
        <w:gridCol w:w="1312"/>
        <w:gridCol w:w="300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bookmarkStart w:id="47" w:name="_Hlk76652871"/>
            <w:r>
              <w:rPr>
                <w:rFonts w:hint="eastAsia" w:ascii="Times New Roman" w:hAnsi="Times New Roman" w:eastAsia="仿宋" w:cs="Times New Roman"/>
                <w:b/>
                <w:bCs/>
                <w:color w:val="FFFFFF"/>
                <w:kern w:val="2"/>
                <w:sz w:val="20"/>
                <w:szCs w:val="20"/>
              </w:rPr>
              <w:t>项目</w:t>
            </w:r>
          </w:p>
        </w:tc>
        <w:tc>
          <w:tcPr>
            <w:tcW w:w="1985"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名称</w:t>
            </w:r>
          </w:p>
        </w:tc>
        <w:tc>
          <w:tcPr>
            <w:tcW w:w="1361"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 xml:space="preserve">数量（ </w:t>
            </w:r>
            <w:r>
              <w:rPr>
                <w:rFonts w:hint="eastAsia" w:ascii="Times New Roman" w:hAnsi="Times New Roman" w:cs="Times New Roman"/>
                <w:b/>
                <w:bCs/>
                <w:color w:val="FFFFFF"/>
                <w:kern w:val="2"/>
                <w:sz w:val="20"/>
                <w:szCs w:val="20"/>
              </w:rPr>
              <w:t>t</w:t>
            </w:r>
            <w:r>
              <w:rPr>
                <w:rFonts w:hint="eastAsia" w:ascii="Times New Roman" w:hAnsi="Times New Roman" w:eastAsia="仿宋" w:cs="Times New Roman"/>
                <w:b/>
                <w:bCs/>
                <w:color w:val="FFFFFF"/>
                <w:kern w:val="2"/>
                <w:sz w:val="20"/>
                <w:szCs w:val="20"/>
              </w:rPr>
              <w:t>/a）</w:t>
            </w:r>
          </w:p>
        </w:tc>
        <w:tc>
          <w:tcPr>
            <w:tcW w:w="1704"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来源</w:t>
            </w:r>
          </w:p>
        </w:tc>
        <w:tc>
          <w:tcPr>
            <w:tcW w:w="1312" w:type="dxa"/>
            <w:tcBorders>
              <w:top w:val="single" w:color="4472C4" w:sz="4" w:space="0"/>
              <w:bottom w:val="single" w:color="4472C4" w:sz="4" w:space="0"/>
              <w:right w:val="nil"/>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运输方式</w:t>
            </w:r>
          </w:p>
        </w:tc>
        <w:tc>
          <w:tcPr>
            <w:tcW w:w="3003"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widowControl/>
              <w:autoSpaceDE/>
              <w:autoSpaceDN/>
              <w:spacing w:before="0" w:beforeLines="0" w:after="0" w:afterLines="0" w:line="276" w:lineRule="auto"/>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备注</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主要原料</w:t>
            </w:r>
          </w:p>
        </w:tc>
        <w:tc>
          <w:tcPr>
            <w:tcW w:w="198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己二酸</w:t>
            </w:r>
          </w:p>
        </w:tc>
        <w:tc>
          <w:tcPr>
            <w:tcW w:w="136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178561.9024</w:t>
            </w:r>
          </w:p>
        </w:tc>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总厂提供</w:t>
            </w:r>
          </w:p>
        </w:tc>
        <w:tc>
          <w:tcPr>
            <w:tcW w:w="13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重庆华峰化工有限公司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氨</w:t>
            </w:r>
          </w:p>
        </w:tc>
        <w:tc>
          <w:tcPr>
            <w:tcW w:w="1361"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47681.0601</w:t>
            </w:r>
          </w:p>
        </w:tc>
        <w:tc>
          <w:tcPr>
            <w:tcW w:w="1704"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园区内企业提供</w:t>
            </w:r>
          </w:p>
        </w:tc>
        <w:tc>
          <w:tcPr>
            <w:tcW w:w="1312"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重庆建峰化工有限公司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restart"/>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辅助原料</w:t>
            </w:r>
          </w:p>
        </w:tc>
        <w:tc>
          <w:tcPr>
            <w:tcW w:w="1985"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磷酸催化剂</w:t>
            </w:r>
          </w:p>
        </w:tc>
        <w:tc>
          <w:tcPr>
            <w:tcW w:w="1361"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0.96</w:t>
            </w:r>
          </w:p>
        </w:tc>
        <w:tc>
          <w:tcPr>
            <w:tcW w:w="1704"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公路</w:t>
            </w:r>
          </w:p>
        </w:tc>
        <w:tc>
          <w:tcPr>
            <w:tcW w:w="3003"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重庆川东化工有限公司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工艺软水</w:t>
            </w:r>
          </w:p>
        </w:tc>
        <w:tc>
          <w:tcPr>
            <w:tcW w:w="1361"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22160.4022</w:t>
            </w:r>
          </w:p>
        </w:tc>
        <w:tc>
          <w:tcPr>
            <w:tcW w:w="1704"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园区供水系统</w:t>
            </w:r>
          </w:p>
        </w:tc>
        <w:tc>
          <w:tcPr>
            <w:tcW w:w="1312"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管道</w:t>
            </w:r>
          </w:p>
        </w:tc>
        <w:tc>
          <w:tcPr>
            <w:tcW w:w="3003"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硫酸铝</w:t>
            </w:r>
          </w:p>
        </w:tc>
        <w:tc>
          <w:tcPr>
            <w:tcW w:w="1361"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.72</w:t>
            </w:r>
          </w:p>
        </w:tc>
        <w:tc>
          <w:tcPr>
            <w:tcW w:w="1704"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公路</w:t>
            </w:r>
          </w:p>
        </w:tc>
        <w:tc>
          <w:tcPr>
            <w:tcW w:w="3003" w:type="dxa"/>
            <w:shd w:val="clear" w:color="auto" w:fill="auto"/>
            <w:vAlign w:val="center"/>
          </w:tcPr>
          <w:p>
            <w:pPr>
              <w:widowControl/>
              <w:autoSpaceDE/>
              <w:autoSpaceDN/>
              <w:spacing w:before="0" w:beforeLines="0" w:after="0" w:afterLines="0" w:line="276" w:lineRule="auto"/>
              <w:jc w:val="center"/>
              <w:rPr>
                <w:rFonts w:ascii="等线" w:hAnsi="等线" w:eastAsia="等线" w:cs="宋体"/>
                <w:color w:val="000000"/>
                <w:sz w:val="22"/>
              </w:rPr>
            </w:pPr>
            <w:r>
              <w:rPr>
                <w:rFonts w:hint="eastAsia" w:ascii="Times New Roman" w:hAnsi="Times New Roman" w:eastAsia="仿宋" w:cs="Times New Roman"/>
                <w:bCs/>
                <w:kern w:val="2"/>
                <w:sz w:val="20"/>
                <w:szCs w:val="20"/>
              </w:rPr>
              <w:t>重庆长鹏化工有限公司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79" w:hRule="atLeast"/>
          <w:jc w:val="center"/>
        </w:trPr>
        <w:tc>
          <w:tcPr>
            <w:tcW w:w="1129" w:type="dxa"/>
            <w:vMerge w:val="continue"/>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p>
        </w:tc>
        <w:tc>
          <w:tcPr>
            <w:tcW w:w="1985"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硅藻土（载体）</w:t>
            </w:r>
          </w:p>
        </w:tc>
        <w:tc>
          <w:tcPr>
            <w:tcW w:w="1361"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0</w:t>
            </w:r>
            <w:r>
              <w:rPr>
                <w:rFonts w:ascii="Times New Roman" w:hAnsi="Times New Roman" w:eastAsia="仿宋" w:cs="Times New Roman"/>
                <w:bCs/>
                <w:kern w:val="2"/>
                <w:sz w:val="20"/>
                <w:szCs w:val="20"/>
              </w:rPr>
              <w:t>.216</w:t>
            </w:r>
          </w:p>
        </w:tc>
        <w:tc>
          <w:tcPr>
            <w:tcW w:w="1704"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外购</w:t>
            </w:r>
          </w:p>
        </w:tc>
        <w:tc>
          <w:tcPr>
            <w:tcW w:w="1312"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铁路</w:t>
            </w:r>
          </w:p>
        </w:tc>
        <w:tc>
          <w:tcPr>
            <w:tcW w:w="3003" w:type="dxa"/>
            <w:shd w:val="clear" w:color="auto" w:fill="auto"/>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武汉卡诺斯科技有限公司</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6" w:hRule="atLeast"/>
          <w:jc w:val="center"/>
        </w:trPr>
        <w:tc>
          <w:tcPr>
            <w:tcW w:w="1129" w:type="dxa"/>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燃料</w:t>
            </w:r>
          </w:p>
        </w:tc>
        <w:tc>
          <w:tcPr>
            <w:tcW w:w="9365" w:type="dxa"/>
            <w:gridSpan w:val="5"/>
            <w:shd w:val="clear" w:color="auto" w:fill="D9E2F3"/>
            <w:vAlign w:val="center"/>
          </w:tcPr>
          <w:p>
            <w:pPr>
              <w:widowControl/>
              <w:autoSpaceDE/>
              <w:autoSpaceDN/>
              <w:spacing w:before="0" w:beforeLines="0" w:after="0" w:afterLines="0" w:line="276" w:lineRule="auto"/>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本项目无需燃料</w:t>
            </w:r>
          </w:p>
        </w:tc>
      </w:tr>
      <w:bookmarkEnd w:id="47"/>
    </w:tbl>
    <w:p>
      <w:pPr>
        <w:spacing w:before="156" w:after="156"/>
        <w:ind w:firstLine="420"/>
        <w:rPr>
          <w:rFonts w:ascii="Times New Roman" w:hAnsi="Times New Roman" w:cs="Times New Roman"/>
        </w:rPr>
      </w:pPr>
    </w:p>
    <w:p>
      <w:pPr>
        <w:pStyle w:val="3"/>
        <w:spacing w:before="156" w:after="156"/>
        <w:rPr>
          <w:rFonts w:ascii="Times New Roman" w:hAnsi="Times New Roman" w:eastAsia="宋体" w:cs="Times New Roman"/>
        </w:rPr>
      </w:pPr>
      <w:bookmarkStart w:id="48" w:name="_Toc141669995"/>
      <w:r>
        <w:rPr>
          <w:rFonts w:ascii="Times New Roman" w:hAnsi="Times New Roman" w:eastAsia="宋体" w:cs="Times New Roman"/>
        </w:rPr>
        <w:t>5.2 主要原料及来源</w:t>
      </w:r>
      <w:bookmarkEnd w:id="48"/>
    </w:p>
    <w:p>
      <w:pPr>
        <w:pStyle w:val="3"/>
        <w:spacing w:before="156" w:after="156"/>
        <w:rPr>
          <w:rFonts w:ascii="Times New Roman" w:hAnsi="Times New Roman" w:eastAsia="宋体" w:cs="Times New Roman"/>
        </w:rPr>
      </w:pPr>
      <w:bookmarkStart w:id="49" w:name="_Toc141669996"/>
      <w:r>
        <w:rPr>
          <w:rFonts w:hint="eastAsia" w:ascii="Times New Roman" w:hAnsi="Times New Roman" w:eastAsia="宋体" w:cs="Times New Roman"/>
        </w:rPr>
        <w:t>5</w:t>
      </w:r>
      <w:r>
        <w:rPr>
          <w:rFonts w:ascii="Times New Roman" w:hAnsi="Times New Roman" w:eastAsia="宋体" w:cs="Times New Roman"/>
        </w:rPr>
        <w:t>.2.1</w:t>
      </w:r>
      <w:r>
        <w:rPr>
          <w:rFonts w:hint="eastAsia" w:ascii="Times New Roman" w:hAnsi="Times New Roman" w:eastAsia="宋体" w:cs="Times New Roman"/>
        </w:rPr>
        <w:t xml:space="preserve"> 己二酸</w:t>
      </w:r>
      <w:bookmarkEnd w:id="49"/>
    </w:p>
    <w:p>
      <w:pPr>
        <w:spacing w:before="156" w:after="156"/>
        <w:ind w:firstLine="420" w:firstLineChars="200"/>
        <w:rPr>
          <w:rFonts w:ascii="Times New Roman" w:hAnsi="Times New Roman" w:cs="Times New Roman"/>
          <w:szCs w:val="21"/>
        </w:rPr>
      </w:pPr>
      <w:r>
        <w:tab/>
      </w:r>
      <w:r>
        <w:rPr>
          <w:rFonts w:hint="eastAsia" w:ascii="Times New Roman" w:hAnsi="Times New Roman" w:cs="Times New Roman"/>
          <w:szCs w:val="21"/>
        </w:rPr>
        <w:t>所用原料来自重庆华峰化工有限公司所生产的己二酸，根据其公司官网数据表示该公司每年可生产约7</w:t>
      </w:r>
      <w:r>
        <w:rPr>
          <w:rFonts w:ascii="Times New Roman" w:hAnsi="Times New Roman" w:cs="Times New Roman"/>
          <w:szCs w:val="21"/>
        </w:rPr>
        <w:t>4</w:t>
      </w:r>
      <w:r>
        <w:rPr>
          <w:rFonts w:hint="eastAsia" w:ascii="Times New Roman" w:hAnsi="Times New Roman" w:cs="Times New Roman"/>
          <w:szCs w:val="21"/>
        </w:rPr>
        <w:t>万吨己二酸，采用管道输送的方式运输到本厂，其己二酸产品信息如下：</w:t>
      </w:r>
    </w:p>
    <w:p>
      <w:pPr>
        <w:widowControl/>
        <w:spacing w:before="0" w:beforeLines="0" w:after="0" w:afterLines="0"/>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表5-2-1</w:t>
      </w:r>
      <w:r>
        <w:rPr>
          <w:rFonts w:hint="eastAsia" w:ascii="Times New Roman" w:hAnsi="Times New Roman" w:cs="Times New Roman"/>
          <w:b/>
          <w:bCs/>
          <w:color w:val="000000"/>
          <w:sz w:val="18"/>
          <w:szCs w:val="18"/>
          <w:lang w:bidi="ar"/>
        </w:rPr>
        <w:t>主要原料企业标准</w:t>
      </w:r>
    </w:p>
    <w:tbl>
      <w:tblPr>
        <w:tblStyle w:val="41"/>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65"/>
        <w:gridCol w:w="2765"/>
        <w:gridCol w:w="276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检测指标</w:t>
            </w:r>
          </w:p>
        </w:tc>
        <w:tc>
          <w:tcPr>
            <w:tcW w:w="276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before="0" w:beforeLines="0" w:after="0" w:afterLines="0"/>
              <w:jc w:val="center"/>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单位</w:t>
            </w:r>
          </w:p>
        </w:tc>
        <w:tc>
          <w:tcPr>
            <w:tcW w:w="276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spacing w:before="0" w:beforeLines="0" w:after="0" w:afterLines="0"/>
              <w:jc w:val="center"/>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出口指标数据</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shd w:val="clear" w:color="auto" w:fill="D9E2F3" w:themeFill="accent1" w:themeFillTint="33"/>
          </w:tcPr>
          <w:p>
            <w:pPr>
              <w:spacing w:before="0" w:beforeLines="0" w:after="0" w:afterLines="0"/>
              <w:jc w:val="center"/>
              <w:rPr>
                <w:b w:val="0"/>
                <w:bCs w:val="0"/>
              </w:rPr>
            </w:pPr>
            <w:r>
              <w:rPr>
                <w:rFonts w:hint="eastAsia"/>
                <w:b/>
                <w:bCs/>
              </w:rPr>
              <w:t>外观</w:t>
            </w:r>
          </w:p>
        </w:tc>
        <w:tc>
          <w:tcPr>
            <w:tcW w:w="2765" w:type="dxa"/>
            <w:shd w:val="clear" w:color="auto" w:fill="D9E2F3" w:themeFill="accent1" w:themeFillTint="33"/>
          </w:tcPr>
          <w:p>
            <w:pPr>
              <w:spacing w:before="0" w:beforeLines="0" w:after="0" w:afterLines="0"/>
              <w:jc w:val="center"/>
            </w:pPr>
            <w:r>
              <w:rPr>
                <w:rFonts w:hint="eastAsia"/>
              </w:rPr>
              <w:t>/</w:t>
            </w:r>
          </w:p>
        </w:tc>
        <w:tc>
          <w:tcPr>
            <w:tcW w:w="2766" w:type="dxa"/>
            <w:shd w:val="clear" w:color="auto" w:fill="D9E2F3" w:themeFill="accent1" w:themeFillTint="33"/>
          </w:tcPr>
          <w:p>
            <w:pPr>
              <w:spacing w:before="0" w:beforeLines="0" w:after="0" w:afterLines="0"/>
              <w:jc w:val="center"/>
            </w:pPr>
            <w:r>
              <w:rPr>
                <w:rFonts w:hint="eastAsia"/>
              </w:rPr>
              <w:t>白色晶体</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tcPr>
          <w:p>
            <w:pPr>
              <w:spacing w:before="0" w:beforeLines="0" w:after="0" w:afterLines="0"/>
              <w:jc w:val="center"/>
              <w:rPr>
                <w:b w:val="0"/>
                <w:bCs w:val="0"/>
              </w:rPr>
            </w:pPr>
            <w:r>
              <w:rPr>
                <w:rFonts w:hint="eastAsia"/>
                <w:b/>
                <w:bCs/>
              </w:rPr>
              <w:t>纯度</w:t>
            </w:r>
          </w:p>
        </w:tc>
        <w:tc>
          <w:tcPr>
            <w:tcW w:w="2765" w:type="dxa"/>
          </w:tcPr>
          <w:p>
            <w:pPr>
              <w:spacing w:before="0" w:beforeLines="0" w:after="0" w:afterLines="0"/>
              <w:jc w:val="center"/>
            </w:pPr>
            <w:r>
              <w:rPr>
                <w:rFonts w:hint="eastAsia"/>
              </w:rPr>
              <w:t>%</w:t>
            </w:r>
          </w:p>
        </w:tc>
        <w:tc>
          <w:tcPr>
            <w:tcW w:w="2766" w:type="dxa"/>
          </w:tcPr>
          <w:p>
            <w:pPr>
              <w:spacing w:before="0" w:beforeLines="0" w:after="0" w:afterLines="0"/>
              <w:jc w:val="center"/>
            </w:pPr>
            <w:r>
              <w:rPr>
                <w:rFonts w:hint="eastAsia"/>
              </w:rPr>
              <w:t>≥9</w:t>
            </w:r>
            <w:r>
              <w:t>9</w:t>
            </w:r>
            <w:r>
              <w:rPr>
                <w:rFonts w:hint="eastAsia"/>
              </w:rPr>
              <w:t>.8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shd w:val="clear" w:color="auto" w:fill="D9E2F3" w:themeFill="accent1" w:themeFillTint="33"/>
          </w:tcPr>
          <w:p>
            <w:pPr>
              <w:spacing w:before="0" w:beforeLines="0" w:after="0" w:afterLines="0"/>
              <w:jc w:val="center"/>
              <w:rPr>
                <w:b w:val="0"/>
                <w:bCs w:val="0"/>
              </w:rPr>
            </w:pPr>
            <w:r>
              <w:rPr>
                <w:rFonts w:hint="eastAsia"/>
                <w:b/>
                <w:bCs/>
              </w:rPr>
              <w:t>熔点</w:t>
            </w:r>
          </w:p>
        </w:tc>
        <w:tc>
          <w:tcPr>
            <w:tcW w:w="2765" w:type="dxa"/>
            <w:shd w:val="clear" w:color="auto" w:fill="D9E2F3" w:themeFill="accent1" w:themeFillTint="33"/>
          </w:tcPr>
          <w:p>
            <w:pPr>
              <w:spacing w:before="0" w:beforeLines="0" w:after="0" w:afterLines="0"/>
              <w:jc w:val="center"/>
            </w:pPr>
            <w:r>
              <w:rPr>
                <w:rFonts w:hint="eastAsia"/>
              </w:rPr>
              <w:t>℃</w:t>
            </w:r>
          </w:p>
        </w:tc>
        <w:tc>
          <w:tcPr>
            <w:tcW w:w="2766" w:type="dxa"/>
            <w:shd w:val="clear" w:color="auto" w:fill="D9E2F3" w:themeFill="accent1" w:themeFillTint="33"/>
          </w:tcPr>
          <w:p>
            <w:pPr>
              <w:spacing w:before="0" w:beforeLines="0" w:after="0" w:afterLines="0"/>
              <w:jc w:val="center"/>
            </w:pPr>
            <w:r>
              <w:rPr>
                <w:rFonts w:hint="eastAsia"/>
              </w:rPr>
              <w:t>≥1</w:t>
            </w:r>
            <w:r>
              <w:t>52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tcPr>
          <w:p>
            <w:pPr>
              <w:spacing w:before="0" w:beforeLines="0" w:after="0" w:afterLines="0"/>
              <w:jc w:val="center"/>
              <w:rPr>
                <w:b w:val="0"/>
                <w:bCs w:val="0"/>
              </w:rPr>
            </w:pPr>
            <w:r>
              <w:rPr>
                <w:rFonts w:hint="eastAsia"/>
                <w:b/>
                <w:bCs/>
              </w:rPr>
              <w:t>色度（钴铂色号）</w:t>
            </w:r>
          </w:p>
        </w:tc>
        <w:tc>
          <w:tcPr>
            <w:tcW w:w="2765" w:type="dxa"/>
          </w:tcPr>
          <w:p>
            <w:pPr>
              <w:spacing w:before="0" w:beforeLines="0" w:after="0" w:afterLines="0"/>
              <w:jc w:val="center"/>
            </w:pPr>
            <w:r>
              <w:rPr>
                <w:rFonts w:hint="eastAsia"/>
              </w:rPr>
              <w:t>/</w:t>
            </w:r>
          </w:p>
        </w:tc>
        <w:tc>
          <w:tcPr>
            <w:tcW w:w="2766" w:type="dxa"/>
          </w:tcPr>
          <w:p>
            <w:pPr>
              <w:spacing w:before="0" w:beforeLines="0" w:after="0" w:afterLines="0"/>
              <w:jc w:val="center"/>
            </w:pPr>
            <w:r>
              <w:rPr>
                <w:rFonts w:hint="eastAsia"/>
              </w:rPr>
              <w:t>≤3</w:t>
            </w:r>
            <w:r>
              <w:t>.00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shd w:val="clear" w:color="auto" w:fill="D9E2F3" w:themeFill="accent1" w:themeFillTint="33"/>
          </w:tcPr>
          <w:p>
            <w:pPr>
              <w:spacing w:before="0" w:beforeLines="0" w:after="0" w:afterLines="0"/>
              <w:jc w:val="center"/>
              <w:rPr>
                <w:b w:val="0"/>
                <w:bCs w:val="0"/>
              </w:rPr>
            </w:pPr>
            <w:r>
              <w:rPr>
                <w:rFonts w:hint="eastAsia"/>
                <w:b/>
                <w:bCs/>
              </w:rPr>
              <w:t>水分</w:t>
            </w:r>
          </w:p>
        </w:tc>
        <w:tc>
          <w:tcPr>
            <w:tcW w:w="2765" w:type="dxa"/>
            <w:shd w:val="clear" w:color="auto" w:fill="D9E2F3" w:themeFill="accent1" w:themeFillTint="33"/>
          </w:tcPr>
          <w:p>
            <w:pPr>
              <w:spacing w:before="0" w:beforeLines="0" w:after="0" w:afterLines="0"/>
              <w:jc w:val="center"/>
            </w:pPr>
            <w:r>
              <w:rPr>
                <w:rFonts w:hint="eastAsia"/>
              </w:rPr>
              <w:t>P</w:t>
            </w:r>
            <w:r>
              <w:t>PM</w:t>
            </w:r>
          </w:p>
        </w:tc>
        <w:tc>
          <w:tcPr>
            <w:tcW w:w="2766" w:type="dxa"/>
            <w:shd w:val="clear" w:color="auto" w:fill="D9E2F3" w:themeFill="accent1" w:themeFillTint="33"/>
          </w:tcPr>
          <w:p>
            <w:pPr>
              <w:spacing w:before="0" w:beforeLines="0" w:after="0" w:afterLines="0"/>
              <w:jc w:val="center"/>
            </w:pPr>
            <w:r>
              <w:rPr>
                <w:rFonts w:hint="eastAsia"/>
              </w:rPr>
              <w:t>≤0.2</w:t>
            </w:r>
            <w:r>
              <w:t>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tcPr>
          <w:p>
            <w:pPr>
              <w:spacing w:before="0" w:beforeLines="0" w:after="0" w:afterLines="0"/>
              <w:jc w:val="center"/>
              <w:rPr>
                <w:b w:val="0"/>
                <w:bCs w:val="0"/>
              </w:rPr>
            </w:pPr>
            <w:r>
              <w:rPr>
                <w:rFonts w:hint="eastAsia"/>
                <w:b/>
                <w:bCs/>
              </w:rPr>
              <w:t>灰分</w:t>
            </w:r>
          </w:p>
        </w:tc>
        <w:tc>
          <w:tcPr>
            <w:tcW w:w="2765" w:type="dxa"/>
          </w:tcPr>
          <w:p>
            <w:pPr>
              <w:spacing w:before="0" w:beforeLines="0" w:after="0" w:afterLines="0"/>
              <w:jc w:val="center"/>
            </w:pPr>
            <w:r>
              <w:rPr>
                <w:rFonts w:hint="eastAsia"/>
              </w:rPr>
              <w:t>P</w:t>
            </w:r>
            <w:r>
              <w:t>PM</w:t>
            </w:r>
          </w:p>
        </w:tc>
        <w:tc>
          <w:tcPr>
            <w:tcW w:w="2766" w:type="dxa"/>
          </w:tcPr>
          <w:p>
            <w:pPr>
              <w:spacing w:before="0" w:beforeLines="0" w:after="0" w:afterLines="0"/>
              <w:jc w:val="center"/>
            </w:pPr>
            <w:r>
              <w:rPr>
                <w:rFonts w:hint="eastAsia"/>
              </w:rPr>
              <w:t>≤4</w:t>
            </w:r>
            <w:r>
              <w:t>,00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shd w:val="clear" w:color="auto" w:fill="D9E2F3" w:themeFill="accent1" w:themeFillTint="33"/>
          </w:tcPr>
          <w:p>
            <w:pPr>
              <w:spacing w:before="0" w:beforeLines="0" w:after="0" w:afterLines="0"/>
              <w:jc w:val="center"/>
              <w:rPr>
                <w:b w:val="0"/>
                <w:bCs w:val="0"/>
              </w:rPr>
            </w:pPr>
            <w:r>
              <w:rPr>
                <w:rFonts w:hint="eastAsia"/>
                <w:b/>
                <w:bCs/>
              </w:rPr>
              <w:t>铁含量</w:t>
            </w:r>
          </w:p>
        </w:tc>
        <w:tc>
          <w:tcPr>
            <w:tcW w:w="2765" w:type="dxa"/>
            <w:shd w:val="clear" w:color="auto" w:fill="D9E2F3" w:themeFill="accent1" w:themeFillTint="33"/>
          </w:tcPr>
          <w:p>
            <w:pPr>
              <w:spacing w:before="0" w:beforeLines="0" w:after="0" w:afterLines="0"/>
              <w:jc w:val="center"/>
            </w:pPr>
            <w:r>
              <w:rPr>
                <w:rFonts w:hint="eastAsia"/>
              </w:rPr>
              <w:t>P</w:t>
            </w:r>
            <w:r>
              <w:t>PM</w:t>
            </w:r>
          </w:p>
        </w:tc>
        <w:tc>
          <w:tcPr>
            <w:tcW w:w="2766" w:type="dxa"/>
            <w:shd w:val="clear" w:color="auto" w:fill="D9E2F3" w:themeFill="accent1" w:themeFillTint="33"/>
          </w:tcPr>
          <w:p>
            <w:pPr>
              <w:spacing w:before="0" w:beforeLines="0" w:after="0" w:afterLines="0"/>
              <w:jc w:val="center"/>
            </w:pPr>
            <w:r>
              <w:rPr>
                <w:rFonts w:hint="eastAsia"/>
              </w:rPr>
              <w:t>≤0</w:t>
            </w:r>
            <w:r>
              <w:t>.20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765" w:type="dxa"/>
          </w:tcPr>
          <w:p>
            <w:pPr>
              <w:spacing w:before="0" w:beforeLines="0" w:after="0" w:afterLines="0"/>
              <w:jc w:val="center"/>
              <w:rPr>
                <w:b w:val="0"/>
                <w:bCs w:val="0"/>
              </w:rPr>
            </w:pPr>
            <w:r>
              <w:rPr>
                <w:rFonts w:hint="eastAsia"/>
                <w:b/>
                <w:bCs/>
              </w:rPr>
              <w:t>硝酸根</w:t>
            </w:r>
          </w:p>
        </w:tc>
        <w:tc>
          <w:tcPr>
            <w:tcW w:w="2765" w:type="dxa"/>
          </w:tcPr>
          <w:p>
            <w:pPr>
              <w:spacing w:before="0" w:beforeLines="0" w:after="0" w:afterLines="0"/>
              <w:jc w:val="center"/>
            </w:pPr>
            <w:r>
              <w:rPr>
                <w:rFonts w:hint="eastAsia"/>
              </w:rPr>
              <w:t>P</w:t>
            </w:r>
            <w:r>
              <w:t>PM</w:t>
            </w:r>
          </w:p>
        </w:tc>
        <w:tc>
          <w:tcPr>
            <w:tcW w:w="2766" w:type="dxa"/>
          </w:tcPr>
          <w:p>
            <w:pPr>
              <w:spacing w:before="0" w:beforeLines="0" w:after="0" w:afterLines="0"/>
              <w:jc w:val="center"/>
            </w:pPr>
            <w:r>
              <w:rPr>
                <w:rFonts w:hint="eastAsia"/>
              </w:rPr>
              <w:t>≤1</w:t>
            </w:r>
            <w:r>
              <w:t>.00</w:t>
            </w:r>
          </w:p>
        </w:tc>
      </w:tr>
    </w:tbl>
    <w:p>
      <w:pPr>
        <w:widowControl/>
        <w:spacing w:before="0" w:beforeLines="0" w:after="0" w:afterLines="0"/>
        <w:jc w:val="center"/>
        <w:rPr>
          <w:rFonts w:ascii="Times New Roman" w:hAnsi="Times New Roman" w:cs="Times New Roman"/>
          <w:b/>
          <w:bCs/>
          <w:color w:val="000000"/>
          <w:sz w:val="18"/>
          <w:szCs w:val="18"/>
          <w:lang w:bidi="ar"/>
        </w:rPr>
      </w:pPr>
    </w:p>
    <w:p>
      <w:pPr>
        <w:widowControl/>
        <w:spacing w:before="0" w:beforeLines="0" w:after="0" w:afterLines="0"/>
        <w:jc w:val="center"/>
        <w:rPr>
          <w:rFonts w:ascii="Times New Roman" w:hAnsi="Times New Roman" w:cs="Times New Roman"/>
          <w:b/>
          <w:bCs/>
          <w:color w:val="000000"/>
          <w:sz w:val="18"/>
          <w:szCs w:val="18"/>
          <w:lang w:bidi="ar"/>
        </w:rPr>
      </w:pPr>
      <w:bookmarkStart w:id="50" w:name="_Hlk139909663"/>
    </w:p>
    <w:p>
      <w:pPr>
        <w:widowControl/>
        <w:spacing w:before="0" w:beforeLines="0" w:after="0" w:afterLines="0"/>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表5-2-2</w:t>
      </w:r>
      <w:r>
        <w:rPr>
          <w:rFonts w:hint="eastAsia" w:ascii="Times New Roman" w:hAnsi="Times New Roman" w:cs="Times New Roman"/>
          <w:b/>
          <w:bCs/>
          <w:color w:val="000000"/>
          <w:sz w:val="18"/>
          <w:szCs w:val="18"/>
          <w:lang w:bidi="ar"/>
        </w:rPr>
        <w:t>精己二酸技术要求</w:t>
      </w:r>
    </w:p>
    <w:bookmarkEnd w:id="50"/>
    <w:tbl>
      <w:tblPr>
        <w:tblStyle w:val="46"/>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4390"/>
        <w:gridCol w:w="1984"/>
        <w:gridCol w:w="1922"/>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vMerge w:val="restart"/>
            <w:tcBorders>
              <w:top w:val="single" w:color="FFFFFF" w:sz="4" w:space="0"/>
              <w:left w:val="single" w:color="FFFFFF" w:sz="4" w:space="0"/>
              <w:right w:val="nil"/>
              <w:insideV w:val="nil"/>
            </w:tcBorders>
            <w:shd w:val="clear" w:color="auto" w:fill="4472C4"/>
            <w:vAlign w:val="center"/>
          </w:tcPr>
          <w:p>
            <w:pPr>
              <w:autoSpaceDE/>
              <w:autoSpaceDN/>
              <w:spacing w:before="0" w:beforeLines="0" w:after="0" w:afterLines="0"/>
              <w:jc w:val="center"/>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项目</w:t>
            </w:r>
          </w:p>
        </w:tc>
        <w:tc>
          <w:tcPr>
            <w:tcW w:w="3906" w:type="dxa"/>
            <w:gridSpan w:val="2"/>
            <w:tcBorders>
              <w:top w:val="single" w:color="FFFFFF" w:sz="4" w:space="0"/>
              <w:right w:val="single" w:color="FFFFFF" w:sz="4" w:space="0"/>
              <w:insideV w:val="nil"/>
            </w:tcBorders>
            <w:shd w:val="clear" w:color="auto" w:fill="4472C4"/>
          </w:tcPr>
          <w:p>
            <w:pPr>
              <w:autoSpaceDE/>
              <w:autoSpaceDN/>
              <w:spacing w:before="0" w:beforeLines="0" w:after="0" w:afterLines="0"/>
              <w:jc w:val="center"/>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指标</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vMerge w:val="continue"/>
            <w:tcBorders>
              <w:left w:val="single" w:color="FFFFFF" w:sz="4" w:space="0"/>
            </w:tcBorders>
            <w:shd w:val="clear" w:color="auto" w:fill="4472C4"/>
          </w:tcPr>
          <w:p>
            <w:pPr>
              <w:autoSpaceDE/>
              <w:autoSpaceDN/>
              <w:spacing w:before="0" w:beforeLines="0" w:after="0" w:afterLines="0"/>
              <w:jc w:val="center"/>
              <w:rPr>
                <w:rFonts w:ascii="Times New Roman" w:hAnsi="Times New Roman" w:eastAsia="等线" w:cs="Times New Roman"/>
                <w:b w:val="0"/>
                <w:bCs w:val="0"/>
                <w:color w:val="FFFFFF"/>
                <w:kern w:val="2"/>
                <w:sz w:val="20"/>
                <w:szCs w:val="21"/>
              </w:rPr>
            </w:pP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优等品</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一等品</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jc w:val="center"/>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外观</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白色结晶粉末</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白色结晶粉末</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精己二酸含量/</w:t>
            </w:r>
            <w:r>
              <w:rPr>
                <w:rFonts w:ascii="Times New Roman" w:hAnsi="Times New Roman" w:eastAsia="等线" w:cs="Times New Roman"/>
                <w:b/>
                <w:bCs/>
                <w:color w:val="FFFFFF"/>
                <w:kern w:val="2"/>
                <w:sz w:val="20"/>
                <w:szCs w:val="21"/>
              </w:rPr>
              <w:t>%</w:t>
            </w:r>
            <w:r>
              <w:rPr>
                <w:rFonts w:hint="eastAsia" w:ascii="Times New Roman" w:hAnsi="Times New Roman" w:eastAsia="等线" w:cs="Times New Roman"/>
                <w:b/>
                <w:bCs/>
                <w:color w:val="FFFFFF"/>
                <w:kern w:val="2"/>
                <w:sz w:val="20"/>
                <w:szCs w:val="21"/>
              </w:rPr>
              <w:t xml:space="preserve">（质量分数） </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9</w:t>
            </w:r>
            <w:r>
              <w:rPr>
                <w:rFonts w:ascii="Times New Roman" w:hAnsi="Times New Roman" w:eastAsia="等线" w:cs="Times New Roman"/>
                <w:bCs/>
                <w:kern w:val="2"/>
                <w:sz w:val="20"/>
                <w:szCs w:val="21"/>
              </w:rPr>
              <w:t>9.80</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9</w:t>
            </w:r>
            <w:r>
              <w:rPr>
                <w:rFonts w:ascii="Times New Roman" w:hAnsi="Times New Roman" w:eastAsia="等线" w:cs="Times New Roman"/>
                <w:bCs/>
                <w:kern w:val="2"/>
                <w:sz w:val="20"/>
                <w:szCs w:val="21"/>
              </w:rPr>
              <w:t>9.70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 xml:space="preserve">熔点/℃ </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1</w:t>
            </w:r>
            <w:r>
              <w:rPr>
                <w:rFonts w:ascii="Times New Roman" w:hAnsi="Times New Roman" w:eastAsia="等线" w:cs="Times New Roman"/>
                <w:bCs/>
                <w:kern w:val="2"/>
                <w:sz w:val="20"/>
                <w:szCs w:val="21"/>
              </w:rPr>
              <w:t>52.0</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1</w:t>
            </w:r>
            <w:r>
              <w:rPr>
                <w:rFonts w:ascii="Times New Roman" w:hAnsi="Times New Roman" w:eastAsia="等线" w:cs="Times New Roman"/>
                <w:bCs/>
                <w:kern w:val="2"/>
                <w:sz w:val="20"/>
                <w:szCs w:val="21"/>
              </w:rPr>
              <w:t>51.5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 xml:space="preserve">氨溶液色度/（铂-钴色号） </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5</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c>
          <w:tcPr>
            <w:tcW w:w="4390" w:type="dxa"/>
            <w:tcBorders>
              <w:left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水分/</w:t>
            </w:r>
            <w:r>
              <w:rPr>
                <w:rFonts w:ascii="Times New Roman" w:hAnsi="Times New Roman" w:eastAsia="等线" w:cs="Times New Roman"/>
                <w:b/>
                <w:bCs/>
                <w:color w:val="FFFFFF"/>
                <w:kern w:val="2"/>
                <w:sz w:val="20"/>
                <w:szCs w:val="21"/>
              </w:rPr>
              <w:t>%</w:t>
            </w:r>
            <w:r>
              <w:rPr>
                <w:rFonts w:hint="eastAsia" w:ascii="Times New Roman" w:hAnsi="Times New Roman" w:eastAsia="等线" w:cs="Times New Roman"/>
                <w:b/>
                <w:bCs/>
                <w:color w:val="FFFFFF"/>
                <w:kern w:val="2"/>
                <w:sz w:val="20"/>
                <w:szCs w:val="21"/>
              </w:rPr>
              <w:t xml:space="preserve">（质量分数） </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0</w:t>
            </w:r>
            <w:r>
              <w:rPr>
                <w:rFonts w:ascii="Times New Roman" w:hAnsi="Times New Roman" w:eastAsia="等线" w:cs="Times New Roman"/>
                <w:bCs/>
                <w:kern w:val="2"/>
                <w:sz w:val="20"/>
                <w:szCs w:val="21"/>
              </w:rPr>
              <w:t>.20</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0</w:t>
            </w:r>
            <w:r>
              <w:rPr>
                <w:rFonts w:ascii="Times New Roman" w:hAnsi="Times New Roman" w:eastAsia="等线" w:cs="Times New Roman"/>
                <w:bCs/>
                <w:kern w:val="2"/>
                <w:sz w:val="20"/>
                <w:szCs w:val="21"/>
              </w:rPr>
              <w:t>.27</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灰分/（mg</w:t>
            </w:r>
            <w:r>
              <w:rPr>
                <w:rFonts w:ascii="Times New Roman" w:hAnsi="Times New Roman" w:eastAsia="等线" w:cs="Times New Roman"/>
                <w:b/>
                <w:bCs/>
                <w:color w:val="FFFFFF"/>
                <w:kern w:val="2"/>
                <w:sz w:val="20"/>
                <w:szCs w:val="21"/>
              </w:rPr>
              <w:t>/kg</w:t>
            </w:r>
            <w:r>
              <w:rPr>
                <w:rFonts w:hint="eastAsia" w:ascii="Times New Roman" w:hAnsi="Times New Roman" w:eastAsia="等线" w:cs="Times New Roman"/>
                <w:b/>
                <w:bCs/>
                <w:color w:val="FFFFFF"/>
                <w:kern w:val="2"/>
                <w:sz w:val="20"/>
                <w:szCs w:val="21"/>
              </w:rPr>
              <w:t>）</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4</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7</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铁含量/（mg</w:t>
            </w:r>
            <w:r>
              <w:rPr>
                <w:rFonts w:ascii="Times New Roman" w:hAnsi="Times New Roman" w:eastAsia="等线" w:cs="Times New Roman"/>
                <w:b/>
                <w:bCs/>
                <w:color w:val="FFFFFF"/>
                <w:kern w:val="2"/>
                <w:sz w:val="20"/>
                <w:szCs w:val="21"/>
              </w:rPr>
              <w:t>/</w:t>
            </w:r>
            <w:r>
              <w:rPr>
                <w:rFonts w:hint="eastAsia" w:ascii="Times New Roman" w:hAnsi="Times New Roman" w:eastAsia="等线" w:cs="Times New Roman"/>
                <w:b/>
                <w:bCs/>
                <w:color w:val="FFFFFF"/>
                <w:kern w:val="2"/>
                <w:sz w:val="20"/>
                <w:szCs w:val="21"/>
              </w:rPr>
              <w:t>kg）</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0.</w:t>
            </w:r>
            <w:r>
              <w:rPr>
                <w:rFonts w:ascii="Times New Roman" w:hAnsi="Times New Roman" w:eastAsia="等线" w:cs="Times New Roman"/>
                <w:bCs/>
                <w:kern w:val="2"/>
                <w:sz w:val="20"/>
                <w:szCs w:val="21"/>
              </w:rPr>
              <w:t>4</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1</w:t>
            </w:r>
            <w:r>
              <w:rPr>
                <w:rFonts w:ascii="Times New Roman" w:hAnsi="Times New Roman" w:eastAsia="等线" w:cs="Times New Roman"/>
                <w:bCs/>
                <w:kern w:val="2"/>
                <w:sz w:val="20"/>
                <w:szCs w:val="21"/>
              </w:rPr>
              <w:t>.0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bottom w:val="single" w:color="FFFFFF" w:sz="4" w:space="0"/>
            </w:tcBorders>
            <w:shd w:val="clear" w:color="auto" w:fill="4472C4"/>
          </w:tcPr>
          <w:p>
            <w:pPr>
              <w:autoSpaceDE/>
              <w:autoSpaceDN/>
              <w:spacing w:before="0" w:beforeLines="0" w:after="0" w:afterLines="0"/>
              <w:jc w:val="distribute"/>
              <w:rPr>
                <w:rFonts w:ascii="Times New Roman" w:hAnsi="Times New Roman" w:eastAsia="等线" w:cs="Times New Roman"/>
                <w:b w:val="0"/>
                <w:bCs w:val="0"/>
                <w:color w:val="FFFFFF"/>
                <w:kern w:val="2"/>
                <w:sz w:val="20"/>
                <w:szCs w:val="21"/>
              </w:rPr>
            </w:pPr>
            <w:r>
              <w:rPr>
                <w:rFonts w:hint="eastAsia" w:ascii="Times New Roman" w:hAnsi="Times New Roman" w:eastAsia="等线" w:cs="Times New Roman"/>
                <w:b/>
                <w:bCs/>
                <w:color w:val="FFFFFF"/>
                <w:kern w:val="2"/>
                <w:sz w:val="20"/>
                <w:szCs w:val="21"/>
              </w:rPr>
              <w:t>硝酸含量/（m</w:t>
            </w:r>
            <w:r>
              <w:rPr>
                <w:rFonts w:ascii="Times New Roman" w:hAnsi="Times New Roman" w:eastAsia="等线" w:cs="Times New Roman"/>
                <w:b/>
                <w:bCs/>
                <w:color w:val="FFFFFF"/>
                <w:kern w:val="2"/>
                <w:sz w:val="20"/>
                <w:szCs w:val="21"/>
              </w:rPr>
              <w:t>g/kg</w:t>
            </w:r>
            <w:r>
              <w:rPr>
                <w:rFonts w:hint="eastAsia" w:ascii="Times New Roman" w:hAnsi="Times New Roman" w:eastAsia="等线" w:cs="Times New Roman"/>
                <w:b/>
                <w:bCs/>
                <w:color w:val="FFFFFF"/>
                <w:kern w:val="2"/>
                <w:sz w:val="20"/>
                <w:szCs w:val="21"/>
              </w:rPr>
              <w:t xml:space="preserve">） </w:t>
            </w:r>
            <w:r>
              <w:rPr>
                <w:rFonts w:ascii="Times New Roman" w:hAnsi="Times New Roman" w:eastAsia="等线" w:cs="Times New Roman"/>
                <w:b/>
                <w:bCs/>
                <w:color w:val="FFFFFF"/>
                <w:kern w:val="2"/>
                <w:sz w:val="20"/>
                <w:szCs w:val="21"/>
              </w:rPr>
              <w:t xml:space="preserve">                     </w:t>
            </w:r>
            <w:r>
              <w:rPr>
                <w:rFonts w:hint="eastAsia" w:ascii="Times New Roman" w:hAnsi="Times New Roman" w:eastAsia="等线" w:cs="Times New Roman"/>
                <w:b/>
                <w:bCs/>
                <w:color w:val="FFFFFF"/>
                <w:kern w:val="2"/>
                <w:sz w:val="20"/>
                <w:szCs w:val="21"/>
              </w:rPr>
              <w:t>≤</w:t>
            </w:r>
          </w:p>
        </w:tc>
        <w:tc>
          <w:tcPr>
            <w:tcW w:w="1984"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3</w:t>
            </w:r>
            <w:r>
              <w:rPr>
                <w:rFonts w:ascii="Times New Roman" w:hAnsi="Times New Roman" w:eastAsia="等线" w:cs="Times New Roman"/>
                <w:bCs/>
                <w:kern w:val="2"/>
                <w:sz w:val="20"/>
                <w:szCs w:val="21"/>
              </w:rPr>
              <w:t>.0</w:t>
            </w:r>
          </w:p>
        </w:tc>
        <w:tc>
          <w:tcPr>
            <w:tcW w:w="1922" w:type="dxa"/>
            <w:shd w:val="clear" w:color="auto" w:fill="D9E2F3"/>
          </w:tcPr>
          <w:p>
            <w:pPr>
              <w:autoSpaceDE/>
              <w:autoSpaceDN/>
              <w:spacing w:before="0" w:beforeLines="0" w:after="0" w:afterLines="0"/>
              <w:jc w:val="center"/>
              <w:rPr>
                <w:rFonts w:ascii="Times New Roman" w:hAnsi="Times New Roman" w:eastAsia="等线" w:cs="Times New Roman"/>
                <w:bCs/>
                <w:kern w:val="2"/>
                <w:sz w:val="20"/>
                <w:szCs w:val="21"/>
              </w:rPr>
            </w:pPr>
            <w:r>
              <w:rPr>
                <w:rFonts w:hint="eastAsia" w:ascii="Times New Roman" w:hAnsi="Times New Roman" w:eastAsia="等线" w:cs="Times New Roman"/>
                <w:bCs/>
                <w:kern w:val="2"/>
                <w:sz w:val="20"/>
                <w:szCs w:val="21"/>
              </w:rPr>
              <w:t>8</w:t>
            </w:r>
            <w:r>
              <w:rPr>
                <w:rFonts w:ascii="Times New Roman" w:hAnsi="Times New Roman" w:eastAsia="等线" w:cs="Times New Roman"/>
                <w:bCs/>
                <w:kern w:val="2"/>
                <w:sz w:val="20"/>
                <w:szCs w:val="21"/>
              </w:rPr>
              <w:t>.0</w:t>
            </w:r>
          </w:p>
        </w:tc>
      </w:tr>
    </w:tbl>
    <w:p>
      <w:pPr>
        <w:spacing w:before="156" w:after="156"/>
        <w:rPr>
          <w:rFonts w:ascii="Times New Roman" w:hAnsi="Times New Roman" w:cs="Times New Roman"/>
        </w:rPr>
      </w:pPr>
    </w:p>
    <w:p>
      <w:pPr>
        <w:pStyle w:val="3"/>
        <w:spacing w:before="156" w:after="156"/>
        <w:rPr>
          <w:rFonts w:ascii="Times New Roman" w:hAnsi="Times New Roman" w:eastAsia="宋体" w:cs="Times New Roman"/>
        </w:rPr>
      </w:pPr>
      <w:bookmarkStart w:id="51" w:name="_Toc141669997"/>
      <w:r>
        <w:rPr>
          <w:rFonts w:hint="eastAsia" w:ascii="Times New Roman" w:hAnsi="Times New Roman" w:eastAsia="宋体" w:cs="Times New Roman"/>
        </w:rPr>
        <w:t>5</w:t>
      </w:r>
      <w:r>
        <w:rPr>
          <w:rFonts w:ascii="Times New Roman" w:hAnsi="Times New Roman" w:eastAsia="宋体" w:cs="Times New Roman"/>
        </w:rPr>
        <w:t>.2.2</w:t>
      </w:r>
      <w:r>
        <w:rPr>
          <w:rFonts w:hint="eastAsia" w:ascii="Times New Roman" w:hAnsi="Times New Roman" w:eastAsia="宋体" w:cs="Times New Roman"/>
        </w:rPr>
        <w:t xml:space="preserve"> 液氨</w:t>
      </w:r>
      <w:bookmarkEnd w:id="51"/>
    </w:p>
    <w:p>
      <w:pPr>
        <w:spacing w:before="156" w:after="156"/>
        <w:rPr>
          <w:rFonts w:ascii="宋体" w:hAnsi="宋体"/>
        </w:rPr>
      </w:pPr>
      <w:bookmarkStart w:id="52" w:name="_Hlk141110407"/>
      <w:r>
        <w:rPr>
          <w:rFonts w:hint="eastAsia" w:ascii="宋体" w:hAnsi="宋体"/>
        </w:rPr>
        <w:t>本项目液氨由重庆建峰化工有限公司提供，符合中华人民共和国国家标准</w:t>
      </w:r>
      <w:r>
        <w:rPr>
          <w:rFonts w:ascii="宋体" w:hAnsi="宋体"/>
        </w:rPr>
        <w:t>GB 536-2017</w:t>
      </w:r>
      <w:r>
        <w:rPr>
          <w:rFonts w:hint="eastAsia" w:ascii="宋体" w:hAnsi="宋体"/>
        </w:rPr>
        <w:t>工业用液氨优等品技术指标，采用管道运输的方式运输到本厂。</w:t>
      </w:r>
    </w:p>
    <w:bookmarkEnd w:id="52"/>
    <w:p>
      <w:pPr>
        <w:widowControl/>
        <w:spacing w:before="0" w:beforeLines="0" w:after="0" w:afterLines="0"/>
        <w:jc w:val="center"/>
        <w:rPr>
          <w:rFonts w:ascii="Times New Roman" w:hAnsi="Times New Roman" w:cs="Times New Roman"/>
          <w:b/>
          <w:bCs/>
          <w:color w:val="000000"/>
          <w:sz w:val="18"/>
          <w:szCs w:val="18"/>
          <w:lang w:bidi="ar"/>
        </w:rPr>
      </w:pPr>
      <w:bookmarkStart w:id="53" w:name="_Hlk141110416"/>
      <w:r>
        <w:rPr>
          <w:rFonts w:ascii="Times New Roman" w:hAnsi="Times New Roman" w:cs="Times New Roman"/>
          <w:b/>
          <w:bCs/>
          <w:color w:val="000000"/>
          <w:sz w:val="18"/>
          <w:szCs w:val="18"/>
          <w:lang w:bidi="ar"/>
        </w:rPr>
        <w:t xml:space="preserve">表5-3 </w:t>
      </w:r>
      <w:r>
        <w:rPr>
          <w:rFonts w:hint="eastAsia" w:ascii="Times New Roman" w:hAnsi="Times New Roman" w:cs="Times New Roman"/>
          <w:b/>
          <w:bCs/>
          <w:color w:val="000000"/>
          <w:sz w:val="18"/>
          <w:szCs w:val="18"/>
          <w:lang w:bidi="ar"/>
        </w:rPr>
        <w:t>液体无水氨技术要求</w:t>
      </w:r>
    </w:p>
    <w:tbl>
      <w:tblPr>
        <w:tblStyle w:val="46"/>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2972"/>
        <w:gridCol w:w="1701"/>
        <w:gridCol w:w="1843"/>
        <w:gridCol w:w="1780"/>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vMerge w:val="restart"/>
            <w:tcBorders>
              <w:top w:val="single" w:color="FFFFFF" w:sz="4" w:space="0"/>
              <w:left w:val="single" w:color="FFFFFF" w:sz="4" w:space="0"/>
              <w:right w:val="nil"/>
              <w:insideV w:val="nil"/>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项目</w:t>
            </w:r>
          </w:p>
        </w:tc>
        <w:tc>
          <w:tcPr>
            <w:tcW w:w="5324" w:type="dxa"/>
            <w:gridSpan w:val="3"/>
            <w:tcBorders>
              <w:top w:val="single" w:color="FFFFFF" w:sz="4" w:space="0"/>
              <w:right w:val="single" w:color="FFFFFF" w:sz="4" w:space="0"/>
              <w:insideV w:val="nil"/>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指标</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vMerge w:val="continue"/>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p>
        </w:tc>
        <w:tc>
          <w:tcPr>
            <w:tcW w:w="1701"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优等品</w:t>
            </w:r>
          </w:p>
        </w:tc>
        <w:tc>
          <w:tcPr>
            <w:tcW w:w="1843"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一等品</w:t>
            </w:r>
          </w:p>
        </w:tc>
        <w:tc>
          <w:tcPr>
            <w:tcW w:w="1780"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合格品</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氨含量/</w:t>
            </w:r>
            <w:r>
              <w:rPr>
                <w:rFonts w:ascii="Times New Roman" w:hAnsi="Times New Roman" w:cs="Times New Roman"/>
                <w:b/>
                <w:bCs/>
                <w:color w:val="FFFFFF"/>
                <w:kern w:val="2"/>
                <w:sz w:val="18"/>
                <w:szCs w:val="18"/>
              </w:rPr>
              <w:t xml:space="preserve">%                 </w:t>
            </w:r>
            <w:r>
              <w:rPr>
                <w:rFonts w:hint="eastAsia" w:ascii="Times New Roman" w:hAnsi="Times New Roman" w:cs="Times New Roman"/>
                <w:b/>
                <w:bCs/>
                <w:color w:val="FFFFFF"/>
                <w:kern w:val="2"/>
                <w:sz w:val="18"/>
                <w:szCs w:val="18"/>
              </w:rPr>
              <w:t>≥</w:t>
            </w:r>
          </w:p>
        </w:tc>
        <w:tc>
          <w:tcPr>
            <w:tcW w:w="1701"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9.9</w:t>
            </w:r>
          </w:p>
        </w:tc>
        <w:tc>
          <w:tcPr>
            <w:tcW w:w="1843"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9.8</w:t>
            </w:r>
          </w:p>
        </w:tc>
        <w:tc>
          <w:tcPr>
            <w:tcW w:w="1780"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残留物含量/</w:t>
            </w:r>
            <w:r>
              <w:rPr>
                <w:rFonts w:ascii="Times New Roman" w:hAnsi="Times New Roman" w:cs="Times New Roman"/>
                <w:b/>
                <w:bCs/>
                <w:color w:val="FFFFFF"/>
                <w:kern w:val="2"/>
                <w:sz w:val="18"/>
                <w:szCs w:val="18"/>
              </w:rPr>
              <w:t xml:space="preserve">%              </w:t>
            </w:r>
            <w:r>
              <w:rPr>
                <w:rFonts w:hint="eastAsia" w:ascii="Times New Roman" w:hAnsi="Times New Roman" w:cs="Times New Roman"/>
                <w:b/>
                <w:bCs/>
                <w:color w:val="FFFFFF"/>
                <w:kern w:val="2"/>
                <w:sz w:val="18"/>
                <w:szCs w:val="18"/>
              </w:rPr>
              <w:t>≤</w:t>
            </w:r>
          </w:p>
        </w:tc>
        <w:tc>
          <w:tcPr>
            <w:tcW w:w="1701"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.1</w:t>
            </w:r>
            <w:r>
              <w:rPr>
                <w:rFonts w:hint="eastAsia" w:ascii="Times New Roman" w:hAnsi="Times New Roman" w:cs="Times New Roman"/>
                <w:bCs/>
                <w:kern w:val="2"/>
                <w:sz w:val="18"/>
                <w:szCs w:val="18"/>
              </w:rPr>
              <w:t>（重量法）</w:t>
            </w:r>
          </w:p>
        </w:tc>
        <w:tc>
          <w:tcPr>
            <w:tcW w:w="1843"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.2</w:t>
            </w:r>
          </w:p>
        </w:tc>
        <w:tc>
          <w:tcPr>
            <w:tcW w:w="1780"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1</w:t>
            </w:r>
            <w:r>
              <w:rPr>
                <w:rFonts w:ascii="Times New Roman" w:hAnsi="Times New Roman" w:cs="Times New Roman"/>
                <w:bCs/>
                <w:kern w:val="2"/>
                <w:sz w:val="18"/>
                <w:szCs w:val="18"/>
              </w:rPr>
              <w:t>.0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水分/</w:t>
            </w:r>
            <w:r>
              <w:rPr>
                <w:rFonts w:ascii="Times New Roman" w:hAnsi="Times New Roman" w:cs="Times New Roman"/>
                <w:b/>
                <w:bCs/>
                <w:color w:val="FFFFFF"/>
                <w:kern w:val="2"/>
                <w:sz w:val="18"/>
                <w:szCs w:val="18"/>
              </w:rPr>
              <w:t xml:space="preserve">%                   </w:t>
            </w:r>
            <w:r>
              <w:rPr>
                <w:rFonts w:hint="eastAsia" w:ascii="Times New Roman" w:hAnsi="Times New Roman" w:cs="Times New Roman"/>
                <w:b/>
                <w:bCs/>
                <w:color w:val="FFFFFF"/>
                <w:kern w:val="2"/>
                <w:sz w:val="18"/>
                <w:szCs w:val="18"/>
              </w:rPr>
              <w:t>≤</w:t>
            </w:r>
          </w:p>
        </w:tc>
        <w:tc>
          <w:tcPr>
            <w:tcW w:w="1701"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.1</w:t>
            </w:r>
          </w:p>
        </w:tc>
        <w:tc>
          <w:tcPr>
            <w:tcW w:w="1843"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tcBorders>
              <w:left w:val="single" w:color="FFFFFF" w:sz="4" w:space="0"/>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油含量/（mg</w:t>
            </w:r>
            <w:r>
              <w:rPr>
                <w:rFonts w:ascii="Times New Roman" w:hAnsi="Times New Roman" w:cs="Times New Roman"/>
                <w:b/>
                <w:bCs/>
                <w:color w:val="FFFFFF"/>
                <w:kern w:val="2"/>
                <w:sz w:val="18"/>
                <w:szCs w:val="18"/>
              </w:rPr>
              <w:t>/kg</w:t>
            </w:r>
            <w:r>
              <w:rPr>
                <w:rFonts w:hint="eastAsia" w:ascii="Times New Roman" w:hAnsi="Times New Roman" w:cs="Times New Roman"/>
                <w:b/>
                <w:bCs/>
                <w:color w:val="FFFFFF"/>
                <w:kern w:val="2"/>
                <w:sz w:val="18"/>
                <w:szCs w:val="18"/>
              </w:rPr>
              <w:t xml:space="preserve">） </w:t>
            </w:r>
            <w:r>
              <w:rPr>
                <w:rFonts w:ascii="Times New Roman" w:hAnsi="Times New Roman" w:cs="Times New Roman"/>
                <w:b/>
                <w:bCs/>
                <w:color w:val="FFFFFF"/>
                <w:kern w:val="2"/>
                <w:sz w:val="18"/>
                <w:szCs w:val="18"/>
              </w:rPr>
              <w:t xml:space="preserve">           </w:t>
            </w:r>
            <w:r>
              <w:rPr>
                <w:rFonts w:hint="eastAsia" w:ascii="Times New Roman" w:hAnsi="Times New Roman" w:cs="Times New Roman"/>
                <w:b/>
                <w:bCs/>
                <w:color w:val="FFFFFF"/>
                <w:kern w:val="2"/>
                <w:sz w:val="18"/>
                <w:szCs w:val="18"/>
              </w:rPr>
              <w:t>≤</w:t>
            </w:r>
          </w:p>
        </w:tc>
        <w:tc>
          <w:tcPr>
            <w:tcW w:w="1701"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5（重量法）</w:t>
            </w:r>
          </w:p>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2（红外光谱法）</w:t>
            </w:r>
          </w:p>
        </w:tc>
        <w:tc>
          <w:tcPr>
            <w:tcW w:w="1843"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72" w:type="dxa"/>
            <w:tcBorders>
              <w:left w:val="single" w:color="FFFFFF" w:sz="4" w:space="0"/>
              <w:bottom w:val="single" w:color="FFFFFF" w:sz="4" w:space="0"/>
            </w:tcBorders>
            <w:shd w:val="clear" w:color="auto" w:fill="4472C4"/>
            <w:vAlign w:val="center"/>
          </w:tcPr>
          <w:p>
            <w:pPr>
              <w:autoSpaceDE/>
              <w:autoSpaceDN/>
              <w:spacing w:before="0" w:beforeLines="0" w:after="0" w:afterLines="0"/>
              <w:jc w:val="center"/>
              <w:rPr>
                <w:rFonts w:ascii="Times New Roman" w:hAnsi="Times New Roman" w:cs="Times New Roman"/>
                <w:b w:val="0"/>
                <w:bCs w:val="0"/>
                <w:color w:val="FFFFFF"/>
                <w:kern w:val="2"/>
                <w:sz w:val="18"/>
                <w:szCs w:val="18"/>
              </w:rPr>
            </w:pPr>
            <w:r>
              <w:rPr>
                <w:rFonts w:hint="eastAsia" w:ascii="Times New Roman" w:hAnsi="Times New Roman" w:cs="Times New Roman"/>
                <w:b/>
                <w:bCs/>
                <w:color w:val="FFFFFF"/>
                <w:kern w:val="2"/>
                <w:sz w:val="18"/>
                <w:szCs w:val="18"/>
              </w:rPr>
              <w:t>铁含量/（mg</w:t>
            </w:r>
            <w:r>
              <w:rPr>
                <w:rFonts w:ascii="Times New Roman" w:hAnsi="Times New Roman" w:cs="Times New Roman"/>
                <w:b/>
                <w:bCs/>
                <w:color w:val="FFFFFF"/>
                <w:kern w:val="2"/>
                <w:sz w:val="18"/>
                <w:szCs w:val="18"/>
              </w:rPr>
              <w:t>/kg</w:t>
            </w:r>
            <w:r>
              <w:rPr>
                <w:rFonts w:hint="eastAsia" w:ascii="Times New Roman" w:hAnsi="Times New Roman" w:cs="Times New Roman"/>
                <w:b/>
                <w:bCs/>
                <w:color w:val="FFFFFF"/>
                <w:kern w:val="2"/>
                <w:sz w:val="18"/>
                <w:szCs w:val="18"/>
              </w:rPr>
              <w:t xml:space="preserve">） </w:t>
            </w:r>
            <w:r>
              <w:rPr>
                <w:rFonts w:ascii="Times New Roman" w:hAnsi="Times New Roman" w:cs="Times New Roman"/>
                <w:b/>
                <w:bCs/>
                <w:color w:val="FFFFFF"/>
                <w:kern w:val="2"/>
                <w:sz w:val="18"/>
                <w:szCs w:val="18"/>
              </w:rPr>
              <w:t xml:space="preserve">           </w:t>
            </w:r>
            <w:r>
              <w:rPr>
                <w:rFonts w:hint="eastAsia" w:ascii="Times New Roman" w:hAnsi="Times New Roman" w:cs="Times New Roman"/>
                <w:b/>
                <w:bCs/>
                <w:color w:val="FFFFFF"/>
                <w:kern w:val="2"/>
                <w:sz w:val="18"/>
                <w:szCs w:val="18"/>
              </w:rPr>
              <w:t>≤</w:t>
            </w:r>
          </w:p>
        </w:tc>
        <w:tc>
          <w:tcPr>
            <w:tcW w:w="1701"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1</w:t>
            </w:r>
          </w:p>
        </w:tc>
        <w:tc>
          <w:tcPr>
            <w:tcW w:w="1843"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vAlign w:val="center"/>
          </w:tcPr>
          <w:p>
            <w:pPr>
              <w:autoSpaceDE/>
              <w:autoSpaceDN/>
              <w:spacing w:before="0" w:beforeLines="0" w:after="0" w:afterLine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bl>
    <w:p>
      <w:pPr>
        <w:widowControl/>
        <w:spacing w:before="0" w:beforeLines="0" w:after="0" w:afterLines="0"/>
        <w:jc w:val="center"/>
        <w:rPr>
          <w:rFonts w:ascii="Times New Roman" w:hAnsi="Times New Roman" w:cs="Times New Roman"/>
          <w:b/>
          <w:bCs/>
          <w:color w:val="000000"/>
          <w:sz w:val="18"/>
          <w:szCs w:val="18"/>
          <w:lang w:bidi="ar"/>
        </w:rPr>
      </w:pPr>
    </w:p>
    <w:bookmarkEnd w:id="53"/>
    <w:p>
      <w:pPr>
        <w:pStyle w:val="3"/>
        <w:spacing w:before="156" w:after="156"/>
        <w:rPr>
          <w:rFonts w:ascii="Times New Roman" w:hAnsi="Times New Roman" w:eastAsia="宋体" w:cs="Times New Roman"/>
        </w:rPr>
      </w:pPr>
      <w:bookmarkStart w:id="54" w:name="_Toc141669998"/>
      <w:r>
        <w:rPr>
          <w:rFonts w:ascii="Times New Roman" w:hAnsi="Times New Roman" w:eastAsia="宋体" w:cs="Times New Roman"/>
        </w:rPr>
        <w:t>5.3 辅助原料及来源</w:t>
      </w:r>
      <w:bookmarkEnd w:id="54"/>
    </w:p>
    <w:p>
      <w:pPr>
        <w:spacing w:before="156" w:after="156"/>
      </w:pPr>
      <w:r>
        <w:tab/>
      </w:r>
      <w:bookmarkStart w:id="55" w:name="_Hlk141110490"/>
      <w:r>
        <w:rPr>
          <w:rFonts w:hint="eastAsia"/>
        </w:rPr>
        <w:t>本项目所用的辅助原料有磷酸、硫酸铝、硅藻土（载体）和工艺软水，其中磷酸、硫酸铝、硅藻土（载体）利用本项目所涉及绿色固体磷酸催化剂专利制备固体磷酸催化剂，均为外购辅助原料，固体磷酸催化剂用料根据专利（</w:t>
      </w:r>
      <w:r>
        <w:rPr>
          <w:rFonts w:hint="eastAsia"/>
          <w:color w:val="000000"/>
          <w:szCs w:val="21"/>
        </w:rPr>
        <w:t>CN 106140234 A</w:t>
      </w:r>
      <w:r>
        <w:rPr>
          <w:rFonts w:hint="eastAsia"/>
        </w:rPr>
        <w:t>）制备比例以及催化剂使用寿命2个月计算原料购买量，具体来源如下表所示：</w:t>
      </w:r>
    </w:p>
    <w:p>
      <w:pPr>
        <w:pStyle w:val="7"/>
        <w:keepNext/>
        <w:spacing w:before="0" w:beforeLines="0" w:after="0" w:afterLines="0"/>
        <w:jc w:val="center"/>
      </w:pPr>
      <w:r>
        <w:rPr>
          <w:rFonts w:ascii="Times New Roman" w:hAnsi="Times New Roman" w:eastAsia="宋体" w:cs="Times New Roman"/>
          <w:b/>
          <w:bCs/>
          <w:color w:val="000000"/>
          <w:sz w:val="18"/>
          <w:szCs w:val="18"/>
          <w:lang w:bidi="ar"/>
        </w:rPr>
        <w:t xml:space="preserve">表5-4 </w:t>
      </w:r>
      <w:r>
        <w:rPr>
          <w:rFonts w:hint="eastAsia" w:ascii="Times New Roman" w:hAnsi="Times New Roman" w:eastAsia="宋体" w:cs="Times New Roman"/>
          <w:b/>
          <w:bCs/>
          <w:color w:val="000000"/>
          <w:sz w:val="18"/>
          <w:szCs w:val="18"/>
          <w:lang w:bidi="ar"/>
        </w:rPr>
        <w:t>辅助原料供应表</w:t>
      </w:r>
    </w:p>
    <w:tbl>
      <w:tblPr>
        <w:tblStyle w:val="43"/>
        <w:tblW w:w="5000"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712"/>
        <w:gridCol w:w="2026"/>
        <w:gridCol w:w="1214"/>
        <w:gridCol w:w="1443"/>
        <w:gridCol w:w="3127"/>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435" w:hRule="atLeast"/>
        </w:trPr>
        <w:tc>
          <w:tcPr>
            <w:tcW w:w="425" w:type="pct"/>
            <w:tcBorders>
              <w:top w:val="single" w:color="FFFFFF" w:themeColor="background1" w:sz="4" w:space="0"/>
              <w:left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序号</w:t>
            </w:r>
          </w:p>
        </w:tc>
        <w:tc>
          <w:tcPr>
            <w:tcW w:w="1196" w:type="pct"/>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名称</w:t>
            </w:r>
          </w:p>
        </w:tc>
        <w:tc>
          <w:tcPr>
            <w:tcW w:w="685" w:type="pct"/>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装量（t）</w:t>
            </w:r>
          </w:p>
        </w:tc>
        <w:tc>
          <w:tcPr>
            <w:tcW w:w="853" w:type="pct"/>
            <w:tcBorders>
              <w:top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来源</w:t>
            </w:r>
          </w:p>
        </w:tc>
        <w:tc>
          <w:tcPr>
            <w:tcW w:w="1841" w:type="pct"/>
            <w:tcBorders>
              <w:top w:val="single" w:color="FFFFFF" w:themeColor="background1" w:sz="4" w:space="0"/>
              <w:right w:val="single" w:color="FFFFFF" w:themeColor="background1"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备注</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5" w:hRule="atLeast"/>
        </w:trPr>
        <w:tc>
          <w:tcPr>
            <w:tcW w:w="425" w:type="pct"/>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1</w:t>
            </w:r>
          </w:p>
        </w:tc>
        <w:tc>
          <w:tcPr>
            <w:tcW w:w="1196" w:type="pct"/>
            <w:shd w:val="clear" w:color="auto" w:fill="B4C6E7" w:themeFill="accent1" w:themeFillTint="66"/>
          </w:tcPr>
          <w:p>
            <w:pPr>
              <w:spacing w:before="0" w:beforeLines="0" w:after="0" w:afterLines="0"/>
              <w:jc w:val="center"/>
              <w:rPr>
                <w:rFonts w:ascii="Times New Roman" w:hAnsi="Times New Roman" w:cs="Times New Roman"/>
              </w:rPr>
            </w:pPr>
            <w:r>
              <w:rPr>
                <w:rFonts w:hint="eastAsia" w:ascii="Times New Roman" w:hAnsi="Times New Roman" w:cs="Times New Roman"/>
              </w:rPr>
              <w:t>磷酸</w:t>
            </w:r>
          </w:p>
        </w:tc>
        <w:tc>
          <w:tcPr>
            <w:tcW w:w="685" w:type="pct"/>
            <w:shd w:val="clear" w:color="auto" w:fill="B4C6E7" w:themeFill="accent1" w:themeFillTint="66"/>
          </w:tcPr>
          <w:p>
            <w:pPr>
              <w:spacing w:before="0" w:beforeLines="0" w:after="0" w:afterLines="0"/>
              <w:jc w:val="center"/>
              <w:rPr>
                <w:rFonts w:ascii="Times New Roman" w:hAnsi="Times New Roman" w:cs="Times New Roman"/>
              </w:rPr>
            </w:pPr>
            <w:r>
              <w:rPr>
                <w:rFonts w:ascii="Times New Roman" w:hAnsi="Times New Roman" w:cs="Times New Roman"/>
              </w:rPr>
              <w:t>0.96</w:t>
            </w:r>
          </w:p>
        </w:tc>
        <w:tc>
          <w:tcPr>
            <w:tcW w:w="853" w:type="pct"/>
            <w:shd w:val="clear" w:color="auto" w:fill="B4C6E7" w:themeFill="accent1" w:themeFillTint="66"/>
          </w:tcPr>
          <w:p>
            <w:pPr>
              <w:spacing w:before="0" w:beforeLines="0" w:after="0" w:afterLines="0"/>
              <w:jc w:val="center"/>
              <w:rPr>
                <w:rFonts w:ascii="Times New Roman" w:hAnsi="Times New Roman" w:cs="Times New Roman"/>
              </w:rPr>
            </w:pPr>
            <w:r>
              <w:rPr>
                <w:rFonts w:hint="eastAsia" w:ascii="Times New Roman" w:hAnsi="Times New Roman" w:cs="Times New Roman"/>
              </w:rPr>
              <w:t>外购</w:t>
            </w:r>
          </w:p>
        </w:tc>
        <w:tc>
          <w:tcPr>
            <w:tcW w:w="1841" w:type="pct"/>
            <w:shd w:val="clear" w:color="auto" w:fill="B4C6E7" w:themeFill="accent1" w:themeFillTint="66"/>
          </w:tcPr>
          <w:p>
            <w:pPr>
              <w:spacing w:before="0" w:beforeLines="0" w:after="0" w:afterLines="0"/>
              <w:jc w:val="center"/>
              <w:rPr>
                <w:rFonts w:ascii="Times New Roman" w:hAnsi="Times New Roman" w:cs="Times New Roman"/>
              </w:rPr>
            </w:pPr>
            <w:r>
              <w:rPr>
                <w:rFonts w:hint="eastAsia" w:ascii="Times New Roman" w:hAnsi="Times New Roman" w:cs="Times New Roman"/>
              </w:rPr>
              <w:t>重庆川东化工</w:t>
            </w:r>
            <w:r>
              <w:rPr>
                <w:rFonts w:ascii="Times New Roman" w:hAnsi="Times New Roman" w:cs="Times New Roman"/>
              </w:rPr>
              <w:t>有限公司</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5" w:hRule="atLeast"/>
        </w:trPr>
        <w:tc>
          <w:tcPr>
            <w:tcW w:w="425" w:type="pct"/>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2</w:t>
            </w:r>
          </w:p>
        </w:tc>
        <w:tc>
          <w:tcPr>
            <w:tcW w:w="1196"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工艺软水</w:t>
            </w:r>
          </w:p>
        </w:tc>
        <w:tc>
          <w:tcPr>
            <w:tcW w:w="685" w:type="pct"/>
            <w:shd w:val="clear" w:color="auto" w:fill="D9E2F3" w:themeFill="accent1" w:themeFillTint="33"/>
          </w:tcPr>
          <w:p>
            <w:pPr>
              <w:spacing w:before="0" w:beforeLines="0" w:after="0" w:afterLines="0"/>
              <w:jc w:val="center"/>
              <w:rPr>
                <w:rFonts w:ascii="Times New Roman" w:hAnsi="Times New Roman" w:cs="Times New Roman"/>
              </w:rPr>
            </w:pPr>
            <w:r>
              <w:rPr>
                <w:rFonts w:ascii="Times New Roman" w:hAnsi="Times New Roman" w:cs="Times New Roman"/>
              </w:rPr>
              <w:t>22160.4022</w:t>
            </w:r>
          </w:p>
        </w:tc>
        <w:tc>
          <w:tcPr>
            <w:tcW w:w="853"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园区供水</w:t>
            </w:r>
          </w:p>
        </w:tc>
        <w:tc>
          <w:tcPr>
            <w:tcW w:w="1841"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5" w:hRule="atLeast"/>
        </w:trPr>
        <w:tc>
          <w:tcPr>
            <w:tcW w:w="425" w:type="pct"/>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3</w:t>
            </w:r>
          </w:p>
        </w:tc>
        <w:tc>
          <w:tcPr>
            <w:tcW w:w="1196"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硫酸铝</w:t>
            </w:r>
          </w:p>
        </w:tc>
        <w:tc>
          <w:tcPr>
            <w:tcW w:w="685"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.72</w:t>
            </w:r>
          </w:p>
        </w:tc>
        <w:tc>
          <w:tcPr>
            <w:tcW w:w="853"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外购</w:t>
            </w:r>
          </w:p>
        </w:tc>
        <w:tc>
          <w:tcPr>
            <w:tcW w:w="1841"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重庆长鹏化工有限公司</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5" w:hRule="atLeast"/>
        </w:trPr>
        <w:tc>
          <w:tcPr>
            <w:tcW w:w="425" w:type="pct"/>
            <w:tcBorders>
              <w:left w:val="single" w:color="FFFFFF" w:themeColor="background1" w:sz="4" w:space="0"/>
              <w:bottom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bCs/>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4</w:t>
            </w:r>
          </w:p>
        </w:tc>
        <w:tc>
          <w:tcPr>
            <w:tcW w:w="1196"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硅藻土（载体）</w:t>
            </w:r>
          </w:p>
        </w:tc>
        <w:tc>
          <w:tcPr>
            <w:tcW w:w="685"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.216</w:t>
            </w:r>
          </w:p>
        </w:tc>
        <w:tc>
          <w:tcPr>
            <w:tcW w:w="853"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外购</w:t>
            </w:r>
          </w:p>
        </w:tc>
        <w:tc>
          <w:tcPr>
            <w:tcW w:w="1841" w:type="pct"/>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武汉卡诺斯科技有限公司</w:t>
            </w:r>
          </w:p>
        </w:tc>
      </w:tr>
      <w:bookmarkEnd w:id="55"/>
    </w:tbl>
    <w:p>
      <w:pPr>
        <w:pStyle w:val="3"/>
        <w:spacing w:before="156" w:after="156"/>
        <w:rPr>
          <w:rFonts w:ascii="Times New Roman" w:hAnsi="Times New Roman" w:eastAsia="宋体" w:cs="Times New Roman"/>
        </w:rPr>
      </w:pPr>
      <w:bookmarkStart w:id="56" w:name="_Toc141669999"/>
      <w:r>
        <w:rPr>
          <w:rFonts w:ascii="Times New Roman" w:hAnsi="Times New Roman" w:eastAsia="宋体" w:cs="Times New Roman"/>
        </w:rPr>
        <w:t>5.4 水、电、汽和其他动力供应</w:t>
      </w:r>
      <w:bookmarkEnd w:id="56"/>
    </w:p>
    <w:p>
      <w:pPr>
        <w:pStyle w:val="4"/>
        <w:spacing w:before="156" w:after="156"/>
        <w:rPr>
          <w:rFonts w:ascii="Times New Roman" w:hAnsi="Times New Roman" w:eastAsia="宋体" w:cs="Times New Roman"/>
        </w:rPr>
      </w:pPr>
      <w:bookmarkStart w:id="57" w:name="_Hlk133671495"/>
      <w:bookmarkStart w:id="58" w:name="_Toc141670000"/>
      <w:r>
        <w:rPr>
          <w:rFonts w:hint="eastAsia" w:ascii="Times New Roman" w:hAnsi="Times New Roman" w:eastAsia="宋体" w:cs="Times New Roman"/>
        </w:rPr>
        <w:t>5</w:t>
      </w:r>
      <w:r>
        <w:rPr>
          <w:rFonts w:ascii="Times New Roman" w:hAnsi="Times New Roman" w:eastAsia="宋体" w:cs="Times New Roman"/>
        </w:rPr>
        <w:t>.4.1</w:t>
      </w:r>
      <w:r>
        <w:rPr>
          <w:rFonts w:hint="eastAsia" w:ascii="Times New Roman" w:hAnsi="Times New Roman" w:eastAsia="宋体" w:cs="Times New Roman"/>
        </w:rPr>
        <w:t xml:space="preserve"> 主要公用工程来源分析（含公用工程供应协议及方案）</w:t>
      </w:r>
      <w:bookmarkEnd w:id="57"/>
      <w:bookmarkEnd w:id="58"/>
      <w:r>
        <w:rPr>
          <w:rFonts w:ascii="Times New Roman" w:hAnsi="Times New Roman" w:eastAsia="宋体" w:cs="Times New Roman"/>
        </w:rPr>
        <w:t xml:space="preserve"> </w:t>
      </w:r>
    </w:p>
    <w:p>
      <w:pPr>
        <w:spacing w:before="156" w:after="156"/>
      </w:pPr>
      <w:r>
        <w:tab/>
      </w:r>
      <w:r>
        <w:rPr>
          <w:rFonts w:hint="eastAsia"/>
        </w:rPr>
        <w:t>本厂生产过程需要用到冷却水、低压蒸汽、中压蒸汽、电等不同类型的公用工程。</w:t>
      </w:r>
    </w:p>
    <w:p>
      <w:pPr>
        <w:spacing w:before="156" w:after="156"/>
        <w:ind w:firstLine="420" w:firstLineChars="200"/>
      </w:pPr>
      <w:r>
        <w:rPr>
          <w:rFonts w:hint="eastAsia"/>
        </w:rPr>
        <w:t>供电：大区内建有聚龙电力</w:t>
      </w:r>
      <w:r>
        <w:t>220kV油房变电站、110kV哨楼变电站和国网220kV新立变电站，可实现双电源双回路供电，供电能力88亿度/年。</w:t>
      </w:r>
    </w:p>
    <w:p>
      <w:pPr>
        <w:spacing w:before="156" w:after="156"/>
        <w:ind w:firstLine="420" w:firstLineChars="200"/>
      </w:pPr>
      <w:r>
        <w:rPr>
          <w:rFonts w:hint="eastAsia"/>
        </w:rPr>
        <w:t>供汽：园区热岛装机容量为</w:t>
      </w:r>
      <w:r>
        <w:t xml:space="preserve">4台440T/h循环流化床锅炉+1台5万kw抽汽凝汽式发电机组+2台3万kw抽汽背压式发电机组，可为企业提供514T/h中压蒸汽、520T/h低压蒸汽、5.6万kw/h电力、90T/h除盐水，另华峰集团建有自备热电联产装置。 </w:t>
      </w:r>
    </w:p>
    <w:p>
      <w:pPr>
        <w:spacing w:before="156" w:after="156"/>
        <w:ind w:firstLine="420" w:firstLineChars="200"/>
      </w:pPr>
      <w:r>
        <w:rPr>
          <w:rFonts w:hint="eastAsia"/>
        </w:rPr>
        <w:t>供水：园区工业取、供水能力为</w:t>
      </w:r>
      <w:r>
        <w:t>20万吨/天。</w:t>
      </w:r>
    </w:p>
    <w:p>
      <w:pPr>
        <w:spacing w:before="156" w:after="156"/>
        <w:ind w:firstLine="420" w:firstLineChars="200"/>
      </w:pPr>
      <w:r>
        <w:rPr>
          <w:rFonts w:hint="eastAsia"/>
        </w:rPr>
        <w:t>供气：页岩气管输能力</w:t>
      </w:r>
      <w:r>
        <w:t>58亿立方米/年；配套中石化白涛园区增压站、重庆燃气集团配气站、四合燃气公司配气站、中石化重庆管道公司配气站、江汉油田天然气脱水站以及相应供气管网。</w:t>
      </w:r>
    </w:p>
    <w:p>
      <w:pPr>
        <w:spacing w:before="156" w:after="156"/>
        <w:ind w:firstLine="420" w:firstLineChars="200"/>
      </w:pPr>
      <w:r>
        <w:rPr>
          <w:rFonts w:hint="eastAsia"/>
        </w:rPr>
        <w:t>本项目产品范围：低压蒸汽、中压蒸汽、循环冷却水、冷冻盐水、三氟甲烷、工业用电、仪表空气、氮气、烟道气。</w:t>
      </w:r>
    </w:p>
    <w:p>
      <w:pPr>
        <w:spacing w:before="156" w:after="156"/>
        <w:ind w:firstLine="420" w:firstLineChars="200"/>
      </w:pPr>
      <w:r>
        <w:rPr>
          <w:rFonts w:hint="eastAsia"/>
        </w:rPr>
        <w:t>本项目已与重庆白涛化工业园签订了如下公用工程供应协议，如下图</w:t>
      </w:r>
      <w:r>
        <w:t>所示，详见附件《公用工程供应协议及方案》。</w:t>
      </w:r>
    </w:p>
    <w:p>
      <w:pPr>
        <w:spacing w:before="156" w:after="156"/>
        <w:ind w:firstLine="420" w:firstLineChars="200"/>
        <w:jc w:val="center"/>
      </w:pPr>
      <w:r>
        <w:drawing>
          <wp:inline distT="0" distB="0" distL="0" distR="0">
            <wp:extent cx="4988560" cy="347218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988645" cy="3472643"/>
                    </a:xfrm>
                    <a:prstGeom prst="rect">
                      <a:avLst/>
                    </a:prstGeom>
                    <a:noFill/>
                    <a:ln>
                      <a:noFill/>
                    </a:ln>
                  </pic:spPr>
                </pic:pic>
              </a:graphicData>
            </a:graphic>
          </wp:inline>
        </w:drawing>
      </w:r>
    </w:p>
    <w:p>
      <w:pPr>
        <w:spacing w:before="156" w:after="156"/>
        <w:ind w:firstLine="361" w:firstLineChars="200"/>
        <w:jc w:val="center"/>
        <w:rPr>
          <w:b/>
          <w:sz w:val="18"/>
          <w:szCs w:val="18"/>
        </w:rPr>
      </w:pPr>
      <w:r>
        <w:rPr>
          <w:rFonts w:hint="eastAsia"/>
          <w:b/>
          <w:sz w:val="18"/>
          <w:szCs w:val="18"/>
        </w:rPr>
        <w:t>图5</w:t>
      </w:r>
      <w:r>
        <w:rPr>
          <w:b/>
          <w:sz w:val="18"/>
          <w:szCs w:val="18"/>
        </w:rPr>
        <w:t xml:space="preserve">-1 </w:t>
      </w:r>
      <w:r>
        <w:rPr>
          <w:rFonts w:hint="eastAsia"/>
          <w:b/>
          <w:sz w:val="18"/>
          <w:szCs w:val="18"/>
        </w:rPr>
        <w:t>公用工程供应协议及方案</w:t>
      </w:r>
    </w:p>
    <w:p>
      <w:pPr>
        <w:pStyle w:val="4"/>
        <w:spacing w:before="156" w:after="156"/>
        <w:rPr>
          <w:rFonts w:ascii="Times New Roman" w:hAnsi="Times New Roman" w:eastAsia="宋体" w:cs="Times New Roman"/>
        </w:rPr>
      </w:pPr>
      <w:bookmarkStart w:id="59" w:name="_Toc141670001"/>
      <w:r>
        <w:rPr>
          <w:rFonts w:hint="eastAsia" w:ascii="Times New Roman" w:hAnsi="Times New Roman" w:eastAsia="宋体" w:cs="Times New Roman"/>
        </w:rPr>
        <w:t>5</w:t>
      </w:r>
      <w:r>
        <w:rPr>
          <w:rFonts w:ascii="Times New Roman" w:hAnsi="Times New Roman" w:eastAsia="宋体" w:cs="Times New Roman"/>
        </w:rPr>
        <w:t>.4.2</w:t>
      </w:r>
      <w:r>
        <w:rPr>
          <w:rFonts w:hint="eastAsia" w:ascii="Times New Roman" w:hAnsi="Times New Roman" w:eastAsia="宋体" w:cs="Times New Roman"/>
        </w:rPr>
        <w:t xml:space="preserve"> 公用工程需求表</w:t>
      </w:r>
      <w:bookmarkEnd w:id="59"/>
    </w:p>
    <w:p>
      <w:pPr>
        <w:spacing w:before="156" w:after="156"/>
        <w:ind w:firstLine="420"/>
      </w:pPr>
      <w:r>
        <w:rPr>
          <w:rFonts w:hint="eastAsia"/>
        </w:rPr>
        <w:t>年公用工程消耗见表</w:t>
      </w:r>
      <w:r>
        <w:t>5-5。</w:t>
      </w:r>
    </w:p>
    <w:p>
      <w:pPr>
        <w:spacing w:before="156" w:after="156"/>
        <w:ind w:firstLine="420"/>
        <w:jc w:val="center"/>
        <w:rPr>
          <w:b/>
          <w:sz w:val="18"/>
          <w:szCs w:val="18"/>
        </w:rPr>
      </w:pPr>
      <w:r>
        <w:rPr>
          <w:rFonts w:hint="eastAsia"/>
          <w:b/>
          <w:sz w:val="18"/>
          <w:szCs w:val="18"/>
        </w:rPr>
        <w:t>表5</w:t>
      </w:r>
      <w:r>
        <w:rPr>
          <w:b/>
          <w:sz w:val="18"/>
          <w:szCs w:val="18"/>
        </w:rPr>
        <w:t xml:space="preserve">-5 </w:t>
      </w:r>
      <w:r>
        <w:rPr>
          <w:rFonts w:hint="eastAsia"/>
          <w:b/>
          <w:sz w:val="18"/>
          <w:szCs w:val="18"/>
        </w:rPr>
        <w:t>年公用工程消耗表</w:t>
      </w:r>
    </w:p>
    <w:tbl>
      <w:tblPr>
        <w:tblStyle w:val="23"/>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1040"/>
        <w:gridCol w:w="1308"/>
        <w:gridCol w:w="1880"/>
        <w:gridCol w:w="986"/>
        <w:gridCol w:w="2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restart"/>
            <w:shd w:val="clear" w:color="000000" w:fill="4472C4"/>
            <w:vAlign w:val="center"/>
          </w:tcPr>
          <w:p>
            <w:pPr>
              <w:widowControl/>
              <w:autoSpaceDE/>
              <w:autoSpaceDN/>
              <w:spacing w:before="0" w:beforeLines="0" w:after="0" w:afterLines="0"/>
              <w:jc w:val="center"/>
              <w:rPr>
                <w:rFonts w:ascii="宋体" w:hAnsi="宋体" w:cs="宋体"/>
                <w:b/>
                <w:bCs/>
                <w:color w:val="FFFFFF"/>
                <w:sz w:val="20"/>
                <w:szCs w:val="20"/>
              </w:rPr>
            </w:pPr>
            <w:bookmarkStart w:id="60" w:name="_Hlk141661225"/>
            <w:r>
              <w:tab/>
            </w:r>
            <w:bookmarkStart w:id="61" w:name="_Hlk140515825"/>
            <w:r>
              <w:rPr>
                <w:rFonts w:hint="eastAsia" w:ascii="宋体" w:hAnsi="宋体" w:cs="宋体"/>
                <w:b/>
                <w:bCs/>
                <w:color w:val="FFFFFF"/>
                <w:sz w:val="20"/>
                <w:szCs w:val="20"/>
              </w:rPr>
              <w:t>公用工程名称</w:t>
            </w:r>
          </w:p>
        </w:tc>
        <w:tc>
          <w:tcPr>
            <w:tcW w:w="1040" w:type="dxa"/>
            <w:vMerge w:val="restart"/>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单位</w:t>
            </w:r>
          </w:p>
        </w:tc>
        <w:tc>
          <w:tcPr>
            <w:tcW w:w="3188" w:type="dxa"/>
            <w:gridSpan w:val="2"/>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消耗</w:t>
            </w:r>
          </w:p>
        </w:tc>
        <w:tc>
          <w:tcPr>
            <w:tcW w:w="986" w:type="dxa"/>
            <w:vMerge w:val="restart"/>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r>
              <w:rPr>
                <w:rFonts w:hint="eastAsia" w:ascii="宋体" w:hAnsi="宋体" w:cs="Times New Roman"/>
                <w:b/>
                <w:bCs/>
                <w:color w:val="FFFFFF"/>
                <w:sz w:val="20"/>
                <w:szCs w:val="20"/>
              </w:rPr>
              <w:t>使用方式</w:t>
            </w:r>
          </w:p>
        </w:tc>
        <w:tc>
          <w:tcPr>
            <w:tcW w:w="2100" w:type="dxa"/>
            <w:vMerge w:val="restart"/>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r>
              <w:rPr>
                <w:rFonts w:hint="eastAsia" w:ascii="宋体" w:hAnsi="宋体" w:cs="Times New Roman"/>
                <w:b/>
                <w:bCs/>
                <w:color w:val="FFFFFF"/>
                <w:sz w:val="20"/>
                <w:szCs w:val="20"/>
              </w:rPr>
              <w:t>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vMerge w:val="continue"/>
            <w:vAlign w:val="center"/>
          </w:tcPr>
          <w:p>
            <w:pPr>
              <w:widowControl/>
              <w:autoSpaceDE/>
              <w:autoSpaceDN/>
              <w:spacing w:before="0" w:beforeLines="0" w:after="0" w:afterLines="0"/>
              <w:jc w:val="center"/>
              <w:rPr>
                <w:rFonts w:ascii="宋体" w:hAnsi="宋体" w:cs="宋体"/>
                <w:b/>
                <w:bCs/>
                <w:color w:val="FFFFFF"/>
                <w:sz w:val="20"/>
                <w:szCs w:val="20"/>
              </w:rPr>
            </w:pPr>
          </w:p>
        </w:tc>
        <w:tc>
          <w:tcPr>
            <w:tcW w:w="1040" w:type="dxa"/>
            <w:vMerge w:val="continue"/>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p>
        </w:tc>
        <w:tc>
          <w:tcPr>
            <w:tcW w:w="1308" w:type="dxa"/>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小时耗量</w:t>
            </w:r>
          </w:p>
        </w:tc>
        <w:tc>
          <w:tcPr>
            <w:tcW w:w="1880" w:type="dxa"/>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 w:val="20"/>
                <w:szCs w:val="20"/>
              </w:rPr>
            </w:pPr>
            <w:r>
              <w:rPr>
                <w:rFonts w:hint="eastAsia" w:ascii="宋体" w:hAnsi="宋体" w:cs="Times New Roman"/>
                <w:b/>
                <w:bCs/>
                <w:color w:val="FFFFFF"/>
                <w:sz w:val="20"/>
                <w:szCs w:val="20"/>
              </w:rPr>
              <w:t>年耗量</w:t>
            </w:r>
          </w:p>
        </w:tc>
        <w:tc>
          <w:tcPr>
            <w:tcW w:w="986" w:type="dxa"/>
            <w:vMerge w:val="continue"/>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p>
        </w:tc>
        <w:tc>
          <w:tcPr>
            <w:tcW w:w="2100" w:type="dxa"/>
            <w:vMerge w:val="continue"/>
            <w:shd w:val="clear" w:color="000000" w:fill="4472C4"/>
            <w:vAlign w:val="center"/>
          </w:tcPr>
          <w:p>
            <w:pPr>
              <w:widowControl/>
              <w:autoSpaceDE/>
              <w:autoSpaceDN/>
              <w:spacing w:before="0" w:beforeLines="0" w:after="0" w:afterLines="0"/>
              <w:jc w:val="center"/>
              <w:rPr>
                <w:rFonts w:ascii="宋体" w:hAnsi="宋体" w:cs="Times New Roman"/>
                <w:b/>
                <w:bCs/>
                <w:color w:val="FFFFFF"/>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电</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kW·h/a</w:t>
            </w:r>
          </w:p>
        </w:tc>
        <w:tc>
          <w:tcPr>
            <w:tcW w:w="1308" w:type="dxa"/>
            <w:shd w:val="clear" w:color="auto" w:fill="auto"/>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7834.99836</w:t>
            </w:r>
          </w:p>
        </w:tc>
        <w:tc>
          <w:tcPr>
            <w:tcW w:w="1880" w:type="dxa"/>
            <w:shd w:val="clear" w:color="auto" w:fill="auto"/>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62679986.88</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三氟甲烷</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4.32861021</w:t>
            </w:r>
          </w:p>
        </w:tc>
        <w:tc>
          <w:tcPr>
            <w:tcW w:w="1880" w:type="dxa"/>
            <w:shd w:val="clear" w:color="000000" w:fill="D9E1F2"/>
            <w:noWrap/>
          </w:tcPr>
          <w:p>
            <w:pPr>
              <w:widowControl/>
              <w:autoSpaceDE/>
              <w:autoSpaceDN/>
              <w:spacing w:before="0" w:beforeLines="0" w:after="0" w:afterLines="0"/>
              <w:jc w:val="center"/>
              <w:rPr>
                <w:rFonts w:ascii="等线" w:hAnsi="等线" w:eastAsia="等线" w:cs="宋体"/>
                <w:color w:val="000000"/>
                <w:sz w:val="20"/>
                <w:szCs w:val="20"/>
              </w:rPr>
            </w:pPr>
            <w:r>
              <w:rPr>
                <w:rFonts w:ascii="等线" w:hAnsi="等线" w:eastAsia="等线" w:cs="宋体"/>
                <w:color w:val="000000"/>
                <w:sz w:val="20"/>
                <w:szCs w:val="20"/>
              </w:rPr>
              <w:t>34628.88168</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0.25MPa</w:t>
            </w:r>
            <w:r>
              <w:rPr>
                <w:rFonts w:hint="eastAsia" w:ascii="宋体" w:hAnsi="宋体" w:cs="宋体"/>
                <w:color w:val="000000"/>
                <w:sz w:val="20"/>
                <w:szCs w:val="20"/>
              </w:rPr>
              <w:t>低压蒸汽</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4MPa中压蒸汽</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总厂区共用动力站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20℃</w:t>
            </w:r>
            <w:r>
              <w:rPr>
                <w:rFonts w:hint="eastAsia" w:ascii="宋体" w:hAnsi="宋体" w:cs="宋体"/>
                <w:color w:val="000000"/>
                <w:sz w:val="20"/>
                <w:szCs w:val="20"/>
              </w:rPr>
              <w:t>冷却水</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总厂区共用冷冻站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-25℃冷冻盐水</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总厂区公用冷冻站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宋体" w:hAnsi="宋体" w:cs="宋体"/>
                <w:color w:val="000000"/>
                <w:sz w:val="20"/>
                <w:szCs w:val="20"/>
              </w:rPr>
              <w:t>氮气</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间歇</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总厂区公用空分系统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仪表空气</w:t>
            </w:r>
          </w:p>
        </w:tc>
        <w:tc>
          <w:tcPr>
            <w:tcW w:w="104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Nm3/a</w:t>
            </w:r>
          </w:p>
        </w:tc>
        <w:tc>
          <w:tcPr>
            <w:tcW w:w="1308"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880" w:type="dxa"/>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986"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shd w:val="clear" w:color="000000" w:fill="D9E1F2"/>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总厂区空压系统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32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烟道气</w:t>
            </w:r>
          </w:p>
        </w:tc>
        <w:tc>
          <w:tcPr>
            <w:tcW w:w="104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t/a</w:t>
            </w:r>
          </w:p>
        </w:tc>
        <w:tc>
          <w:tcPr>
            <w:tcW w:w="1308"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880" w:type="dxa"/>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986"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2100" w:type="dxa"/>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总厂区公用动力站</w:t>
            </w:r>
          </w:p>
        </w:tc>
      </w:tr>
      <w:bookmarkEnd w:id="60"/>
      <w:bookmarkEnd w:id="61"/>
    </w:tbl>
    <w:p>
      <w:pPr>
        <w:spacing w:before="156" w:after="156"/>
      </w:pPr>
    </w:p>
    <w:p>
      <w:pPr>
        <w:spacing w:before="156" w:after="156"/>
        <w:ind w:firstLine="420"/>
      </w:pPr>
      <w:r>
        <w:rPr>
          <w:rFonts w:hint="eastAsia"/>
        </w:rPr>
        <w:t>每吨产品能耗表如下表</w:t>
      </w:r>
      <w:r>
        <w:t>5-7所示</w:t>
      </w:r>
    </w:p>
    <w:p>
      <w:pPr>
        <w:spacing w:before="156" w:after="156"/>
        <w:ind w:firstLine="420"/>
        <w:jc w:val="center"/>
        <w:rPr>
          <w:b/>
          <w:sz w:val="18"/>
          <w:szCs w:val="18"/>
        </w:rPr>
      </w:pPr>
      <w:r>
        <w:rPr>
          <w:rFonts w:hint="eastAsia"/>
          <w:b/>
          <w:sz w:val="18"/>
          <w:szCs w:val="18"/>
        </w:rPr>
        <w:t>表</w:t>
      </w:r>
      <w:r>
        <w:rPr>
          <w:b/>
          <w:sz w:val="18"/>
          <w:szCs w:val="18"/>
        </w:rPr>
        <w:t>5-7每吨产品能耗表</w:t>
      </w:r>
    </w:p>
    <w:tbl>
      <w:tblPr>
        <w:tblStyle w:val="23"/>
        <w:tblW w:w="11501" w:type="dxa"/>
        <w:jc w:val="center"/>
        <w:tblLayout w:type="autofit"/>
        <w:tblCellMar>
          <w:top w:w="0" w:type="dxa"/>
          <w:left w:w="108" w:type="dxa"/>
          <w:bottom w:w="0" w:type="dxa"/>
          <w:right w:w="108" w:type="dxa"/>
        </w:tblCellMar>
      </w:tblPr>
      <w:tblGrid>
        <w:gridCol w:w="2041"/>
        <w:gridCol w:w="1040"/>
        <w:gridCol w:w="1308"/>
        <w:gridCol w:w="1564"/>
        <w:gridCol w:w="1276"/>
        <w:gridCol w:w="1424"/>
        <w:gridCol w:w="1424"/>
        <w:gridCol w:w="1424"/>
      </w:tblGrid>
      <w:tr>
        <w:tblPrEx>
          <w:tblCellMar>
            <w:top w:w="0" w:type="dxa"/>
            <w:left w:w="108" w:type="dxa"/>
            <w:bottom w:w="0" w:type="dxa"/>
            <w:right w:w="108" w:type="dxa"/>
          </w:tblCellMar>
        </w:tblPrEx>
        <w:trPr>
          <w:trHeight w:val="280" w:hRule="atLeast"/>
          <w:jc w:val="center"/>
        </w:trPr>
        <w:tc>
          <w:tcPr>
            <w:tcW w:w="2041" w:type="dxa"/>
            <w:vMerge w:val="restart"/>
            <w:tcBorders>
              <w:top w:val="single" w:color="auto" w:sz="4" w:space="0"/>
              <w:left w:val="single" w:color="auto" w:sz="4" w:space="0"/>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公用工程名称</w:t>
            </w:r>
          </w:p>
        </w:tc>
        <w:tc>
          <w:tcPr>
            <w:tcW w:w="1040" w:type="dxa"/>
            <w:vMerge w:val="restart"/>
            <w:tcBorders>
              <w:top w:val="single" w:color="auto" w:sz="4" w:space="0"/>
              <w:left w:val="single" w:color="auto" w:sz="4" w:space="0"/>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单位</w:t>
            </w:r>
          </w:p>
        </w:tc>
        <w:tc>
          <w:tcPr>
            <w:tcW w:w="2872" w:type="dxa"/>
            <w:gridSpan w:val="2"/>
            <w:tcBorders>
              <w:top w:val="single" w:color="auto" w:sz="4" w:space="0"/>
              <w:left w:val="nil"/>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消耗</w:t>
            </w:r>
          </w:p>
        </w:tc>
        <w:tc>
          <w:tcPr>
            <w:tcW w:w="2700" w:type="dxa"/>
            <w:gridSpan w:val="2"/>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折算当量标煤系数</w:t>
            </w:r>
          </w:p>
        </w:tc>
        <w:tc>
          <w:tcPr>
            <w:tcW w:w="142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单位能耗</w:t>
            </w:r>
          </w:p>
        </w:tc>
        <w:tc>
          <w:tcPr>
            <w:tcW w:w="142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折算能耗</w:t>
            </w:r>
          </w:p>
        </w:tc>
      </w:tr>
      <w:tr>
        <w:tblPrEx>
          <w:tblCellMar>
            <w:top w:w="0" w:type="dxa"/>
            <w:left w:w="108" w:type="dxa"/>
            <w:bottom w:w="0" w:type="dxa"/>
            <w:right w:w="108" w:type="dxa"/>
          </w:tblCellMar>
        </w:tblPrEx>
        <w:trPr>
          <w:trHeight w:val="280" w:hRule="atLeast"/>
          <w:jc w:val="center"/>
        </w:trPr>
        <w:tc>
          <w:tcPr>
            <w:tcW w:w="204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宋体" w:hAnsi="宋体" w:cs="宋体"/>
                <w:b/>
                <w:bCs/>
                <w:color w:val="FFFFFF"/>
                <w:szCs w:val="21"/>
              </w:rPr>
            </w:pPr>
          </w:p>
        </w:tc>
        <w:tc>
          <w:tcPr>
            <w:tcW w:w="1040"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Times New Roman" w:hAnsi="Times New Roman" w:eastAsia="等线" w:cs="Times New Roman"/>
                <w:b/>
                <w:bCs/>
                <w:color w:val="FFFFFF"/>
                <w:szCs w:val="21"/>
              </w:rPr>
            </w:pPr>
          </w:p>
        </w:tc>
        <w:tc>
          <w:tcPr>
            <w:tcW w:w="1308" w:type="dxa"/>
            <w:tcBorders>
              <w:top w:val="nil"/>
              <w:left w:val="nil"/>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小时耗量</w:t>
            </w:r>
          </w:p>
        </w:tc>
        <w:tc>
          <w:tcPr>
            <w:tcW w:w="1564" w:type="dxa"/>
            <w:tcBorders>
              <w:top w:val="nil"/>
              <w:left w:val="nil"/>
              <w:bottom w:val="single" w:color="auto" w:sz="4" w:space="0"/>
              <w:right w:val="single" w:color="auto" w:sz="4"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年耗量</w:t>
            </w:r>
          </w:p>
        </w:tc>
        <w:tc>
          <w:tcPr>
            <w:tcW w:w="1276"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单位</w:t>
            </w:r>
          </w:p>
        </w:tc>
        <w:tc>
          <w:tcPr>
            <w:tcW w:w="1424"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数量</w:t>
            </w:r>
          </w:p>
        </w:tc>
        <w:tc>
          <w:tcPr>
            <w:tcW w:w="1424"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kgce/t</w:t>
            </w:r>
          </w:p>
        </w:tc>
        <w:tc>
          <w:tcPr>
            <w:tcW w:w="1424"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kgce/a</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三氟甲烷</w:t>
            </w:r>
          </w:p>
        </w:tc>
        <w:tc>
          <w:tcPr>
            <w:tcW w:w="1040" w:type="dxa"/>
            <w:tcBorders>
              <w:top w:val="nil"/>
              <w:left w:val="nil"/>
              <w:bottom w:val="single" w:color="auto" w:sz="4" w:space="0"/>
              <w:right w:val="single" w:color="auto" w:sz="4"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4.32861021</w:t>
            </w:r>
          </w:p>
        </w:tc>
        <w:tc>
          <w:tcPr>
            <w:tcW w:w="156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34628.88168</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0.529</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0.141 </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18318.68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宋体" w:hAnsi="宋体" w:cs="宋体"/>
                <w:color w:val="000000"/>
                <w:sz w:val="22"/>
              </w:rPr>
              <w:t>电</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kW·h/a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7834.99836</w:t>
            </w:r>
          </w:p>
        </w:tc>
        <w:tc>
          <w:tcPr>
            <w:tcW w:w="156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62679986.88</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kgce/kW·h</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0.1229</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59.088 </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7703370.39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0.25MPa低压蒸汽</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56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94.63</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581.605 </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75824614.64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4MPa中压蒸汽</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56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125.7</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4128.886305</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538288484.8</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20℃冷却水</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56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0.1429</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17.216 </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2244445.50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-25℃冷冻盐水</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56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0.13853</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0.03806899</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4963.10561</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氮气</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56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kgce/Nm3</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0.4</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0.193 </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25120.00 </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仪表空气</w:t>
            </w:r>
          </w:p>
        </w:tc>
        <w:tc>
          <w:tcPr>
            <w:tcW w:w="10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13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56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kgce/Nm3</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0.04</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0.014727162</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1920</w:t>
            </w:r>
          </w:p>
        </w:tc>
      </w:tr>
      <w:tr>
        <w:tblPrEx>
          <w:tblCellMar>
            <w:top w:w="0" w:type="dxa"/>
            <w:left w:w="108" w:type="dxa"/>
            <w:bottom w:w="0" w:type="dxa"/>
            <w:right w:w="108" w:type="dxa"/>
          </w:tblCellMar>
        </w:tblPrEx>
        <w:trPr>
          <w:trHeight w:val="280" w:hRule="atLeast"/>
          <w:jc w:val="center"/>
        </w:trPr>
        <w:tc>
          <w:tcPr>
            <w:tcW w:w="204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烟道气</w:t>
            </w:r>
          </w:p>
        </w:tc>
        <w:tc>
          <w:tcPr>
            <w:tcW w:w="10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13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56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kgce/t</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20.79450788</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183.678 </w:t>
            </w:r>
          </w:p>
        </w:tc>
        <w:tc>
          <w:tcPr>
            <w:tcW w:w="14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23946349.57 </w:t>
            </w:r>
          </w:p>
        </w:tc>
      </w:tr>
      <w:tr>
        <w:tblPrEx>
          <w:tblCellMar>
            <w:top w:w="0" w:type="dxa"/>
            <w:left w:w="108" w:type="dxa"/>
            <w:bottom w:w="0" w:type="dxa"/>
            <w:right w:w="108" w:type="dxa"/>
          </w:tblCellMar>
        </w:tblPrEx>
        <w:trPr>
          <w:trHeight w:val="280" w:hRule="atLeast"/>
          <w:jc w:val="center"/>
        </w:trPr>
        <w:tc>
          <w:tcPr>
            <w:tcW w:w="8653"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4970.718368</w:t>
            </w:r>
          </w:p>
        </w:tc>
        <w:tc>
          <w:tcPr>
            <w:tcW w:w="14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648039268</w:t>
            </w:r>
          </w:p>
        </w:tc>
      </w:tr>
    </w:tbl>
    <w:p>
      <w:pPr>
        <w:spacing w:before="156" w:after="156"/>
        <w:ind w:firstLine="420"/>
      </w:pPr>
    </w:p>
    <w:p>
      <w:pPr>
        <w:spacing w:before="156" w:after="156"/>
        <w:ind w:firstLine="420"/>
      </w:pPr>
    </w:p>
    <w:p>
      <w:pPr>
        <w:pStyle w:val="2"/>
        <w:spacing w:before="156" w:after="156"/>
        <w:rPr>
          <w:rFonts w:ascii="Times New Roman" w:hAnsi="Times New Roman" w:eastAsia="宋体" w:cs="Times New Roman"/>
        </w:rPr>
      </w:pPr>
      <w:bookmarkStart w:id="62" w:name="_Toc141670002"/>
      <w:r>
        <w:rPr>
          <w:rFonts w:ascii="Times New Roman" w:hAnsi="Times New Roman" w:eastAsia="宋体" w:cs="Times New Roman"/>
          <w:color w:val="000000" w:themeColor="text1"/>
          <w14:textFill>
            <w14:solidFill>
              <w14:schemeClr w14:val="tx1"/>
            </w14:solidFill>
          </w14:textFill>
        </w:rPr>
        <w:t>第六章 建厂条件和厂址选择</w:t>
      </w:r>
      <w:bookmarkEnd w:id="62"/>
    </w:p>
    <w:p>
      <w:pPr>
        <w:pStyle w:val="3"/>
        <w:spacing w:before="156" w:after="156"/>
        <w:rPr>
          <w:rFonts w:ascii="Times New Roman" w:hAnsi="Times New Roman" w:eastAsia="宋体" w:cs="Times New Roman"/>
        </w:rPr>
      </w:pPr>
      <w:bookmarkStart w:id="63" w:name="_Toc141670003"/>
      <w:r>
        <w:rPr>
          <w:rFonts w:ascii="Times New Roman" w:hAnsi="Times New Roman" w:eastAsia="宋体" w:cs="Times New Roman"/>
        </w:rPr>
        <w:t>6.1 建厂条件</w:t>
      </w:r>
      <w:bookmarkEnd w:id="63"/>
    </w:p>
    <w:p>
      <w:pPr>
        <w:pStyle w:val="4"/>
        <w:spacing w:before="156" w:after="156"/>
        <w:rPr>
          <w:rFonts w:ascii="Times New Roman" w:hAnsi="Times New Roman" w:eastAsia="宋体" w:cs="Times New Roman"/>
        </w:rPr>
      </w:pPr>
      <w:bookmarkStart w:id="64" w:name="_Toc141670004"/>
      <w:r>
        <w:rPr>
          <w:rFonts w:ascii="Times New Roman" w:hAnsi="Times New Roman" w:eastAsia="宋体" w:cs="Times New Roman"/>
        </w:rPr>
        <w:t>6.1.1</w:t>
      </w:r>
      <w:r>
        <w:rPr>
          <w:rFonts w:hint="eastAsia" w:ascii="Times New Roman" w:hAnsi="Times New Roman" w:eastAsia="宋体" w:cs="Times New Roman"/>
        </w:rPr>
        <w:t xml:space="preserve"> 建厂地点自然条件</w:t>
      </w:r>
      <w:bookmarkEnd w:id="64"/>
    </w:p>
    <w:p>
      <w:pPr>
        <w:spacing w:before="156" w:after="156"/>
        <w:ind w:firstLine="420"/>
        <w:rPr>
          <w:rFonts w:ascii="宋体" w:hAnsi="宋体" w:cs="Times New Roman"/>
        </w:rPr>
      </w:pPr>
      <w:bookmarkStart w:id="65" w:name="_Hlk139319172"/>
      <w:r>
        <w:rPr>
          <w:rFonts w:hint="eastAsia" w:ascii="宋体" w:hAnsi="宋体" w:cs="Times New Roman"/>
        </w:rPr>
        <w:t>重庆白涛化工园区是重庆市特色工业园区规划建设领导小组批准设立的市级特色工业园区，是重庆市政府规划建设的三大化工园区之一。园区地处涪陵区白涛街道，位于风景秀丽的乌江之畔，规划面积</w:t>
      </w:r>
      <w:r>
        <w:rPr>
          <w:rFonts w:ascii="宋体" w:hAnsi="宋体" w:cs="Times New Roman"/>
        </w:rPr>
        <w:t>15平方公里，其中启动区面积为建峰化工厂现有建设用地约6平方公里。</w:t>
      </w:r>
    </w:p>
    <w:p>
      <w:pPr>
        <w:spacing w:before="156" w:after="156"/>
        <w:ind w:firstLine="420"/>
        <w:rPr>
          <w:rFonts w:ascii="宋体" w:hAnsi="宋体" w:cs="Times New Roman"/>
        </w:rPr>
      </w:pPr>
      <w:r>
        <w:rPr>
          <w:rFonts w:hint="eastAsia" w:ascii="宋体" w:hAnsi="宋体" w:cs="Times New Roman"/>
        </w:rPr>
        <w:t>白涛园区距重庆江北机场</w:t>
      </w:r>
      <w:r>
        <w:rPr>
          <w:rFonts w:ascii="宋体" w:hAnsi="宋体" w:cs="Times New Roman"/>
        </w:rPr>
        <w:t>130公里，距涪陵城区30公里，背靠亚洲最大的页岩气产地涪陵焦石页岩气田，毗邻长乌江黄金水道，能源保障充足，物流运输便捷。园区核心区域距乌江5公里以上，被小山丘自然隔断，拥有天然的环保屏障，环保容量大，是发展化工新材料产业的理想之地。</w:t>
      </w:r>
    </w:p>
    <w:bookmarkEnd w:id="65"/>
    <w:p>
      <w:pPr>
        <w:pStyle w:val="4"/>
        <w:spacing w:before="156" w:after="156"/>
        <w:rPr>
          <w:rFonts w:ascii="Times New Roman" w:hAnsi="Times New Roman" w:eastAsia="宋体" w:cs="Times New Roman"/>
        </w:rPr>
      </w:pPr>
      <w:bookmarkStart w:id="66" w:name="_Toc141670005"/>
      <w:r>
        <w:rPr>
          <w:rFonts w:ascii="Times New Roman" w:hAnsi="Times New Roman" w:eastAsia="宋体" w:cs="Times New Roman"/>
        </w:rPr>
        <w:t>6.1.2 外部交通运输状况</w:t>
      </w:r>
      <w:bookmarkEnd w:id="66"/>
    </w:p>
    <w:p>
      <w:pPr>
        <w:spacing w:before="156" w:after="156"/>
        <w:ind w:firstLine="420" w:firstLineChars="200"/>
        <w:rPr>
          <w:rFonts w:ascii="Times New Roman" w:hAnsi="Times New Roman" w:cs="Times New Roman"/>
        </w:rPr>
      </w:pPr>
      <w:r>
        <w:rPr>
          <w:rFonts w:hint="eastAsia" w:ascii="Times New Roman" w:hAnsi="Times New Roman" w:cs="Times New Roman"/>
        </w:rPr>
        <w:t>重庆白涛化工园区</w:t>
      </w:r>
      <w:r>
        <w:rPr>
          <w:rFonts w:ascii="Times New Roman" w:hAnsi="Times New Roman" w:cs="Times New Roman"/>
        </w:rPr>
        <w:t>的交通条件优越，交通网络比较完善</w:t>
      </w:r>
      <w:r>
        <w:rPr>
          <w:rFonts w:hint="eastAsia" w:ascii="Times New Roman" w:hAnsi="Times New Roman" w:cs="Times New Roman"/>
        </w:rPr>
        <w:t>。</w:t>
      </w:r>
    </w:p>
    <w:p>
      <w:pPr>
        <w:spacing w:before="156" w:after="156"/>
        <w:ind w:firstLine="420" w:firstLineChars="200"/>
        <w:jc w:val="center"/>
        <w:rPr>
          <w:rFonts w:ascii="Times New Roman" w:hAnsi="Times New Roman" w:cs="Times New Roman"/>
        </w:rPr>
      </w:pPr>
      <w:r>
        <w:rPr>
          <w:rFonts w:ascii="Times New Roman" w:hAnsi="Times New Roman" w:cs="Times New Roman"/>
          <w:kern w:val="2"/>
          <w:szCs w:val="21"/>
        </w:rPr>
        <w:drawing>
          <wp:inline distT="0" distB="0" distL="0" distR="0">
            <wp:extent cx="4391025" cy="32289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391025" cy="3228975"/>
                    </a:xfrm>
                    <a:prstGeom prst="rect">
                      <a:avLst/>
                    </a:prstGeom>
                    <a:noFill/>
                  </pic:spPr>
                </pic:pic>
              </a:graphicData>
            </a:graphic>
          </wp:inline>
        </w:drawing>
      </w:r>
    </w:p>
    <w:p>
      <w:pPr>
        <w:spacing w:before="156" w:after="156"/>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图6</w:t>
      </w:r>
      <w:r>
        <w:rPr>
          <w:rFonts w:ascii="Times New Roman" w:hAnsi="Times New Roman" w:cs="Times New Roman"/>
          <w:b/>
          <w:sz w:val="18"/>
          <w:szCs w:val="18"/>
        </w:rPr>
        <w:t xml:space="preserve">-1-1 </w:t>
      </w:r>
      <w:r>
        <w:rPr>
          <w:rFonts w:hint="eastAsia" w:ascii="Times New Roman" w:hAnsi="Times New Roman" w:cs="Times New Roman"/>
          <w:b/>
          <w:sz w:val="18"/>
          <w:szCs w:val="18"/>
        </w:rPr>
        <w:t>涪陵区交通规划布局图</w:t>
      </w:r>
    </w:p>
    <w:p>
      <w:pPr>
        <w:spacing w:before="156" w:after="156"/>
        <w:ind w:firstLine="420" w:firstLineChars="200"/>
        <w:rPr>
          <w:rFonts w:ascii="Times New Roman" w:hAnsi="Times New Roman" w:cs="Times New Roman"/>
        </w:rPr>
      </w:pPr>
      <w:r>
        <w:rPr>
          <w:rFonts w:ascii="Times New Roman" w:hAnsi="Times New Roman" w:cs="Times New Roman"/>
        </w:rPr>
        <w:t>包括以下方面：</w:t>
      </w:r>
    </w:p>
    <w:p>
      <w:pPr>
        <w:spacing w:before="156" w:after="156"/>
        <w:ind w:firstLine="420" w:firstLineChars="200"/>
        <w:rPr>
          <w:rFonts w:ascii="宋体" w:hAnsi="宋体" w:cs="Times New Roman"/>
        </w:rPr>
      </w:pPr>
      <w:r>
        <w:rPr>
          <w:rFonts w:ascii="Times New Roman" w:hAnsi="Times New Roman" w:cs="Times New Roman"/>
        </w:rPr>
        <w:t>（1）</w:t>
      </w:r>
      <w:r>
        <w:rPr>
          <w:rFonts w:ascii="宋体" w:hAnsi="宋体" w:cs="Times New Roman"/>
        </w:rPr>
        <w:t>公路</w:t>
      </w:r>
      <w:r>
        <w:rPr>
          <w:rFonts w:hint="eastAsia" w:ascii="宋体" w:hAnsi="宋体" w:cs="Times New Roman"/>
        </w:rPr>
        <w:t>：现有长涪高速公路直通重庆主城，在建重庆沿江高速公路</w:t>
      </w:r>
      <w:r>
        <w:rPr>
          <w:rFonts w:ascii="宋体" w:hAnsi="宋体" w:cs="Times New Roman"/>
        </w:rPr>
        <w:t>(重庆主城—涪陵—丰都-万州)、南川—涪陵高速公路(重庆三环高速公路的一部分)。规划涪陵—武隆高速公路、涪陵—重庆江北国际机场高速公路、垫江—涪陵高速公路、丰都—涪陵大木—武隆高速公路。园区内部建成武陵大道、华峰大道、石化大道、新哨路、新油路、白麻路、新盛路及华峰大道二期工程，基本形成“三横三纵”；对外连接道路有319国道和梓（里）白（涛）高速公路，连通白涛新材料科技城的城市中环高速路网已纳入规划。</w:t>
      </w:r>
    </w:p>
    <w:p>
      <w:pPr>
        <w:spacing w:before="156" w:after="156"/>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3328670" cy="2585085"/>
            <wp:effectExtent l="0" t="0" r="508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328670" cy="2585085"/>
                    </a:xfrm>
                    <a:prstGeom prst="rect">
                      <a:avLst/>
                    </a:prstGeom>
                    <a:noFill/>
                  </pic:spPr>
                </pic:pic>
              </a:graphicData>
            </a:graphic>
          </wp:inline>
        </w:drawing>
      </w:r>
    </w:p>
    <w:p>
      <w:pPr>
        <w:spacing w:before="156" w:after="156"/>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图6</w:t>
      </w:r>
      <w:r>
        <w:rPr>
          <w:rFonts w:ascii="Times New Roman" w:hAnsi="Times New Roman" w:cs="Times New Roman"/>
          <w:b/>
          <w:sz w:val="18"/>
          <w:szCs w:val="18"/>
        </w:rPr>
        <w:t xml:space="preserve">-1-2 </w:t>
      </w:r>
      <w:r>
        <w:rPr>
          <w:rFonts w:hint="eastAsia" w:ascii="Times New Roman" w:hAnsi="Times New Roman" w:cs="Times New Roman"/>
          <w:b/>
          <w:sz w:val="18"/>
          <w:szCs w:val="18"/>
        </w:rPr>
        <w:t>高速公路布局形态图</w:t>
      </w:r>
    </w:p>
    <w:p>
      <w:pPr>
        <w:spacing w:before="156" w:after="156"/>
        <w:ind w:firstLine="420" w:firstLineChars="200"/>
        <w:rPr>
          <w:rFonts w:ascii="Times New Roman" w:hAnsi="Times New Roman" w:cs="Times New Roman"/>
        </w:rPr>
      </w:pPr>
      <w:r>
        <w:rPr>
          <w:rFonts w:ascii="Times New Roman" w:hAnsi="Times New Roman" w:cs="Times New Roman"/>
        </w:rPr>
        <w:t>（2）</w:t>
      </w:r>
      <w:r>
        <w:rPr>
          <w:rFonts w:ascii="宋体" w:hAnsi="宋体" w:cs="Times New Roman"/>
        </w:rPr>
        <w:t>铁路：</w:t>
      </w:r>
      <w:r>
        <w:rPr>
          <w:rFonts w:hint="eastAsia" w:ascii="宋体" w:hAnsi="宋体" w:cs="Times New Roman"/>
        </w:rPr>
        <w:t>拥有涪通物流危化品专用站、渝怀铁路白涛货站、白涛园区铁路专用站</w:t>
      </w:r>
      <w:r>
        <w:rPr>
          <w:rFonts w:ascii="宋体" w:hAnsi="宋体" w:cs="Times New Roman"/>
        </w:rPr>
        <w:t>3个货车站，总运能627万吨/年</w:t>
      </w:r>
      <w:r>
        <w:rPr>
          <w:rFonts w:ascii="Times New Roman" w:hAnsi="Times New Roman" w:cs="Times New Roman"/>
        </w:rPr>
        <w:t>。</w:t>
      </w:r>
      <w:r>
        <w:rPr>
          <w:rFonts w:hint="eastAsia" w:ascii="Times New Roman" w:hAnsi="Times New Roman" w:cs="Times New Roman"/>
        </w:rPr>
        <w:t>现有渝怀铁路</w:t>
      </w:r>
      <w:r>
        <w:rPr>
          <w:rFonts w:ascii="Times New Roman" w:hAnsi="Times New Roman" w:cs="Times New Roman"/>
        </w:rPr>
        <w:t>(国铁I级单线，境内有5个客运站：涪陵、石沱、蔺市、磨溪、白涛)、南涪铁路(国铁II级单线，已开通货运，暂未开通客运，境内有2个客运站：涪陵、梓里)。在建渝怀铁路重庆—涪陵段二线(2012年建成)、渝利铁路(国铁I级双线，2013年建成)。另规划有重庆沿江铁路、广安—涪陵铁路。</w:t>
      </w:r>
    </w:p>
    <w:p>
      <w:pPr>
        <w:spacing w:before="156" w:after="156"/>
        <w:ind w:firstLine="420" w:firstLineChars="200"/>
        <w:jc w:val="center"/>
        <w:rPr>
          <w:rFonts w:ascii="Times New Roman" w:hAnsi="Times New Roman" w:cs="Times New Roman"/>
        </w:rPr>
      </w:pPr>
      <w:r>
        <w:drawing>
          <wp:inline distT="0" distB="0" distL="0" distR="0">
            <wp:extent cx="3616960" cy="2747010"/>
            <wp:effectExtent l="0" t="0" r="2540" b="0"/>
            <wp:docPr id="15" name="图片 15" descr="http://www.fl.gov.cn/zfxxgk_206/fdzdgknr/ghxx/zxgh/202112/W020220421353290060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www.fl.gov.cn/zfxxgk_206/fdzdgknr/ghxx/zxgh/202112/W02022042135329006034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635570" cy="2760829"/>
                    </a:xfrm>
                    <a:prstGeom prst="rect">
                      <a:avLst/>
                    </a:prstGeom>
                    <a:noFill/>
                    <a:ln>
                      <a:noFill/>
                    </a:ln>
                  </pic:spPr>
                </pic:pic>
              </a:graphicData>
            </a:graphic>
          </wp:inline>
        </w:drawing>
      </w:r>
    </w:p>
    <w:p>
      <w:pPr>
        <w:spacing w:before="156" w:after="156"/>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图6</w:t>
      </w:r>
      <w:r>
        <w:rPr>
          <w:rFonts w:ascii="Times New Roman" w:hAnsi="Times New Roman" w:cs="Times New Roman"/>
          <w:b/>
          <w:sz w:val="18"/>
          <w:szCs w:val="18"/>
        </w:rPr>
        <w:t xml:space="preserve">-1-3 </w:t>
      </w:r>
      <w:r>
        <w:rPr>
          <w:rFonts w:hint="eastAsia" w:ascii="Times New Roman" w:hAnsi="Times New Roman" w:cs="Times New Roman"/>
          <w:b/>
          <w:sz w:val="18"/>
          <w:szCs w:val="18"/>
        </w:rPr>
        <w:t>涪陵区铁路布局形态图</w:t>
      </w:r>
    </w:p>
    <w:p>
      <w:pPr>
        <w:spacing w:before="156" w:after="156"/>
        <w:ind w:firstLine="420" w:firstLineChars="200"/>
        <w:rPr>
          <w:rFonts w:ascii="宋体" w:hAnsi="宋体" w:cs="Times New Roman"/>
        </w:rPr>
      </w:pPr>
      <w:r>
        <w:rPr>
          <w:rFonts w:ascii="Times New Roman" w:hAnsi="Times New Roman" w:cs="Times New Roman"/>
        </w:rPr>
        <w:t>（3）</w:t>
      </w:r>
      <w:r>
        <w:rPr>
          <w:rFonts w:ascii="宋体" w:hAnsi="宋体" w:cs="Times New Roman"/>
        </w:rPr>
        <w:t>港运</w:t>
      </w:r>
      <w:r>
        <w:rPr>
          <w:rFonts w:hint="eastAsia" w:ascii="宋体" w:hAnsi="宋体" w:cs="Times New Roman"/>
        </w:rPr>
        <w:t>：现有</w:t>
      </w:r>
      <w:r>
        <w:rPr>
          <w:rFonts w:ascii="宋体" w:hAnsi="宋体" w:cs="Times New Roman"/>
        </w:rPr>
        <w:t>23个港口，大型新建集装箱码头已投入使用。3000吨级货船全年通航，建有建峰尿素专用码头、大件码头、涪通物流固体危化品码头、涪通物流液体危化品码头、大石溪固态危化品及散杂货码头，总吞吐能力630万吨/年。</w:t>
      </w:r>
    </w:p>
    <w:p>
      <w:pPr>
        <w:pStyle w:val="4"/>
        <w:spacing w:before="156" w:after="156"/>
        <w:rPr>
          <w:rFonts w:ascii="Times New Roman" w:hAnsi="Times New Roman" w:eastAsia="宋体" w:cs="Times New Roman"/>
        </w:rPr>
      </w:pPr>
      <w:bookmarkStart w:id="67" w:name="_Toc141670006"/>
      <w:r>
        <w:rPr>
          <w:rFonts w:ascii="Times New Roman" w:hAnsi="Times New Roman" w:eastAsia="宋体" w:cs="Times New Roman"/>
        </w:rPr>
        <w:t>6.1.3 公共工程条件</w:t>
      </w:r>
      <w:bookmarkEnd w:id="67"/>
    </w:p>
    <w:p>
      <w:pPr>
        <w:spacing w:before="156" w:after="156"/>
        <w:ind w:firstLine="420" w:firstLineChars="200"/>
        <w:rPr>
          <w:rFonts w:ascii="宋体" w:hAnsi="宋体" w:cs="Times New Roman"/>
        </w:rPr>
      </w:pPr>
      <w:r>
        <w:rPr>
          <w:rFonts w:ascii="宋体" w:hAnsi="宋体" w:cs="Times New Roman"/>
        </w:rPr>
        <w:t>园区内现有重庆华峰化工、重庆华峰氨纶、重庆建峰化工总厂、天原化工有限责任公司、紫光化工化医大冢化学有限责任公司公司等多家企业</w:t>
      </w:r>
      <w:r>
        <w:rPr>
          <w:rFonts w:hint="eastAsia" w:ascii="宋体" w:hAnsi="宋体" w:cs="Times New Roman"/>
        </w:rPr>
        <w:t>。已形成天然气及氯氟化工、聚氨酯及聚酰胺</w:t>
      </w:r>
      <w:r>
        <w:rPr>
          <w:rFonts w:ascii="宋体" w:hAnsi="宋体" w:cs="Times New Roman"/>
        </w:rPr>
        <w:t>(市级示范基地)、页岩气深加工三大产业集群。</w:t>
      </w:r>
      <w:r>
        <w:rPr>
          <w:rFonts w:hint="eastAsia" w:ascii="宋体" w:hAnsi="宋体" w:cs="Times New Roman"/>
        </w:rPr>
        <w:t>天然气、氯氟化工产业集群</w:t>
      </w:r>
      <w:r>
        <w:rPr>
          <w:rFonts w:ascii="宋体" w:hAnsi="宋体" w:cs="Times New Roman"/>
        </w:rPr>
        <w:t>主要以化医集团在园企业为核心，包括建峰集团72万吨合成氨</w:t>
      </w:r>
      <w:r>
        <w:rPr>
          <w:rFonts w:hint="eastAsia" w:ascii="宋体" w:hAnsi="宋体" w:cs="Times New Roman"/>
        </w:rPr>
        <w:t>等；聚氨酯、聚酰胺产业集群主要以华峰集团在园企业为核心，包括华峰化工</w:t>
      </w:r>
      <w:r>
        <w:rPr>
          <w:rFonts w:ascii="宋体" w:hAnsi="宋体" w:cs="Times New Roman"/>
        </w:rPr>
        <w:t>115万吨己二酸</w:t>
      </w:r>
      <w:r>
        <w:rPr>
          <w:rFonts w:hint="eastAsia" w:ascii="宋体" w:hAnsi="宋体" w:cs="Times New Roman"/>
        </w:rPr>
        <w:t>等。</w:t>
      </w:r>
    </w:p>
    <w:p>
      <w:pPr>
        <w:spacing w:before="156" w:after="156"/>
        <w:rPr>
          <w:rFonts w:ascii="Times New Roman" w:hAnsi="Times New Roman" w:cs="Times New Roman"/>
        </w:rPr>
      </w:pPr>
      <w:r>
        <w:rPr>
          <w:rFonts w:ascii="Times New Roman" w:hAnsi="Times New Roman" w:cs="Times New Roman"/>
        </w:rPr>
        <w:tab/>
      </w:r>
      <w:r>
        <w:rPr>
          <w:rFonts w:hint="eastAsia" w:ascii="Times New Roman" w:hAnsi="Times New Roman" w:cs="Times New Roman"/>
        </w:rPr>
        <w:t>具体的公用工程信息如下：</w:t>
      </w:r>
    </w:p>
    <w:p>
      <w:pPr>
        <w:pStyle w:val="37"/>
        <w:numPr>
          <w:ilvl w:val="0"/>
          <w:numId w:val="4"/>
        </w:numPr>
        <w:spacing w:before="156" w:after="156"/>
        <w:ind w:firstLineChars="0"/>
        <w:rPr>
          <w:rFonts w:ascii="宋体" w:hAnsi="宋体" w:cs="Times New Roman"/>
        </w:rPr>
      </w:pPr>
      <w:r>
        <w:rPr>
          <w:rFonts w:ascii="宋体" w:hAnsi="宋体" w:cs="Times New Roman"/>
        </w:rPr>
        <w:t>工业供水：</w:t>
      </w:r>
      <w:bookmarkStart w:id="68" w:name="_Hlk139725570"/>
      <w:r>
        <w:rPr>
          <w:rFonts w:hint="eastAsia" w:ascii="宋体" w:hAnsi="宋体" w:cs="Times New Roman"/>
        </w:rPr>
        <w:t>园区工业取、供水能力为</w:t>
      </w:r>
      <w:r>
        <w:rPr>
          <w:rFonts w:ascii="宋体" w:hAnsi="宋体" w:cs="Times New Roman"/>
        </w:rPr>
        <w:t>20万吨/天，拥有4个提升泵房及其供水管网。</w:t>
      </w:r>
    </w:p>
    <w:bookmarkEnd w:id="68"/>
    <w:p>
      <w:pPr>
        <w:pStyle w:val="37"/>
        <w:numPr>
          <w:ilvl w:val="0"/>
          <w:numId w:val="4"/>
        </w:numPr>
        <w:spacing w:before="156" w:after="156"/>
        <w:ind w:firstLineChars="0"/>
        <w:rPr>
          <w:rFonts w:ascii="宋体" w:hAnsi="宋体" w:cs="Times New Roman"/>
        </w:rPr>
      </w:pPr>
      <w:r>
        <w:rPr>
          <w:rFonts w:hint="eastAsia" w:ascii="宋体" w:hAnsi="宋体" w:cs="Times New Roman"/>
        </w:rPr>
        <w:t>供电条件：</w:t>
      </w:r>
      <w:bookmarkStart w:id="69" w:name="_Hlk139723754"/>
      <w:r>
        <w:rPr>
          <w:rFonts w:hint="eastAsia" w:ascii="宋体" w:hAnsi="宋体" w:cs="Times New Roman"/>
        </w:rPr>
        <w:t>建有聚龙电力</w:t>
      </w:r>
      <w:r>
        <w:rPr>
          <w:rFonts w:ascii="宋体" w:hAnsi="宋体" w:cs="Times New Roman"/>
        </w:rPr>
        <w:t>220kV油房变电站、110kV哨楼变电站和国网220kV新立变电站，可实现双电源双回路供电，供电能力88亿度/年</w:t>
      </w:r>
      <w:r>
        <w:rPr>
          <w:rFonts w:hint="eastAsia" w:ascii="宋体" w:hAnsi="宋体" w:cs="Times New Roman"/>
        </w:rPr>
        <w:t>。</w:t>
      </w:r>
    </w:p>
    <w:bookmarkEnd w:id="69"/>
    <w:p>
      <w:pPr>
        <w:pStyle w:val="37"/>
        <w:numPr>
          <w:ilvl w:val="0"/>
          <w:numId w:val="4"/>
        </w:numPr>
        <w:spacing w:before="156" w:after="156"/>
        <w:ind w:firstLineChars="0"/>
        <w:rPr>
          <w:rFonts w:ascii="宋体" w:hAnsi="宋体" w:cs="Times New Roman"/>
        </w:rPr>
      </w:pPr>
      <w:r>
        <w:rPr>
          <w:rFonts w:hint="eastAsia" w:ascii="宋体" w:hAnsi="宋体" w:cs="Times New Roman"/>
        </w:rPr>
        <w:t>供气条件：页岩气管输能力</w:t>
      </w:r>
      <w:r>
        <w:rPr>
          <w:rFonts w:ascii="宋体" w:hAnsi="宋体" w:cs="Times New Roman"/>
        </w:rPr>
        <w:t>58亿立方米/年；配套中石化白涛园区增压站、重庆燃气集团配气站、四合燃气公司配气站、中石化重庆管道公司配气站、江汉油田天然气脱水站以及相应供气管网。</w:t>
      </w:r>
    </w:p>
    <w:p>
      <w:pPr>
        <w:pStyle w:val="37"/>
        <w:numPr>
          <w:ilvl w:val="0"/>
          <w:numId w:val="4"/>
        </w:numPr>
        <w:spacing w:before="156" w:after="156"/>
        <w:ind w:firstLineChars="0"/>
        <w:rPr>
          <w:rFonts w:ascii="宋体" w:hAnsi="宋体" w:cs="Times New Roman"/>
        </w:rPr>
      </w:pPr>
      <w:r>
        <w:rPr>
          <w:rFonts w:hint="eastAsia" w:ascii="宋体" w:hAnsi="宋体" w:cs="Times New Roman"/>
        </w:rPr>
        <w:t>供热条件：园区热岛装机容量为</w:t>
      </w:r>
      <w:r>
        <w:rPr>
          <w:rFonts w:ascii="宋体" w:hAnsi="宋体" w:cs="Times New Roman"/>
        </w:rPr>
        <w:t>4台440T/h循环流化床锅炉+1台5万kw抽汽凝汽式发电机组+2台3万kw抽汽背压式发电机组，可为企业提供514T/h中压蒸汽、520T/h低压蒸汽、5.6万kw/h电力、90T/h除盐水，另华峰集团建有自备热电联产装置。</w:t>
      </w:r>
    </w:p>
    <w:p>
      <w:pPr>
        <w:pStyle w:val="37"/>
        <w:numPr>
          <w:ilvl w:val="0"/>
          <w:numId w:val="4"/>
        </w:numPr>
        <w:spacing w:before="156" w:after="156"/>
        <w:ind w:firstLineChars="0"/>
        <w:rPr>
          <w:rFonts w:ascii="Times New Roman" w:hAnsi="Times New Roman" w:cs="Times New Roman"/>
        </w:rPr>
      </w:pPr>
      <w:r>
        <w:rPr>
          <w:rFonts w:ascii="Times New Roman" w:hAnsi="Times New Roman" w:cs="Times New Roman"/>
        </w:rPr>
        <w:t>排水条件：</w:t>
      </w:r>
      <w:r>
        <w:rPr>
          <w:rFonts w:hint="eastAsia" w:ascii="Times New Roman" w:hAnsi="Times New Roman" w:cs="Times New Roman"/>
        </w:rPr>
        <w:t>污水处理厂处理能力具备</w:t>
      </w:r>
      <w:r>
        <w:rPr>
          <w:rFonts w:ascii="Times New Roman" w:hAnsi="Times New Roman" w:cs="Times New Roman"/>
        </w:rPr>
        <w:t>3万吨/天</w:t>
      </w:r>
      <w:r>
        <w:rPr>
          <w:rFonts w:hint="eastAsia" w:ascii="Times New Roman" w:hAnsi="Times New Roman" w:cs="Times New Roman"/>
        </w:rPr>
        <w:t>。</w:t>
      </w:r>
    </w:p>
    <w:p>
      <w:pPr>
        <w:pStyle w:val="3"/>
        <w:spacing w:before="156" w:after="156"/>
        <w:rPr>
          <w:rFonts w:ascii="Times New Roman" w:hAnsi="Times New Roman" w:eastAsia="宋体" w:cs="Times New Roman"/>
        </w:rPr>
      </w:pPr>
      <w:bookmarkStart w:id="70" w:name="_Toc141670007"/>
      <w:r>
        <w:rPr>
          <w:rFonts w:ascii="Times New Roman" w:hAnsi="Times New Roman" w:eastAsia="宋体" w:cs="Times New Roman"/>
        </w:rPr>
        <w:t>6.2 厂址选择</w:t>
      </w:r>
      <w:bookmarkEnd w:id="70"/>
    </w:p>
    <w:p>
      <w:pPr>
        <w:pStyle w:val="4"/>
        <w:spacing w:before="156" w:after="156"/>
        <w:rPr>
          <w:rFonts w:ascii="Times New Roman" w:hAnsi="Times New Roman" w:eastAsia="宋体" w:cs="Times New Roman"/>
        </w:rPr>
      </w:pPr>
      <w:bookmarkStart w:id="71" w:name="_Toc141670008"/>
      <w:r>
        <w:rPr>
          <w:rFonts w:ascii="Times New Roman" w:hAnsi="Times New Roman" w:eastAsia="宋体" w:cs="Times New Roman"/>
        </w:rPr>
        <w:t>6.2.1</w:t>
      </w:r>
      <w:r>
        <w:rPr>
          <w:rFonts w:hint="eastAsia" w:ascii="Times New Roman" w:hAnsi="Times New Roman" w:eastAsia="宋体" w:cs="Times New Roman"/>
        </w:rPr>
        <w:t xml:space="preserve"> 厂址方案比选</w:t>
      </w:r>
      <w:bookmarkEnd w:id="71"/>
    </w:p>
    <w:p>
      <w:pPr>
        <w:pStyle w:val="7"/>
        <w:keepNext/>
        <w:spacing w:before="0" w:beforeLines="0" w:after="0" w:afterLines="0"/>
        <w:jc w:val="center"/>
        <w:rPr>
          <w:rFonts w:ascii="宋体" w:hAnsi="宋体" w:eastAsia="宋体" w:cs="Times New Roman"/>
          <w:b/>
          <w:bCs/>
          <w:color w:val="000000"/>
          <w:sz w:val="18"/>
          <w:szCs w:val="18"/>
          <w:lang w:bidi="ar"/>
        </w:rPr>
      </w:pPr>
      <w:r>
        <w:rPr>
          <w:rFonts w:ascii="宋体" w:hAnsi="宋体" w:eastAsia="宋体" w:cs="Times New Roman"/>
          <w:b/>
          <w:bCs/>
          <w:color w:val="000000"/>
          <w:sz w:val="18"/>
          <w:szCs w:val="18"/>
          <w:lang w:bidi="ar"/>
        </w:rPr>
        <w:t>表6-</w:t>
      </w:r>
      <w:r>
        <w:rPr>
          <w:rFonts w:ascii="宋体" w:hAnsi="宋体" w:eastAsia="宋体" w:cs="Times New Roman"/>
          <w:b/>
          <w:bCs/>
          <w:color w:val="000000"/>
          <w:sz w:val="18"/>
          <w:szCs w:val="18"/>
          <w:lang w:bidi="ar"/>
        </w:rPr>
        <w:fldChar w:fldCharType="begin"/>
      </w:r>
      <w:r>
        <w:rPr>
          <w:rFonts w:ascii="宋体" w:hAnsi="宋体" w:eastAsia="宋体" w:cs="Times New Roman"/>
          <w:b/>
          <w:bCs/>
          <w:color w:val="000000"/>
          <w:sz w:val="18"/>
          <w:szCs w:val="18"/>
          <w:lang w:bidi="ar"/>
        </w:rPr>
        <w:instrText xml:space="preserve"> SEQ 表 \* ARABIC </w:instrText>
      </w:r>
      <w:r>
        <w:rPr>
          <w:rFonts w:ascii="宋体" w:hAnsi="宋体" w:eastAsia="宋体" w:cs="Times New Roman"/>
          <w:b/>
          <w:bCs/>
          <w:color w:val="000000"/>
          <w:sz w:val="18"/>
          <w:szCs w:val="18"/>
          <w:lang w:bidi="ar"/>
        </w:rPr>
        <w:fldChar w:fldCharType="separate"/>
      </w:r>
      <w:r>
        <w:rPr>
          <w:rFonts w:ascii="宋体" w:hAnsi="宋体" w:eastAsia="宋体" w:cs="Times New Roman"/>
          <w:b/>
          <w:bCs/>
          <w:color w:val="000000"/>
          <w:sz w:val="18"/>
          <w:szCs w:val="18"/>
          <w:lang w:bidi="ar"/>
        </w:rPr>
        <w:t>1</w:t>
      </w:r>
      <w:r>
        <w:rPr>
          <w:rFonts w:ascii="宋体" w:hAnsi="宋体" w:eastAsia="宋体" w:cs="Times New Roman"/>
          <w:b/>
          <w:bCs/>
          <w:color w:val="000000"/>
          <w:sz w:val="18"/>
          <w:szCs w:val="18"/>
          <w:lang w:bidi="ar"/>
        </w:rPr>
        <w:fldChar w:fldCharType="end"/>
      </w:r>
      <w:r>
        <w:rPr>
          <w:rFonts w:ascii="宋体" w:hAnsi="宋体" w:eastAsia="宋体" w:cs="Times New Roman"/>
          <w:b/>
          <w:bCs/>
          <w:color w:val="000000"/>
          <w:sz w:val="18"/>
          <w:szCs w:val="18"/>
          <w:lang w:bidi="ar"/>
        </w:rPr>
        <w:t xml:space="preserve"> 厂址方案比选表</w:t>
      </w:r>
    </w:p>
    <w:tbl>
      <w:tblPr>
        <w:tblStyle w:val="43"/>
        <w:tblpPr w:leftFromText="180" w:rightFromText="180" w:vertAnchor="text" w:horzAnchor="margin" w:tblpXSpec="center" w:tblpY="130"/>
        <w:tblW w:w="11240"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93"/>
        <w:gridCol w:w="1345"/>
        <w:gridCol w:w="2693"/>
        <w:gridCol w:w="3213"/>
        <w:gridCol w:w="349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416" w:hRule="atLeast"/>
        </w:trPr>
        <w:tc>
          <w:tcPr>
            <w:tcW w:w="1838" w:type="dxa"/>
            <w:gridSpan w:val="2"/>
            <w:tcBorders>
              <w:top w:val="single" w:color="FFFFFF" w:themeColor="background1" w:sz="4" w:space="0"/>
              <w:left w:val="single" w:color="FFFFFF" w:themeColor="background1" w:sz="4" w:space="0"/>
              <w:right w:val="nil"/>
              <w:insideV w:val="nil"/>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ascii="Times New Roman" w:hAnsi="Times New Roman" w:eastAsia="宋体" w:cs="Times New Roman"/>
                <w:b/>
                <w:bCs/>
                <w:color w:val="FFFFFF" w:themeColor="background1"/>
                <w14:textFill>
                  <w14:solidFill>
                    <w14:schemeClr w14:val="bg1"/>
                  </w14:solidFill>
                </w14:textFill>
              </w:rPr>
              <w:t>厂址</w:t>
            </w:r>
          </w:p>
        </w:tc>
        <w:tc>
          <w:tcPr>
            <w:tcW w:w="2693" w:type="dxa"/>
            <w:tcBorders>
              <w:top w:val="single" w:color="FFFFFF" w:themeColor="background1" w:sz="4" w:space="0"/>
              <w:right w:val="nil"/>
              <w:insideV w:val="nil"/>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hint="eastAsia" w:ascii="Times New Roman" w:hAnsi="Times New Roman" w:eastAsia="宋体" w:cs="Times New Roman"/>
                <w:b/>
                <w:bCs/>
                <w:color w:val="FFFFFF" w:themeColor="background1"/>
                <w14:textFill>
                  <w14:solidFill>
                    <w14:schemeClr w14:val="bg1"/>
                  </w14:solidFill>
                </w14:textFill>
              </w:rPr>
              <w:t>德州运河恒升化工产业园</w:t>
            </w:r>
          </w:p>
        </w:tc>
        <w:tc>
          <w:tcPr>
            <w:tcW w:w="3213" w:type="dxa"/>
            <w:tcBorders>
              <w:top w:val="single" w:color="FFFFFF" w:themeColor="background1" w:sz="4" w:space="0"/>
              <w:right w:val="nil"/>
              <w:insideV w:val="nil"/>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hint="eastAsia" w:ascii="Times New Roman" w:hAnsi="Times New Roman" w:eastAsia="宋体" w:cs="Times New Roman"/>
                <w:b/>
                <w:bCs/>
                <w:color w:val="FFFFFF" w:themeColor="background1"/>
                <w14:textFill>
                  <w14:solidFill>
                    <w14:schemeClr w14:val="bg1"/>
                  </w14:solidFill>
                </w14:textFill>
              </w:rPr>
              <w:t>开封市精细化工产业集聚区</w:t>
            </w:r>
          </w:p>
        </w:tc>
        <w:tc>
          <w:tcPr>
            <w:tcW w:w="3496" w:type="dxa"/>
            <w:tcBorders>
              <w:top w:val="single" w:color="FFFFFF" w:themeColor="background1" w:sz="4" w:space="0"/>
              <w:right w:val="single" w:color="FFFFFF" w:themeColor="background1" w:sz="4" w:space="0"/>
              <w:insideV w:val="nil"/>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hint="eastAsia" w:ascii="Times New Roman" w:hAnsi="Times New Roman" w:eastAsia="宋体" w:cs="Times New Roman"/>
                <w:b/>
                <w:bCs/>
                <w:color w:val="FFFFFF" w:themeColor="background1"/>
                <w14:textFill>
                  <w14:solidFill>
                    <w14:schemeClr w14:val="bg1"/>
                  </w14:solidFill>
                </w14:textFill>
              </w:rPr>
              <w:t>重庆涪陵白涛工业园区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5" w:hRule="atLeast"/>
        </w:trPr>
        <w:tc>
          <w:tcPr>
            <w:tcW w:w="0" w:type="auto"/>
            <w:vMerge w:val="restart"/>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ascii="Times New Roman" w:hAnsi="Times New Roman" w:eastAsia="宋体" w:cs="Times New Roman"/>
                <w:b/>
                <w:bCs/>
                <w:color w:val="FFFFFF" w:themeColor="background1"/>
                <w14:textFill>
                  <w14:solidFill>
                    <w14:schemeClr w14:val="bg1"/>
                  </w14:solidFill>
                </w14:textFill>
              </w:rPr>
              <w:t>概况</w:t>
            </w: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区域</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德州市德城区</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开封市禹王台区</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重庆市涪陵区</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原料产量</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己二酸</w:t>
            </w:r>
            <w:r>
              <w:rPr>
                <w:rFonts w:ascii="Times New Roman" w:hAnsi="Times New Roman" w:eastAsia="宋体" w:cs="Times New Roman"/>
              </w:rPr>
              <w:t>36万吨/年</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己二酸3</w:t>
            </w:r>
            <w:r>
              <w:rPr>
                <w:rFonts w:ascii="Times New Roman" w:hAnsi="Times New Roman" w:eastAsia="宋体" w:cs="Times New Roman"/>
              </w:rPr>
              <w:t>2</w:t>
            </w:r>
            <w:r>
              <w:rPr>
                <w:rFonts w:hint="eastAsia" w:ascii="Times New Roman" w:hAnsi="Times New Roman" w:eastAsia="宋体" w:cs="Times New Roman"/>
              </w:rPr>
              <w:t>万吨/年</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己二酸</w:t>
            </w:r>
            <w:r>
              <w:rPr>
                <w:rFonts w:ascii="Times New Roman" w:hAnsi="Times New Roman" w:eastAsia="宋体" w:cs="Times New Roman"/>
              </w:rPr>
              <w:t>94万吨/年</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5" w:hRule="atLeast"/>
        </w:trPr>
        <w:tc>
          <w:tcPr>
            <w:tcW w:w="0" w:type="auto"/>
            <w:vMerge w:val="restart"/>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ascii="Times New Roman" w:hAnsi="Times New Roman" w:eastAsia="宋体" w:cs="Times New Roman"/>
                <w:b/>
                <w:bCs/>
                <w:color w:val="FFFFFF" w:themeColor="background1"/>
                <w14:textFill>
                  <w14:solidFill>
                    <w14:schemeClr w14:val="bg1"/>
                  </w14:solidFill>
                </w14:textFill>
              </w:rPr>
              <w:t>自然条件</w:t>
            </w: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地形地貌</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华北平原</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黄河冲积平原</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丘陵山地</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抗震强度</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6度</w:t>
            </w:r>
            <w:r>
              <w:rPr>
                <w:rFonts w:hint="eastAsia" w:ascii="Times New Roman" w:hAnsi="Times New Roman" w:eastAsia="宋体" w:cs="Times New Roman"/>
              </w:rPr>
              <w:t>，0.</w:t>
            </w:r>
            <w:r>
              <w:rPr>
                <w:rFonts w:ascii="Times New Roman" w:hAnsi="Times New Roman" w:eastAsia="宋体" w:cs="Times New Roman"/>
              </w:rPr>
              <w:t>05g</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7度</w:t>
            </w:r>
            <w:r>
              <w:rPr>
                <w:rFonts w:hint="eastAsia" w:ascii="Times New Roman" w:hAnsi="Times New Roman" w:eastAsia="宋体" w:cs="Times New Roman"/>
              </w:rPr>
              <w:t>,0.</w:t>
            </w:r>
            <w:r>
              <w:rPr>
                <w:rFonts w:ascii="Times New Roman" w:hAnsi="Times New Roman" w:eastAsia="宋体" w:cs="Times New Roman"/>
              </w:rPr>
              <w:t>10</w:t>
            </w:r>
            <w:r>
              <w:rPr>
                <w:rFonts w:hint="eastAsia" w:ascii="Times New Roman" w:hAnsi="Times New Roman" w:eastAsia="宋体" w:cs="Times New Roman"/>
              </w:rPr>
              <w:t>g</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6度</w:t>
            </w:r>
            <w:r>
              <w:rPr>
                <w:rFonts w:hint="eastAsia" w:ascii="Times New Roman" w:hAnsi="Times New Roman" w:eastAsia="宋体" w:cs="Times New Roman"/>
              </w:rPr>
              <w:t>，0.</w:t>
            </w:r>
            <w:r>
              <w:rPr>
                <w:rFonts w:ascii="Times New Roman" w:hAnsi="Times New Roman" w:eastAsia="宋体" w:cs="Times New Roman"/>
              </w:rPr>
              <w:t>05g</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气候类型</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温带</w:t>
            </w:r>
            <w:r>
              <w:rPr>
                <w:rFonts w:hint="eastAsia" w:ascii="Times New Roman" w:hAnsi="Times New Roman" w:eastAsia="宋体" w:cs="Times New Roman"/>
              </w:rPr>
              <w:t>大陆性</w:t>
            </w:r>
            <w:r>
              <w:rPr>
                <w:rFonts w:ascii="Times New Roman" w:hAnsi="Times New Roman" w:eastAsia="宋体" w:cs="Times New Roman"/>
              </w:rPr>
              <w:t>季风气候</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温带大陆性季风气候</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亚热带湿润季风气候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年平均降水量</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570.2mm</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627.5 mm</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1094mm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年均温</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12.7℃</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14.5℃</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18.1℃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年平均日照数</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2647.2小时</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2267.6小时</w:t>
            </w:r>
          </w:p>
        </w:tc>
        <w:tc>
          <w:tcPr>
            <w:tcW w:w="3496" w:type="dxa"/>
            <w:shd w:val="clear" w:color="auto" w:fill="D9E2F3" w:themeFill="accent1" w:themeFillTint="33"/>
          </w:tcPr>
          <w:p>
            <w:pPr>
              <w:pStyle w:val="30"/>
              <w:jc w:val="center"/>
              <w:rPr>
                <w:rFonts w:ascii="Times New Roman" w:hAnsi="Times New Roman" w:eastAsia="宋体" w:cs="Times New Roman"/>
              </w:rPr>
            </w:pPr>
            <w:bookmarkStart w:id="72" w:name="_Hlk139462548"/>
            <w:r>
              <w:rPr>
                <w:rFonts w:ascii="Times New Roman" w:hAnsi="Times New Roman" w:eastAsia="宋体" w:cs="Times New Roman"/>
              </w:rPr>
              <w:t>1248小时</w:t>
            </w:r>
            <w:bookmarkEnd w:id="72"/>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57" w:hRule="atLeast"/>
        </w:trPr>
        <w:tc>
          <w:tcPr>
            <w:tcW w:w="0" w:type="auto"/>
            <w:vMerge w:val="restart"/>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ascii="Times New Roman" w:hAnsi="Times New Roman" w:eastAsia="宋体" w:cs="Times New Roman"/>
                <w:b/>
                <w:bCs/>
                <w:color w:val="FFFFFF" w:themeColor="background1"/>
                <w14:textFill>
                  <w14:solidFill>
                    <w14:schemeClr w14:val="bg1"/>
                  </w14:solidFill>
                </w14:textFill>
              </w:rPr>
              <w:t>交通运输</w:t>
            </w: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铁路条件</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京沪与石徳两大铁路干线交汇处</w:t>
            </w:r>
            <w:r>
              <w:rPr>
                <w:rFonts w:ascii="Times New Roman" w:hAnsi="Times New Roman" w:eastAsia="宋体" w:cs="Times New Roman"/>
              </w:rPr>
              <w:t>，</w:t>
            </w:r>
            <w:r>
              <w:rPr>
                <w:rFonts w:hint="eastAsia" w:ascii="Times New Roman" w:hAnsi="Times New Roman" w:eastAsia="宋体" w:cs="Times New Roman"/>
              </w:rPr>
              <w:t>石德铁路紧邻园区提供了高效、低成本的原料运输路径，已经建成原料和长途化工、化肥产品铁路专运线，可实现“零库存”产销</w:t>
            </w:r>
            <w:r>
              <w:rPr>
                <w:rFonts w:ascii="Times New Roman" w:hAnsi="Times New Roman" w:eastAsia="宋体" w:cs="Times New Roman"/>
              </w:rPr>
              <w:t>。</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京广铁路线与京广高速铁路线在开封市境内交汇，东西有陇海铁路线。</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拥有涪通物流危化品专用站、渝怀铁路白涛货站、白涛园区铁路专用站</w:t>
            </w:r>
            <w:r>
              <w:rPr>
                <w:rFonts w:ascii="Times New Roman" w:hAnsi="Times New Roman" w:eastAsia="宋体" w:cs="Times New Roman"/>
              </w:rPr>
              <w:t>3个货车站，总运能627万吨/年</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公路条件</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105国道附线和</w:t>
            </w:r>
            <w:r>
              <w:rPr>
                <w:rFonts w:hint="eastAsia" w:ascii="Times New Roman" w:hAnsi="Times New Roman" w:eastAsia="宋体" w:cs="Times New Roman"/>
              </w:rPr>
              <w:t>京沪高速公路、</w:t>
            </w:r>
            <w:r>
              <w:t xml:space="preserve"> </w:t>
            </w:r>
            <w:r>
              <w:rPr>
                <w:rFonts w:ascii="Times New Roman" w:hAnsi="Times New Roman" w:eastAsia="宋体" w:cs="Times New Roman"/>
              </w:rPr>
              <w:t>G327国道</w:t>
            </w:r>
            <w:r>
              <w:rPr>
                <w:rFonts w:hint="eastAsia" w:ascii="Times New Roman" w:hAnsi="Times New Roman" w:eastAsia="宋体" w:cs="Times New Roman"/>
              </w:rPr>
              <w:t>、S</w:t>
            </w:r>
            <w:r>
              <w:rPr>
                <w:rFonts w:ascii="Times New Roman" w:hAnsi="Times New Roman" w:eastAsia="宋体" w:cs="Times New Roman"/>
              </w:rPr>
              <w:t>230</w:t>
            </w:r>
            <w:r>
              <w:rPr>
                <w:rFonts w:hint="eastAsia" w:ascii="Times New Roman" w:hAnsi="Times New Roman" w:eastAsia="宋体" w:cs="Times New Roman"/>
              </w:rPr>
              <w:t>、S</w:t>
            </w:r>
            <w:r>
              <w:rPr>
                <w:rFonts w:ascii="Times New Roman" w:hAnsi="Times New Roman" w:eastAsia="宋体" w:cs="Times New Roman"/>
              </w:rPr>
              <w:t>231</w:t>
            </w:r>
            <w:r>
              <w:rPr>
                <w:rFonts w:hint="eastAsia" w:ascii="Times New Roman" w:hAnsi="Times New Roman" w:eastAsia="宋体" w:cs="Times New Roman"/>
              </w:rPr>
              <w:t>、S</w:t>
            </w:r>
            <w:r>
              <w:rPr>
                <w:rFonts w:ascii="Times New Roman" w:hAnsi="Times New Roman" w:eastAsia="宋体" w:cs="Times New Roman"/>
              </w:rPr>
              <w:t>232</w:t>
            </w:r>
            <w:r>
              <w:rPr>
                <w:rFonts w:hint="eastAsia" w:ascii="Times New Roman" w:hAnsi="Times New Roman" w:eastAsia="宋体" w:cs="Times New Roman"/>
              </w:rPr>
              <w:t>、S</w:t>
            </w:r>
            <w:r>
              <w:rPr>
                <w:rFonts w:ascii="Times New Roman" w:hAnsi="Times New Roman" w:eastAsia="宋体" w:cs="Times New Roman"/>
              </w:rPr>
              <w:t>233</w:t>
            </w:r>
            <w:r>
              <w:rPr>
                <w:rFonts w:hint="eastAsia" w:ascii="Times New Roman" w:hAnsi="Times New Roman" w:eastAsia="宋体" w:cs="Times New Roman"/>
              </w:rPr>
              <w:t>、S</w:t>
            </w:r>
            <w:r>
              <w:rPr>
                <w:rFonts w:ascii="Times New Roman" w:hAnsi="Times New Roman" w:eastAsia="宋体" w:cs="Times New Roman"/>
              </w:rPr>
              <w:t>234</w:t>
            </w:r>
            <w:r>
              <w:rPr>
                <w:rFonts w:hint="eastAsia" w:ascii="Times New Roman" w:hAnsi="Times New Roman" w:eastAsia="宋体" w:cs="Times New Roman"/>
              </w:rPr>
              <w:t>省道途径德城</w:t>
            </w:r>
            <w:r>
              <w:rPr>
                <w:rFonts w:ascii="Times New Roman" w:hAnsi="Times New Roman" w:eastAsia="宋体" w:cs="Times New Roman"/>
              </w:rPr>
              <w:t>区。</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东临大广高速、日南高速，西傍京珠高速、安罗高速，南靠郑民高速，北依连霍高速，</w:t>
            </w:r>
            <w:r>
              <w:rPr>
                <w:rFonts w:ascii="Times New Roman" w:hAnsi="Times New Roman" w:eastAsia="宋体" w:cs="Times New Roman"/>
              </w:rPr>
              <w:t>310国道、郑商铁路开封支线穿境而过</w:t>
            </w:r>
            <w:r>
              <w:rPr>
                <w:rFonts w:hint="eastAsia" w:ascii="Times New Roman" w:hAnsi="Times New Roman" w:eastAsia="宋体" w:cs="Times New Roman"/>
              </w:rPr>
              <w:t>。</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园区内部建成武陵大道、华峰大道、石化大道、新哨路、新油路、白麻路、新盛路及华峰大道二期工程，基本形成“三横三纵”；对外连接道路有</w:t>
            </w:r>
            <w:r>
              <w:rPr>
                <w:rFonts w:ascii="Times New Roman" w:hAnsi="Times New Roman" w:eastAsia="宋体" w:cs="Times New Roman"/>
              </w:rPr>
              <w:t>319国道和梓(里)白(涛)高速公路。</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水路条件</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距离日照港约9</w:t>
            </w:r>
            <w:r>
              <w:rPr>
                <w:rFonts w:ascii="Times New Roman" w:hAnsi="Times New Roman" w:eastAsia="宋体" w:cs="Times New Roman"/>
              </w:rPr>
              <w:t>0</w:t>
            </w:r>
            <w:r>
              <w:rPr>
                <w:rFonts w:hint="eastAsia" w:ascii="Times New Roman" w:hAnsi="Times New Roman" w:eastAsia="宋体" w:cs="Times New Roman"/>
              </w:rPr>
              <w:t>公里，距离青岛港约2</w:t>
            </w:r>
            <w:r>
              <w:rPr>
                <w:rFonts w:ascii="Times New Roman" w:hAnsi="Times New Roman" w:eastAsia="宋体" w:cs="Times New Roman"/>
              </w:rPr>
              <w:t>80</w:t>
            </w:r>
            <w:r>
              <w:rPr>
                <w:rFonts w:hint="eastAsia" w:ascii="Times New Roman" w:hAnsi="Times New Roman" w:eastAsia="宋体" w:cs="Times New Roman"/>
              </w:rPr>
              <w:t>公里</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距</w:t>
            </w:r>
            <w:r>
              <w:rPr>
                <w:rFonts w:hint="eastAsia" w:ascii="Times New Roman" w:hAnsi="Times New Roman" w:eastAsia="宋体" w:cs="Times New Roman"/>
              </w:rPr>
              <w:t>郑州</w:t>
            </w:r>
            <w:r>
              <w:rPr>
                <w:rFonts w:ascii="Times New Roman" w:hAnsi="Times New Roman" w:eastAsia="宋体" w:cs="Times New Roman"/>
              </w:rPr>
              <w:t>港</w:t>
            </w:r>
            <w:r>
              <w:rPr>
                <w:rFonts w:hint="eastAsia" w:ascii="Times New Roman" w:hAnsi="Times New Roman" w:eastAsia="宋体" w:cs="Times New Roman"/>
              </w:rPr>
              <w:t>约</w:t>
            </w:r>
            <w:r>
              <w:rPr>
                <w:rFonts w:ascii="Times New Roman" w:hAnsi="Times New Roman" w:eastAsia="宋体" w:cs="Times New Roman"/>
              </w:rPr>
              <w:t>70公里</w:t>
            </w:r>
            <w:r>
              <w:rPr>
                <w:rFonts w:hint="eastAsia" w:ascii="Times New Roman" w:hAnsi="Times New Roman" w:eastAsia="宋体" w:cs="Times New Roman"/>
              </w:rPr>
              <w:t>。</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3000吨级货船全年通航，建有建峰尿素专用码头、大件码头、涪通物流固体危化品码头、涪通物流液体危化品码头、大石溪固态危化品及散杂货码头，总吞吐能力630万吨/年。</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5" w:hRule="atLeast"/>
        </w:trPr>
        <w:tc>
          <w:tcPr>
            <w:tcW w:w="0" w:type="auto"/>
            <w:vMerge w:val="restart"/>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ascii="Times New Roman" w:hAnsi="Times New Roman" w:eastAsia="宋体" w:cs="Times New Roman"/>
                <w:b/>
                <w:bCs/>
                <w:color w:val="FFFFFF" w:themeColor="background1"/>
                <w14:textFill>
                  <w14:solidFill>
                    <w14:schemeClr w14:val="bg1"/>
                  </w14:solidFill>
                </w14:textFill>
              </w:rPr>
              <w:t>公用工程</w:t>
            </w: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工业供水</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已与大屯水库、丁东水库签订供水协议，日供水能力</w:t>
            </w:r>
            <w:r>
              <w:rPr>
                <w:rFonts w:ascii="Times New Roman" w:hAnsi="Times New Roman" w:eastAsia="宋体" w:cs="Times New Roman"/>
              </w:rPr>
              <w:t>40万方</w:t>
            </w:r>
          </w:p>
        </w:tc>
        <w:tc>
          <w:tcPr>
            <w:tcW w:w="3213" w:type="dxa"/>
            <w:vMerge w:val="restart"/>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区内初步形成了“两横两纵”的干路网络布局结构，</w:t>
            </w:r>
            <w:r>
              <w:rPr>
                <w:rFonts w:ascii="Times New Roman" w:hAnsi="Times New Roman" w:eastAsia="宋体" w:cs="Times New Roman"/>
              </w:rPr>
              <w:t>建成了园区供水管网12公里、燃气管网10公里、供热管网14公里。</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园区工业取、供水能力为</w:t>
            </w:r>
            <w:r>
              <w:rPr>
                <w:rFonts w:ascii="Times New Roman" w:hAnsi="Times New Roman" w:eastAsia="宋体" w:cs="Times New Roman"/>
              </w:rPr>
              <w:t>20万吨/天</w:t>
            </w:r>
            <w:r>
              <w:rPr>
                <w:rFonts w:hint="eastAsia" w:ascii="Times New Roman" w:hAnsi="Times New Roman" w:eastAsia="宋体" w:cs="Times New Roman"/>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供汽条件</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总装机容量</w:t>
            </w:r>
            <w:r>
              <w:rPr>
                <w:rFonts w:ascii="Times New Roman" w:hAnsi="Times New Roman" w:eastAsia="宋体" w:cs="Times New Roman"/>
              </w:rPr>
              <w:t>270万千瓦的华能德州电厂已与园区签订蒸汽供应战略协议，并实现产业链互补，可全面保障园区内企业生产蒸汽需求</w:t>
            </w:r>
            <w:r>
              <w:rPr>
                <w:rFonts w:hint="eastAsia" w:ascii="Times New Roman" w:hAnsi="Times New Roman" w:eastAsia="宋体" w:cs="Times New Roman"/>
              </w:rPr>
              <w:t>。</w:t>
            </w:r>
          </w:p>
        </w:tc>
        <w:tc>
          <w:tcPr>
            <w:tcW w:w="3213" w:type="dxa"/>
            <w:vMerge w:val="continue"/>
            <w:shd w:val="clear" w:color="auto" w:fill="B4C6E7" w:themeFill="accent1" w:themeFillTint="66"/>
          </w:tcPr>
          <w:p>
            <w:pPr>
              <w:pStyle w:val="30"/>
              <w:jc w:val="center"/>
              <w:rPr>
                <w:rFonts w:ascii="Times New Roman" w:hAnsi="Times New Roman" w:eastAsia="宋体" w:cs="Times New Roman"/>
              </w:rPr>
            </w:pPr>
          </w:p>
        </w:tc>
        <w:tc>
          <w:tcPr>
            <w:tcW w:w="3496"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园区热岛装机容量为</w:t>
            </w:r>
            <w:r>
              <w:rPr>
                <w:rFonts w:ascii="Times New Roman" w:hAnsi="Times New Roman" w:eastAsia="宋体" w:cs="Times New Roman"/>
              </w:rPr>
              <w:t>4台440T/h循环流化床锅炉+1台5万kw抽汽凝汽式发电机组+2台3万kw抽汽背压式发电机组，可为企业提供514T/h中压蒸汽、520T/h低压蒸汽、5.6万kw/h电力、90T/h除盐水，另华峰集团建有自备热电联产装置</w:t>
            </w:r>
            <w:r>
              <w:rPr>
                <w:rFonts w:hint="eastAsia" w:ascii="Times New Roman" w:hAnsi="Times New Roman" w:eastAsia="宋体" w:cs="Times New Roman"/>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排水条件</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由光大水务（德州）有限公司南运河污水处理厂进行处理，该处理厂总设计处理能力</w:t>
            </w:r>
            <w:r>
              <w:rPr>
                <w:rFonts w:ascii="Times New Roman" w:hAnsi="Times New Roman" w:eastAsia="宋体" w:cs="Times New Roman"/>
              </w:rPr>
              <w:t>15万立方米/日</w:t>
            </w:r>
            <w:r>
              <w:rPr>
                <w:rFonts w:hint="eastAsia" w:ascii="Times New Roman" w:hAnsi="Times New Roman" w:eastAsia="宋体" w:cs="Times New Roman"/>
              </w:rPr>
              <w:t>。</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建成了</w:t>
            </w:r>
            <w:r>
              <w:rPr>
                <w:rFonts w:ascii="Times New Roman" w:hAnsi="Times New Roman" w:eastAsia="宋体" w:cs="Times New Roman"/>
              </w:rPr>
              <w:t>1座日处理2万吨污水处理厂</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污水处理厂处理能力具备</w:t>
            </w:r>
            <w:r>
              <w:rPr>
                <w:rFonts w:ascii="Times New Roman" w:hAnsi="Times New Roman" w:eastAsia="宋体" w:cs="Times New Roman"/>
              </w:rPr>
              <w:t>3万吨/天</w:t>
            </w:r>
            <w:r>
              <w:rPr>
                <w:rFonts w:hint="eastAsia" w:ascii="Times New Roman" w:hAnsi="Times New Roman" w:eastAsia="宋体" w:cs="Times New Roman"/>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3" w:hRule="atLeast"/>
        </w:trPr>
        <w:tc>
          <w:tcPr>
            <w:tcW w:w="0" w:type="auto"/>
            <w:vMerge w:val="continue"/>
            <w:tcBorders>
              <w:left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p>
        </w:tc>
        <w:tc>
          <w:tcPr>
            <w:tcW w:w="1345" w:type="dxa"/>
            <w:shd w:val="clear" w:color="auto" w:fill="B4C6E7" w:themeFill="accent1" w:themeFillTint="66"/>
          </w:tcPr>
          <w:p>
            <w:pPr>
              <w:pStyle w:val="30"/>
              <w:jc w:val="center"/>
              <w:rPr>
                <w:rFonts w:ascii="Times New Roman" w:hAnsi="Times New Roman" w:eastAsia="宋体" w:cs="Times New Roman"/>
              </w:rPr>
            </w:pPr>
            <w:r>
              <w:rPr>
                <w:rFonts w:ascii="Times New Roman" w:hAnsi="Times New Roman" w:eastAsia="宋体" w:cs="Times New Roman"/>
              </w:rPr>
              <w:t>电力工程</w:t>
            </w:r>
          </w:p>
        </w:tc>
        <w:tc>
          <w:tcPr>
            <w:tcW w:w="269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区内建设有2</w:t>
            </w:r>
            <w:r>
              <w:rPr>
                <w:rFonts w:ascii="Times New Roman" w:hAnsi="Times New Roman" w:eastAsia="宋体" w:cs="Times New Roman"/>
              </w:rPr>
              <w:t>20</w:t>
            </w:r>
            <w:r>
              <w:rPr>
                <w:rFonts w:hint="eastAsia" w:ascii="Times New Roman" w:hAnsi="Times New Roman" w:eastAsia="宋体" w:cs="Times New Roman"/>
              </w:rPr>
              <w:t>k</w:t>
            </w:r>
            <w:r>
              <w:rPr>
                <w:rFonts w:ascii="Times New Roman" w:hAnsi="Times New Roman" w:eastAsia="宋体" w:cs="Times New Roman"/>
              </w:rPr>
              <w:t>V</w:t>
            </w:r>
            <w:r>
              <w:rPr>
                <w:rFonts w:hint="eastAsia" w:ascii="Times New Roman" w:hAnsi="Times New Roman" w:eastAsia="宋体" w:cs="Times New Roman"/>
              </w:rPr>
              <w:t>变电站一台。</w:t>
            </w:r>
          </w:p>
        </w:tc>
        <w:tc>
          <w:tcPr>
            <w:tcW w:w="3213"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区内建有</w:t>
            </w:r>
            <w:r>
              <w:rPr>
                <w:rFonts w:ascii="Times New Roman" w:hAnsi="Times New Roman" w:eastAsia="宋体" w:cs="Times New Roman"/>
              </w:rPr>
              <w:t>1座220kV虹桥变、1座110kV光明变电站及东大110kV变电站。</w:t>
            </w:r>
          </w:p>
        </w:tc>
        <w:tc>
          <w:tcPr>
            <w:tcW w:w="3496" w:type="dxa"/>
            <w:shd w:val="clear" w:color="auto" w:fill="B4C6E7" w:themeFill="accent1" w:themeFillTint="66"/>
          </w:tcPr>
          <w:p>
            <w:pPr>
              <w:pStyle w:val="30"/>
              <w:jc w:val="center"/>
              <w:rPr>
                <w:rFonts w:ascii="Times New Roman" w:hAnsi="Times New Roman" w:eastAsia="宋体" w:cs="Times New Roman"/>
              </w:rPr>
            </w:pPr>
            <w:r>
              <w:rPr>
                <w:rFonts w:hint="eastAsia" w:ascii="Times New Roman" w:hAnsi="Times New Roman" w:eastAsia="宋体" w:cs="Times New Roman"/>
              </w:rPr>
              <w:t>区内建有聚龙电力</w:t>
            </w:r>
            <w:r>
              <w:rPr>
                <w:rFonts w:ascii="Times New Roman" w:hAnsi="Times New Roman" w:eastAsia="宋体" w:cs="Times New Roman"/>
              </w:rPr>
              <w:t>220kV油房变电站、110kV哨楼变电站和国网220kV新立变电站，可实现双电源双回路供电，供电能力88亿度/年。</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5" w:hRule="atLeast"/>
        </w:trPr>
        <w:tc>
          <w:tcPr>
            <w:tcW w:w="1838" w:type="dxa"/>
            <w:gridSpan w:val="2"/>
            <w:tcBorders>
              <w:left w:val="single" w:color="FFFFFF" w:themeColor="background1" w:sz="4" w:space="0"/>
              <w:bottom w:val="single" w:color="FFFFFF" w:themeColor="background1" w:sz="4" w:space="0"/>
            </w:tcBorders>
            <w:shd w:val="clear" w:color="auto" w:fill="4472C4" w:themeFill="accent1"/>
          </w:tcPr>
          <w:p>
            <w:pPr>
              <w:pStyle w:val="30"/>
              <w:jc w:val="center"/>
              <w:rPr>
                <w:rFonts w:ascii="Times New Roman" w:hAnsi="Times New Roman" w:eastAsia="宋体" w:cs="Times New Roman"/>
                <w:b w:val="0"/>
                <w:bCs w:val="0"/>
                <w:color w:val="FFFFFF" w:themeColor="background1"/>
                <w14:textFill>
                  <w14:solidFill>
                    <w14:schemeClr w14:val="bg1"/>
                  </w14:solidFill>
                </w14:textFill>
              </w:rPr>
            </w:pPr>
            <w:r>
              <w:rPr>
                <w:rFonts w:ascii="Times New Roman" w:hAnsi="Times New Roman" w:eastAsia="宋体" w:cs="Times New Roman"/>
                <w:b/>
                <w:bCs/>
                <w:color w:val="FFFFFF" w:themeColor="background1"/>
                <w14:textFill>
                  <w14:solidFill>
                    <w14:schemeClr w14:val="bg1"/>
                  </w14:solidFill>
                </w14:textFill>
              </w:rPr>
              <w:t>优惠政策</w:t>
            </w:r>
          </w:p>
        </w:tc>
        <w:tc>
          <w:tcPr>
            <w:tcW w:w="2693"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政府优先引入具有创新性、高技术性项目入园，正在完善制定《“运河英才”人才支撑计划》、《高层次人才服务中心规划方案》、《企业退城进园实施方案》等一系列政策扶持，全力提供产业园项目平台支撑。</w:t>
            </w:r>
          </w:p>
        </w:tc>
        <w:tc>
          <w:tcPr>
            <w:tcW w:w="3213" w:type="dxa"/>
            <w:shd w:val="clear" w:color="auto" w:fill="D9E2F3" w:themeFill="accent1" w:themeFillTint="33"/>
          </w:tcPr>
          <w:p>
            <w:pPr>
              <w:pStyle w:val="30"/>
              <w:jc w:val="center"/>
              <w:rPr>
                <w:rFonts w:ascii="Times New Roman" w:hAnsi="Times New Roman" w:eastAsia="宋体" w:cs="Times New Roman"/>
              </w:rPr>
            </w:pPr>
            <w:r>
              <w:rPr>
                <w:rFonts w:ascii="Times New Roman" w:hAnsi="Times New Roman" w:eastAsia="宋体" w:cs="Times New Roman"/>
              </w:rPr>
              <w:t>开封市</w:t>
            </w:r>
            <w:r>
              <w:rPr>
                <w:rFonts w:hint="eastAsia" w:ascii="Times New Roman" w:hAnsi="Times New Roman" w:eastAsia="宋体" w:cs="Times New Roman"/>
              </w:rPr>
              <w:t>政府</w:t>
            </w:r>
            <w:r>
              <w:rPr>
                <w:rFonts w:ascii="Times New Roman" w:hAnsi="Times New Roman" w:eastAsia="宋体" w:cs="Times New Roman"/>
              </w:rPr>
              <w:t>加快实施“制造立市”战略，明确要把精细化工产业打造成“千亿级”产业集群，推进开封精细化工开发区创建国家级绿色化工园区，</w:t>
            </w:r>
            <w:r>
              <w:rPr>
                <w:rFonts w:hint="eastAsia" w:ascii="Times New Roman" w:hAnsi="Times New Roman" w:eastAsia="宋体" w:cs="Times New Roman"/>
              </w:rPr>
              <w:t>持续深化提前介入主动服务的工作机制，聚焦企业和项目建设难点、痛点、堵点问题，做好政策解读，全力帮扶。</w:t>
            </w:r>
          </w:p>
        </w:tc>
        <w:tc>
          <w:tcPr>
            <w:tcW w:w="3496" w:type="dxa"/>
            <w:shd w:val="clear" w:color="auto" w:fill="D9E2F3" w:themeFill="accent1" w:themeFillTint="33"/>
          </w:tcPr>
          <w:p>
            <w:pPr>
              <w:pStyle w:val="30"/>
              <w:jc w:val="center"/>
              <w:rPr>
                <w:rFonts w:ascii="Times New Roman" w:hAnsi="Times New Roman" w:eastAsia="宋体" w:cs="Times New Roman"/>
              </w:rPr>
            </w:pPr>
            <w:r>
              <w:rPr>
                <w:rFonts w:hint="eastAsia" w:ascii="Times New Roman" w:hAnsi="Times New Roman" w:eastAsia="宋体" w:cs="Times New Roman"/>
              </w:rPr>
              <w:t>政府和开发区聚焦重点产业领域龙头企业和高成长性企业，聚焦打造产业发展要素集聚地，着力更多角度、多举措提升产业发展和保障现代化水平，并加大对外开放力度，优化投资环境。</w:t>
            </w:r>
          </w:p>
        </w:tc>
      </w:tr>
    </w:tbl>
    <w:p>
      <w:pPr>
        <w:spacing w:before="156" w:after="156"/>
      </w:pPr>
    </w:p>
    <w:p>
      <w:pPr>
        <w:pStyle w:val="4"/>
        <w:spacing w:before="156" w:after="156"/>
        <w:rPr>
          <w:rFonts w:ascii="Times New Roman" w:hAnsi="Times New Roman" w:eastAsia="宋体" w:cs="Times New Roman"/>
        </w:rPr>
      </w:pPr>
      <w:bookmarkStart w:id="73" w:name="_Toc141670009"/>
      <w:r>
        <w:rPr>
          <w:rFonts w:ascii="Times New Roman" w:hAnsi="Times New Roman" w:eastAsia="宋体" w:cs="Times New Roman"/>
        </w:rPr>
        <w:t>6.2.2</w:t>
      </w:r>
      <w:r>
        <w:rPr>
          <w:rFonts w:hint="eastAsia" w:ascii="Times New Roman" w:hAnsi="Times New Roman" w:eastAsia="宋体" w:cs="Times New Roman"/>
        </w:rPr>
        <w:t xml:space="preserve"> 厂址选择</w:t>
      </w:r>
      <w:bookmarkEnd w:id="73"/>
    </w:p>
    <w:p>
      <w:pPr>
        <w:spacing w:before="156" w:after="156"/>
        <w:ind w:firstLine="420"/>
        <w:rPr>
          <w:rFonts w:ascii="Times New Roman" w:hAnsi="Times New Roman" w:cs="Times New Roman"/>
        </w:rPr>
      </w:pPr>
      <w:r>
        <w:rPr>
          <w:rFonts w:hint="eastAsia" w:ascii="Times New Roman" w:hAnsi="Times New Roman" w:cs="Times New Roman"/>
        </w:rPr>
        <w:t>根据本项目的具体情况，经过国内不同化工园区的筛选，最终确定总厂为重庆涪陵白涛工业园区。现对其特点进行列表说明：</w:t>
      </w:r>
    </w:p>
    <w:tbl>
      <w:tblPr>
        <w:tblStyle w:val="43"/>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148"/>
        <w:gridCol w:w="414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top w:val="single" w:color="FFFFFF" w:themeColor="background1" w:sz="4" w:space="0"/>
              <w:left w:val="single" w:color="FFFFFF" w:themeColor="background1" w:sz="4" w:space="0"/>
              <w:right w:val="nil"/>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特点</w:t>
            </w:r>
          </w:p>
        </w:tc>
        <w:tc>
          <w:tcPr>
            <w:tcW w:w="4148" w:type="dxa"/>
            <w:tcBorders>
              <w:top w:val="single" w:color="FFFFFF" w:themeColor="background1" w:sz="4" w:space="0"/>
              <w:right w:val="single" w:color="FFFFFF" w:themeColor="background1" w:sz="4" w:space="0"/>
              <w:insideV w:val="nil"/>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说明</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原料供应充足</w:t>
            </w:r>
          </w:p>
        </w:tc>
        <w:tc>
          <w:tcPr>
            <w:tcW w:w="4148" w:type="dxa"/>
            <w:shd w:val="clear" w:color="auto" w:fill="B4C6E7" w:themeFill="accent1" w:themeFillTint="66"/>
          </w:tcPr>
          <w:p>
            <w:pPr>
              <w:spacing w:before="0" w:beforeLines="0" w:after="0" w:afterLines="0"/>
              <w:jc w:val="center"/>
              <w:rPr>
                <w:rFonts w:ascii="Times New Roman" w:hAnsi="Times New Roman" w:cs="Times New Roman"/>
              </w:rPr>
            </w:pPr>
            <w:r>
              <w:rPr>
                <w:rFonts w:hint="eastAsia" w:ascii="Times New Roman" w:hAnsi="Times New Roman" w:cs="Times New Roman"/>
              </w:rPr>
              <w:t>重庆华峰化工有限公司为国内己二酸产能最高的企业，且液氨也来源于总厂，可为己二腈生产提供足够的原料支撑。</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能源保障充足</w:t>
            </w:r>
          </w:p>
        </w:tc>
        <w:tc>
          <w:tcPr>
            <w:tcW w:w="4148"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园区工业取、供水能力较好</w:t>
            </w:r>
            <w:r>
              <w:rPr>
                <w:rFonts w:ascii="Times New Roman" w:hAnsi="Times New Roman" w:cs="Times New Roman"/>
              </w:rPr>
              <w:t>，污水处理厂处理能力</w:t>
            </w:r>
            <w:r>
              <w:rPr>
                <w:rFonts w:hint="eastAsia" w:ascii="Times New Roman" w:hAnsi="Times New Roman" w:cs="Times New Roman"/>
              </w:rPr>
              <w:t>足够</w:t>
            </w:r>
            <w:r>
              <w:rPr>
                <w:rFonts w:ascii="Times New Roman" w:hAnsi="Times New Roman" w:cs="Times New Roman"/>
              </w:rPr>
              <w:t>，拥有4个提升泵房及其供水管网</w:t>
            </w:r>
            <w:r>
              <w:rPr>
                <w:rFonts w:hint="eastAsia" w:ascii="Times New Roman" w:hAnsi="Times New Roman" w:cs="Times New Roman"/>
              </w:rPr>
              <w:t>；</w:t>
            </w:r>
            <w:r>
              <w:rPr>
                <w:rFonts w:hint="eastAsia" w:ascii="宋体" w:hAnsi="宋体" w:cs="宋体"/>
              </w:rPr>
              <w:t>具有较好的电力工程，</w:t>
            </w:r>
            <w:r>
              <w:rPr>
                <w:rFonts w:ascii="Times New Roman" w:hAnsi="Times New Roman" w:cs="Times New Roman"/>
              </w:rPr>
              <w:t>可实现双电源双回路供电，供电能力</w:t>
            </w:r>
            <w:r>
              <w:rPr>
                <w:rFonts w:hint="eastAsia" w:ascii="Times New Roman" w:hAnsi="Times New Roman" w:cs="Times New Roman"/>
              </w:rPr>
              <w:t>高；</w:t>
            </w:r>
            <w:r>
              <w:rPr>
                <w:rFonts w:ascii="Times New Roman" w:hAnsi="Times New Roman" w:cs="Times New Roman"/>
              </w:rPr>
              <w:t>页岩气管输能力58亿立方米/年</w:t>
            </w:r>
            <w:r>
              <w:rPr>
                <w:rFonts w:hint="eastAsia" w:ascii="Times New Roman" w:hAnsi="Times New Roman" w:cs="Times New Roman"/>
              </w:rPr>
              <w:t>，</w:t>
            </w:r>
            <w:r>
              <w:rPr>
                <w:rFonts w:ascii="Times New Roman" w:hAnsi="Times New Roman" w:cs="Times New Roman"/>
              </w:rPr>
              <w:t>配套</w:t>
            </w:r>
            <w:r>
              <w:rPr>
                <w:rFonts w:hint="eastAsia" w:ascii="Times New Roman" w:hAnsi="Times New Roman" w:cs="Times New Roman"/>
              </w:rPr>
              <w:t>多家供气机构和公司</w:t>
            </w:r>
            <w:r>
              <w:rPr>
                <w:rFonts w:ascii="Times New Roman" w:hAnsi="Times New Roman" w:cs="Times New Roman"/>
              </w:rPr>
              <w:t>以及相应供气管网</w:t>
            </w:r>
            <w:r>
              <w:rPr>
                <w:rFonts w:hint="eastAsia" w:ascii="Times New Roman" w:hAnsi="Times New Roman" w:cs="Times New Roman"/>
              </w:rPr>
              <w:t>，此外还具有较好的蒸汽供给条件</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物流运输便捷</w:t>
            </w:r>
          </w:p>
        </w:tc>
        <w:tc>
          <w:tcPr>
            <w:tcW w:w="4148" w:type="dxa"/>
            <w:shd w:val="clear" w:color="auto" w:fill="B4C6E7" w:themeFill="accent1" w:themeFillTint="66"/>
          </w:tcPr>
          <w:p>
            <w:pPr>
              <w:spacing w:before="0" w:beforeLines="0" w:after="0" w:afterLines="0"/>
              <w:jc w:val="center"/>
              <w:rPr>
                <w:rFonts w:ascii="Times New Roman" w:hAnsi="Times New Roman" w:cs="Times New Roman"/>
              </w:rPr>
            </w:pPr>
            <w:r>
              <w:rPr>
                <w:rFonts w:hint="eastAsia" w:ascii="Times New Roman" w:hAnsi="Times New Roman" w:cs="Times New Roman"/>
              </w:rPr>
              <w:t>有专用的铁路运输线路，且内部基本形成“三横三纵”的公路网络，全年通航较大级别的货船，并建有相关的码头，吞吐能力不错。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保障设施较为完善</w:t>
            </w:r>
          </w:p>
        </w:tc>
        <w:tc>
          <w:tcPr>
            <w:tcW w:w="4148"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建有应急事故指挥中心、园区消防特勤站、建峰污水处理厂、潘家坝污水处理厂及其污水管网、固废渣场、环境事故应急闸坝。</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left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拥有天然安全屏障</w:t>
            </w:r>
          </w:p>
        </w:tc>
        <w:tc>
          <w:tcPr>
            <w:tcW w:w="4148" w:type="dxa"/>
            <w:shd w:val="clear" w:color="auto" w:fill="B4C6E7" w:themeFill="accent1" w:themeFillTint="66"/>
          </w:tcPr>
          <w:p>
            <w:pPr>
              <w:spacing w:before="0" w:beforeLines="0" w:after="0" w:afterLines="0"/>
              <w:jc w:val="center"/>
              <w:rPr>
                <w:rFonts w:ascii="Times New Roman" w:hAnsi="Times New Roman" w:cs="Times New Roman"/>
              </w:rPr>
            </w:pPr>
            <w:r>
              <w:rPr>
                <w:rFonts w:hint="eastAsia" w:ascii="Times New Roman" w:hAnsi="Times New Roman" w:cs="Times New Roman"/>
              </w:rPr>
              <w:t>园区核心区域距乌江</w:t>
            </w:r>
            <w:r>
              <w:rPr>
                <w:rFonts w:ascii="Times New Roman" w:hAnsi="Times New Roman" w:cs="Times New Roman"/>
              </w:rPr>
              <w:t>5公里以上，被小山丘自然隔断，拥有天然的安全屏障，环保容量大，是发展化工新材料产业的理想之地。</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4148" w:type="dxa"/>
            <w:tcBorders>
              <w:left w:val="single" w:color="FFFFFF" w:themeColor="background1" w:sz="4" w:space="0"/>
              <w:bottom w:val="single" w:color="FFFFFF" w:themeColor="background1" w:sz="4" w:space="0"/>
            </w:tcBorders>
            <w:shd w:val="clear" w:color="auto" w:fill="4472C4" w:themeFill="accent1"/>
          </w:tcPr>
          <w:p>
            <w:pPr>
              <w:spacing w:before="0" w:beforeLines="0" w:after="0" w:afterLines="0"/>
              <w:jc w:val="center"/>
              <w:rPr>
                <w:rFonts w:ascii="Times New Roman" w:hAnsi="Times New Roman" w:cs="Times New Roman"/>
                <w:b w:val="0"/>
                <w:bCs w:val="0"/>
                <w:color w:val="FFFFFF" w:themeColor="background1"/>
                <w14:textFill>
                  <w14:solidFill>
                    <w14:schemeClr w14:val="bg1"/>
                  </w14:solidFill>
                </w14:textFill>
              </w:rPr>
            </w:pPr>
            <w:r>
              <w:rPr>
                <w:rFonts w:hint="eastAsia" w:ascii="Times New Roman" w:hAnsi="Times New Roman" w:cs="Times New Roman"/>
                <w:b/>
                <w:bCs/>
                <w:color w:val="FFFFFF" w:themeColor="background1"/>
                <w14:textFill>
                  <w14:solidFill>
                    <w14:schemeClr w14:val="bg1"/>
                  </w14:solidFill>
                </w14:textFill>
              </w:rPr>
              <w:t>政策支持</w:t>
            </w:r>
          </w:p>
        </w:tc>
        <w:tc>
          <w:tcPr>
            <w:tcW w:w="4148" w:type="dxa"/>
            <w:shd w:val="clear" w:color="auto" w:fill="D9E2F3" w:themeFill="accent1" w:themeFillTint="33"/>
          </w:tcPr>
          <w:p>
            <w:pPr>
              <w:spacing w:before="0" w:beforeLines="0" w:after="0" w:afterLines="0"/>
              <w:jc w:val="center"/>
              <w:rPr>
                <w:rFonts w:ascii="Times New Roman" w:hAnsi="Times New Roman" w:cs="Times New Roman"/>
              </w:rPr>
            </w:pPr>
            <w:r>
              <w:rPr>
                <w:rFonts w:hint="eastAsia" w:ascii="Times New Roman" w:hAnsi="Times New Roman" w:cs="Times New Roman"/>
              </w:rPr>
              <w:t>政府和开发区支持园区创新发展、引育人才、拓展发展空间、技术革新等方面。</w:t>
            </w:r>
          </w:p>
        </w:tc>
      </w:tr>
    </w:tbl>
    <w:p>
      <w:pPr>
        <w:spacing w:before="156" w:after="156"/>
        <w:ind w:firstLine="420"/>
        <w:rPr>
          <w:rFonts w:ascii="Times New Roman" w:hAnsi="Times New Roman" w:cs="Times New Roman"/>
        </w:rPr>
      </w:pPr>
    </w:p>
    <w:p>
      <w:pPr>
        <w:spacing w:before="156" w:after="156"/>
        <w:ind w:firstLine="420"/>
        <w:rPr>
          <w:rFonts w:ascii="Times New Roman" w:hAnsi="Times New Roman" w:cs="Times New Roman"/>
        </w:rPr>
      </w:pPr>
      <w:r>
        <w:rPr>
          <w:rFonts w:hint="eastAsia" w:ascii="Times New Roman" w:hAnsi="Times New Roman" w:cs="Times New Roman"/>
        </w:rPr>
        <w:t>白涛工业园区厂址土地规划图如图6</w:t>
      </w:r>
      <w:r>
        <w:rPr>
          <w:rFonts w:ascii="Times New Roman" w:hAnsi="Times New Roman" w:cs="Times New Roman"/>
        </w:rPr>
        <w:t>-1</w:t>
      </w:r>
      <w:r>
        <w:rPr>
          <w:rFonts w:hint="eastAsia" w:ascii="Times New Roman" w:hAnsi="Times New Roman" w:cs="Times New Roman"/>
        </w:rPr>
        <w:t>所示，其中棕色区域为工业用地。</w:t>
      </w:r>
    </w:p>
    <w:p>
      <w:pPr>
        <w:spacing w:before="156" w:after="156"/>
        <w:ind w:firstLine="420"/>
        <w:jc w:val="center"/>
        <w:rPr>
          <w:rFonts w:ascii="Times New Roman" w:hAnsi="Times New Roman" w:cs="Times New Roman"/>
        </w:rPr>
      </w:pPr>
      <w:r>
        <w:rPr>
          <w:rFonts w:hint="eastAsia" w:ascii="Times New Roman" w:hAnsi="Times New Roman" w:cs="Times New Roman"/>
        </w:rPr>
        <w:drawing>
          <wp:inline distT="0" distB="0" distL="0" distR="0">
            <wp:extent cx="2602865" cy="2375535"/>
            <wp:effectExtent l="0" t="0" r="698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cstate="print">
                      <a:extLst>
                        <a:ext uri="{28A0092B-C50C-407E-A947-70E740481C1C}">
                          <a14:useLocalDpi xmlns:a14="http://schemas.microsoft.com/office/drawing/2010/main" val="0"/>
                        </a:ext>
                      </a:extLst>
                    </a:blip>
                    <a:srcRect l="78091" t="63660" r="4713" b="4947"/>
                    <a:stretch>
                      <a:fillRect/>
                    </a:stretch>
                  </pic:blipFill>
                  <pic:spPr>
                    <a:xfrm>
                      <a:off x="0" y="0"/>
                      <a:ext cx="2666657" cy="2433554"/>
                    </a:xfrm>
                    <a:prstGeom prst="rect">
                      <a:avLst/>
                    </a:prstGeom>
                    <a:ln>
                      <a:noFill/>
                    </a:ln>
                  </pic:spPr>
                </pic:pic>
              </a:graphicData>
            </a:graphic>
          </wp:inline>
        </w:drawing>
      </w:r>
    </w:p>
    <w:p>
      <w:pPr>
        <w:spacing w:before="156" w:after="156"/>
        <w:ind w:firstLine="420"/>
        <w:jc w:val="center"/>
        <w:rPr>
          <w:rFonts w:ascii="Times New Roman" w:hAnsi="Times New Roman" w:cs="Times New Roman"/>
          <w:b/>
          <w:sz w:val="18"/>
          <w:szCs w:val="18"/>
        </w:rPr>
      </w:pPr>
      <w:r>
        <w:rPr>
          <w:rFonts w:hint="eastAsia" w:ascii="Times New Roman" w:hAnsi="Times New Roman" w:cs="Times New Roman"/>
          <w:b/>
          <w:sz w:val="18"/>
          <w:szCs w:val="18"/>
        </w:rPr>
        <w:t>图6</w:t>
      </w:r>
      <w:r>
        <w:rPr>
          <w:rFonts w:ascii="Times New Roman" w:hAnsi="Times New Roman" w:cs="Times New Roman"/>
          <w:b/>
          <w:sz w:val="18"/>
          <w:szCs w:val="18"/>
        </w:rPr>
        <w:t xml:space="preserve">-1 </w:t>
      </w:r>
      <w:r>
        <w:rPr>
          <w:rFonts w:hint="eastAsia" w:ascii="Times New Roman" w:hAnsi="Times New Roman" w:cs="Times New Roman"/>
          <w:b/>
          <w:sz w:val="18"/>
          <w:szCs w:val="18"/>
        </w:rPr>
        <w:t>白涛工业园区土地规划图</w:t>
      </w:r>
    </w:p>
    <w:p>
      <w:pPr>
        <w:spacing w:before="156" w:after="156"/>
        <w:ind w:firstLine="420"/>
        <w:rPr>
          <w:rFonts w:ascii="Times New Roman" w:hAnsi="Times New Roman" w:cs="Times New Roman"/>
          <w:sz w:val="18"/>
          <w:szCs w:val="18"/>
        </w:rPr>
      </w:pPr>
    </w:p>
    <w:p>
      <w:pPr>
        <w:spacing w:before="156" w:after="156"/>
        <w:ind w:firstLine="420"/>
        <w:rPr>
          <w:rFonts w:ascii="Times New Roman" w:hAnsi="Times New Roman" w:cs="Times New Roman"/>
          <w:sz w:val="18"/>
          <w:szCs w:val="18"/>
        </w:rPr>
      </w:pPr>
      <w:r>
        <w:rPr>
          <w:rFonts w:hint="eastAsia" w:ascii="Times New Roman" w:hAnsi="Times New Roman" w:cs="Times New Roman"/>
          <w:sz w:val="18"/>
          <w:szCs w:val="18"/>
        </w:rPr>
        <w:t>根据《重庆市涪陵区化工行业“十四五”安全发展规划（</w:t>
      </w:r>
      <w:r>
        <w:rPr>
          <w:rFonts w:ascii="Times New Roman" w:hAnsi="Times New Roman" w:cs="Times New Roman"/>
          <w:sz w:val="18"/>
          <w:szCs w:val="18"/>
        </w:rPr>
        <w:t>2021—2025年）》</w:t>
      </w:r>
      <w:r>
        <w:rPr>
          <w:rFonts w:hint="eastAsia" w:ascii="Times New Roman" w:hAnsi="Times New Roman" w:cs="Times New Roman"/>
          <w:sz w:val="18"/>
          <w:szCs w:val="18"/>
        </w:rPr>
        <w:t>文件中所示白涛工业园区的工业用地正在扩建开放当中，分布规划图如上图6</w:t>
      </w:r>
      <w:r>
        <w:rPr>
          <w:rFonts w:ascii="Times New Roman" w:hAnsi="Times New Roman" w:cs="Times New Roman"/>
          <w:sz w:val="18"/>
          <w:szCs w:val="18"/>
        </w:rPr>
        <w:t>-1</w:t>
      </w:r>
      <w:r>
        <w:rPr>
          <w:rFonts w:hint="eastAsia" w:ascii="Times New Roman" w:hAnsi="Times New Roman" w:cs="Times New Roman"/>
          <w:sz w:val="18"/>
          <w:szCs w:val="18"/>
        </w:rPr>
        <w:t>所示，本项目选择厂址如下图6</w:t>
      </w:r>
      <w:r>
        <w:rPr>
          <w:rFonts w:ascii="Times New Roman" w:hAnsi="Times New Roman" w:cs="Times New Roman"/>
          <w:sz w:val="18"/>
          <w:szCs w:val="18"/>
        </w:rPr>
        <w:t>-2</w:t>
      </w:r>
      <w:r>
        <w:rPr>
          <w:rFonts w:hint="eastAsia" w:ascii="Times New Roman" w:hAnsi="Times New Roman" w:cs="Times New Roman"/>
          <w:sz w:val="18"/>
          <w:szCs w:val="18"/>
        </w:rPr>
        <w:t>所示，与主要原料供应企业（华峰化工和中化重庆涪陵化工）相近。</w:t>
      </w:r>
    </w:p>
    <w:p>
      <w:pPr>
        <w:spacing w:before="156" w:after="156"/>
        <w:ind w:firstLine="420"/>
        <w:jc w:val="center"/>
        <w:rPr>
          <w:rFonts w:ascii="Times New Roman" w:hAnsi="Times New Roman" w:cs="Times New Roman"/>
          <w:b/>
          <w:sz w:val="18"/>
          <w:szCs w:val="18"/>
        </w:rPr>
      </w:pPr>
      <w:r>
        <w:rPr>
          <w:rFonts w:ascii="Times New Roman" w:hAnsi="Times New Roman" w:cs="Times New Roman"/>
          <w:b/>
          <w:sz w:val="18"/>
          <w:szCs w:val="18"/>
        </w:rPr>
        <w:drawing>
          <wp:inline distT="0" distB="0" distL="0" distR="0">
            <wp:extent cx="3716020" cy="234124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3716594" cy="2341669"/>
                    </a:xfrm>
                    <a:prstGeom prst="rect">
                      <a:avLst/>
                    </a:prstGeom>
                    <a:noFill/>
                  </pic:spPr>
                </pic:pic>
              </a:graphicData>
            </a:graphic>
          </wp:inline>
        </w:drawing>
      </w:r>
    </w:p>
    <w:p>
      <w:pPr>
        <w:spacing w:before="156" w:after="156"/>
        <w:ind w:firstLine="420"/>
        <w:jc w:val="center"/>
        <w:rPr>
          <w:rFonts w:ascii="Times New Roman" w:hAnsi="Times New Roman" w:cs="Times New Roman"/>
          <w:b/>
          <w:sz w:val="18"/>
          <w:szCs w:val="18"/>
        </w:rPr>
      </w:pPr>
      <w:r>
        <w:rPr>
          <w:rFonts w:hint="eastAsia" w:ascii="Times New Roman" w:hAnsi="Times New Roman" w:cs="Times New Roman"/>
          <w:b/>
          <w:sz w:val="18"/>
          <w:szCs w:val="18"/>
        </w:rPr>
        <w:t>图6</w:t>
      </w:r>
      <w:r>
        <w:rPr>
          <w:rFonts w:ascii="Times New Roman" w:hAnsi="Times New Roman" w:cs="Times New Roman"/>
          <w:b/>
          <w:sz w:val="18"/>
          <w:szCs w:val="18"/>
        </w:rPr>
        <w:t xml:space="preserve">-2 </w:t>
      </w:r>
      <w:r>
        <w:rPr>
          <w:rFonts w:hint="eastAsia" w:ascii="Times New Roman" w:hAnsi="Times New Roman" w:cs="Times New Roman"/>
          <w:b/>
          <w:sz w:val="18"/>
          <w:szCs w:val="18"/>
        </w:rPr>
        <w:t>厂址选择</w:t>
      </w:r>
    </w:p>
    <w:p>
      <w:pPr>
        <w:widowControl/>
        <w:autoSpaceDE/>
        <w:autoSpaceDN/>
        <w:spacing w:before="0" w:beforeLines="0" w:after="0" w:afterLines="0"/>
        <w:rPr>
          <w:rFonts w:ascii="Times New Roman" w:hAnsi="Times New Roman" w:cs="Times New Roman"/>
          <w:b/>
          <w:sz w:val="18"/>
          <w:szCs w:val="18"/>
        </w:rPr>
      </w:pPr>
    </w:p>
    <w:p>
      <w:pPr>
        <w:widowControl/>
        <w:autoSpaceDE/>
        <w:autoSpaceDN/>
        <w:spacing w:before="0" w:beforeLines="0" w:after="0" w:afterLines="0"/>
        <w:rPr>
          <w:rFonts w:ascii="Times New Roman" w:hAnsi="Times New Roman" w:cs="Times New Roman"/>
          <w:b/>
          <w:sz w:val="18"/>
          <w:szCs w:val="18"/>
        </w:rPr>
      </w:pPr>
    </w:p>
    <w:p>
      <w:pPr>
        <w:pStyle w:val="2"/>
        <w:spacing w:before="156" w:after="156"/>
        <w:rPr>
          <w:rFonts w:ascii="Times New Roman" w:hAnsi="Times New Roman" w:eastAsia="宋体" w:cs="Times New Roman"/>
          <w:color w:val="auto"/>
        </w:rPr>
      </w:pPr>
      <w:bookmarkStart w:id="74" w:name="_Toc141670010"/>
      <w:r>
        <w:rPr>
          <w:rFonts w:ascii="Times New Roman" w:hAnsi="Times New Roman" w:eastAsia="宋体" w:cs="Times New Roman"/>
          <w:color w:val="auto"/>
        </w:rPr>
        <w:t>第七章 主要污染源及主要污染物</w:t>
      </w:r>
      <w:bookmarkEnd w:id="74"/>
    </w:p>
    <w:p>
      <w:pPr>
        <w:pStyle w:val="3"/>
        <w:spacing w:before="156" w:after="156"/>
        <w:rPr>
          <w:rFonts w:ascii="Times New Roman" w:hAnsi="Times New Roman" w:eastAsia="宋体" w:cs="Times New Roman"/>
        </w:rPr>
      </w:pPr>
      <w:bookmarkStart w:id="75" w:name="_Toc141670011"/>
      <w:r>
        <w:rPr>
          <w:rFonts w:ascii="Times New Roman" w:hAnsi="Times New Roman" w:eastAsia="宋体" w:cs="Times New Roman"/>
        </w:rPr>
        <w:t>7.1 三废排放</w:t>
      </w:r>
      <w:bookmarkEnd w:id="75"/>
    </w:p>
    <w:p>
      <w:pPr>
        <w:spacing w:before="156" w:after="156"/>
        <w:ind w:firstLine="420"/>
        <w:jc w:val="center"/>
        <w:rPr>
          <w:rFonts w:ascii="Times New Roman" w:hAnsi="Times New Roman" w:cs="Times New Roman"/>
          <w:b/>
          <w:sz w:val="18"/>
          <w:szCs w:val="18"/>
        </w:rPr>
      </w:pPr>
    </w:p>
    <w:p>
      <w:pPr>
        <w:spacing w:before="156" w:after="156"/>
        <w:ind w:firstLine="42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7-1 </w:t>
      </w:r>
      <w:r>
        <w:rPr>
          <w:rFonts w:hint="eastAsia" w:ascii="Times New Roman" w:hAnsi="Times New Roman" w:cs="Times New Roman"/>
          <w:b/>
          <w:sz w:val="18"/>
          <w:szCs w:val="18"/>
        </w:rPr>
        <w:t>三废排放总量一览表</w:t>
      </w:r>
    </w:p>
    <w:tbl>
      <w:tblPr>
        <w:tblStyle w:val="56"/>
        <w:tblW w:w="858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145"/>
        <w:gridCol w:w="2145"/>
        <w:gridCol w:w="1806"/>
        <w:gridCol w:w="248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trHeight w:val="67" w:hRule="atLeast"/>
        </w:trPr>
        <w:tc>
          <w:tcPr>
            <w:tcW w:w="2145"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jc w:val="center"/>
              <w:rPr>
                <w:rFonts w:ascii="Times New Roman" w:hAnsi="Times New Roman" w:eastAsia="仿宋" w:cs="Times New Roman"/>
                <w:b/>
                <w:bCs/>
                <w:color w:val="FFFFFF"/>
                <w:kern w:val="2"/>
                <w:sz w:val="20"/>
                <w:szCs w:val="20"/>
              </w:rPr>
            </w:pPr>
            <w:r>
              <w:rPr>
                <w:rFonts w:hint="eastAsia" w:ascii="Times New Roman" w:hAnsi="Times New Roman" w:eastAsia="仿宋" w:cs="Times New Roman"/>
                <w:b/>
                <w:bCs/>
                <w:color w:val="FFFFFF"/>
                <w:kern w:val="2"/>
                <w:sz w:val="20"/>
                <w:szCs w:val="20"/>
              </w:rPr>
              <w:t>三废名称</w:t>
            </w:r>
          </w:p>
        </w:tc>
        <w:tc>
          <w:tcPr>
            <w:tcW w:w="2145"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jc w:val="center"/>
              <w:rPr>
                <w:rFonts w:ascii="Times New Roman" w:hAnsi="Times New Roman" w:eastAsia="仿宋" w:cs="Times New Roman"/>
                <w:b/>
                <w:bCs/>
                <w:color w:val="FFFFFF"/>
                <w:kern w:val="2"/>
                <w:sz w:val="20"/>
                <w:szCs w:val="20"/>
              </w:rPr>
            </w:pPr>
            <w:r>
              <w:rPr>
                <w:rFonts w:hint="eastAsia" w:ascii="Times New Roman" w:hAnsi="Times New Roman" w:eastAsia="仿宋" w:cs="Times New Roman"/>
                <w:b/>
                <w:bCs/>
                <w:color w:val="FFFFFF"/>
                <w:kern w:val="2"/>
                <w:sz w:val="20"/>
                <w:szCs w:val="20"/>
              </w:rPr>
              <w:t>废水（</w:t>
            </w:r>
            <w:r>
              <w:rPr>
                <w:rFonts w:ascii="Times New Roman" w:hAnsi="Times New Roman" w:eastAsia="仿宋" w:cs="Times New Roman"/>
                <w:b/>
                <w:bCs/>
                <w:color w:val="FFFFFF"/>
                <w:kern w:val="2"/>
                <w:sz w:val="20"/>
                <w:szCs w:val="20"/>
              </w:rPr>
              <w:t>t/a</w:t>
            </w:r>
            <w:r>
              <w:rPr>
                <w:rFonts w:hint="eastAsia" w:ascii="Times New Roman" w:hAnsi="Times New Roman" w:eastAsia="仿宋" w:cs="Times New Roman"/>
                <w:b/>
                <w:bCs/>
                <w:color w:val="FFFFFF"/>
                <w:kern w:val="2"/>
                <w:sz w:val="20"/>
                <w:szCs w:val="20"/>
              </w:rPr>
              <w:t>）</w:t>
            </w:r>
          </w:p>
        </w:tc>
        <w:tc>
          <w:tcPr>
            <w:tcW w:w="1806"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jc w:val="center"/>
              <w:rPr>
                <w:rFonts w:ascii="Times New Roman" w:hAnsi="Times New Roman" w:eastAsia="仿宋" w:cs="Times New Roman"/>
                <w:b/>
                <w:bCs/>
                <w:color w:val="FFFFFF"/>
                <w:kern w:val="2"/>
                <w:sz w:val="20"/>
                <w:szCs w:val="20"/>
              </w:rPr>
            </w:pPr>
            <w:r>
              <w:rPr>
                <w:rFonts w:hint="eastAsia" w:ascii="Times New Roman" w:hAnsi="Times New Roman" w:eastAsia="仿宋" w:cs="Times New Roman"/>
                <w:b/>
                <w:bCs/>
                <w:color w:val="FFFFFF"/>
                <w:kern w:val="2"/>
                <w:sz w:val="20"/>
                <w:szCs w:val="20"/>
              </w:rPr>
              <w:t>废气（</w:t>
            </w:r>
            <w:r>
              <w:rPr>
                <w:rFonts w:ascii="Times New Roman" w:hAnsi="Times New Roman" w:eastAsia="仿宋" w:cs="Times New Roman"/>
                <w:b/>
                <w:bCs/>
                <w:color w:val="FFFFFF"/>
                <w:kern w:val="2"/>
                <w:sz w:val="20"/>
                <w:szCs w:val="20"/>
              </w:rPr>
              <w:t>m³/h</w:t>
            </w:r>
            <w:r>
              <w:rPr>
                <w:rFonts w:hint="eastAsia" w:ascii="Times New Roman" w:hAnsi="Times New Roman" w:eastAsia="仿宋" w:cs="Times New Roman"/>
                <w:b/>
                <w:bCs/>
                <w:color w:val="FFFFFF"/>
                <w:kern w:val="2"/>
                <w:sz w:val="20"/>
                <w:szCs w:val="20"/>
              </w:rPr>
              <w:t>）</w:t>
            </w:r>
          </w:p>
        </w:tc>
        <w:tc>
          <w:tcPr>
            <w:tcW w:w="2484"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jc w:val="center"/>
              <w:rPr>
                <w:rFonts w:ascii="Times New Roman" w:hAnsi="Times New Roman" w:eastAsia="仿宋" w:cs="Times New Roman"/>
                <w:b/>
                <w:bCs/>
                <w:color w:val="FFFFFF"/>
                <w:kern w:val="2"/>
                <w:sz w:val="20"/>
                <w:szCs w:val="20"/>
              </w:rPr>
            </w:pPr>
            <w:r>
              <w:rPr>
                <w:rFonts w:hint="eastAsia" w:ascii="Times New Roman" w:hAnsi="Times New Roman" w:eastAsia="仿宋" w:cs="Times New Roman"/>
                <w:b/>
                <w:bCs/>
                <w:color w:val="FFFFFF"/>
                <w:kern w:val="2"/>
                <w:sz w:val="20"/>
                <w:szCs w:val="20"/>
              </w:rPr>
              <w:t>废固（</w:t>
            </w:r>
            <w:r>
              <w:rPr>
                <w:rFonts w:ascii="Times New Roman" w:hAnsi="Times New Roman" w:eastAsia="仿宋" w:cs="Times New Roman"/>
                <w:b/>
                <w:bCs/>
                <w:color w:val="FFFFFF"/>
                <w:kern w:val="2"/>
                <w:sz w:val="20"/>
                <w:szCs w:val="20"/>
              </w:rPr>
              <w:t>t/a</w:t>
            </w:r>
            <w:r>
              <w:rPr>
                <w:rFonts w:hint="eastAsia" w:ascii="Times New Roman" w:hAnsi="Times New Roman" w:eastAsia="仿宋" w:cs="Times New Roman"/>
                <w:b/>
                <w:bCs/>
                <w:color w:val="FFFFFF"/>
                <w:kern w:val="2"/>
                <w:sz w:val="20"/>
                <w:szCs w:val="20"/>
              </w:rPr>
              <w:t>）</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75" w:hRule="atLeast"/>
        </w:trPr>
        <w:tc>
          <w:tcPr>
            <w:tcW w:w="2145" w:type="dxa"/>
            <w:shd w:val="clear" w:color="auto" w:fill="D9E2F3"/>
            <w:vAlign w:val="center"/>
          </w:tcPr>
          <w:p>
            <w:pPr>
              <w:autoSpaceDE/>
              <w:autoSpaceDN/>
              <w:spacing w:before="0" w:beforeLines="0" w:after="0" w:afterLines="0"/>
              <w:jc w:val="center"/>
              <w:rPr>
                <w:rFonts w:ascii="Times New Roman" w:hAnsi="Times New Roman" w:eastAsia="仿宋" w:cs="Times New Roman"/>
                <w:b/>
                <w:bCs/>
                <w:color w:val="000000"/>
                <w:kern w:val="2"/>
                <w:sz w:val="20"/>
                <w:szCs w:val="20"/>
              </w:rPr>
            </w:pPr>
            <w:r>
              <w:rPr>
                <w:rFonts w:hint="eastAsia" w:ascii="Times New Roman" w:hAnsi="Times New Roman" w:eastAsia="仿宋" w:cs="Times New Roman"/>
                <w:b/>
                <w:bCs/>
                <w:color w:val="000000"/>
                <w:kern w:val="2"/>
                <w:sz w:val="20"/>
                <w:szCs w:val="20"/>
              </w:rPr>
              <w:t>总量</w:t>
            </w:r>
          </w:p>
        </w:tc>
        <w:tc>
          <w:tcPr>
            <w:tcW w:w="2145" w:type="dxa"/>
            <w:shd w:val="clear" w:color="auto" w:fill="D9E2F3"/>
            <w:vAlign w:val="center"/>
          </w:tcPr>
          <w:p>
            <w:pPr>
              <w:autoSpaceDE/>
              <w:autoSpaceDN/>
              <w:spacing w:before="0" w:beforeLines="0" w:after="0" w:afterLines="0"/>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124829.52</w:t>
            </w:r>
          </w:p>
        </w:tc>
        <w:tc>
          <w:tcPr>
            <w:tcW w:w="1806" w:type="dxa"/>
            <w:shd w:val="clear" w:color="auto" w:fill="D9E2F3"/>
            <w:vAlign w:val="center"/>
          </w:tcPr>
          <w:p>
            <w:pPr>
              <w:autoSpaceDE/>
              <w:autoSpaceDN/>
              <w:spacing w:before="0" w:beforeLines="0" w:after="0" w:afterLines="0"/>
              <w:jc w:val="center"/>
              <w:rPr>
                <w:rFonts w:ascii="Times New Roman" w:hAnsi="Times New Roman" w:eastAsia="仿宋" w:cs="Times New Roman"/>
                <w:bCs/>
                <w:color w:val="000000"/>
                <w:kern w:val="2"/>
                <w:sz w:val="20"/>
                <w:szCs w:val="20"/>
              </w:rPr>
            </w:pPr>
            <w:r>
              <w:rPr>
                <w:rFonts w:hint="eastAsia" w:ascii="Times New Roman" w:hAnsi="Times New Roman" w:eastAsia="仿宋" w:cs="Times New Roman"/>
                <w:bCs/>
                <w:kern w:val="2"/>
                <w:sz w:val="20"/>
                <w:szCs w:val="20"/>
              </w:rPr>
              <w:t>150</w:t>
            </w:r>
          </w:p>
        </w:tc>
        <w:tc>
          <w:tcPr>
            <w:tcW w:w="2484" w:type="dxa"/>
            <w:shd w:val="clear" w:color="auto" w:fill="D9E2F3"/>
            <w:vAlign w:val="center"/>
          </w:tcPr>
          <w:p>
            <w:pPr>
              <w:autoSpaceDE/>
              <w:autoSpaceDN/>
              <w:spacing w:before="0" w:beforeLines="0" w:after="0" w:afterLines="0"/>
              <w:jc w:val="center"/>
              <w:rPr>
                <w:rFonts w:ascii="Times New Roman" w:hAnsi="Times New Roman" w:eastAsia="仿宋" w:cs="Times New Roman"/>
                <w:bCs/>
                <w:color w:val="000000"/>
                <w:kern w:val="2"/>
                <w:sz w:val="20"/>
                <w:szCs w:val="20"/>
              </w:rPr>
            </w:pPr>
            <w:r>
              <w:rPr>
                <w:rFonts w:ascii="Times New Roman" w:hAnsi="Times New Roman" w:eastAsia="仿宋" w:cs="Times New Roman"/>
                <w:bCs/>
                <w:kern w:val="2"/>
                <w:sz w:val="20"/>
                <w:szCs w:val="20"/>
              </w:rPr>
              <w:t>8.72</w:t>
            </w:r>
          </w:p>
        </w:tc>
      </w:tr>
    </w:tbl>
    <w:p>
      <w:pPr>
        <w:spacing w:before="156" w:after="156"/>
        <w:rPr>
          <w:szCs w:val="21"/>
        </w:rPr>
      </w:pPr>
    </w:p>
    <w:p>
      <w:pPr>
        <w:pStyle w:val="4"/>
        <w:spacing w:before="156" w:after="156"/>
        <w:rPr>
          <w:rFonts w:ascii="宋体" w:hAnsi="宋体" w:eastAsia="宋体" w:cs="宋体"/>
        </w:rPr>
      </w:pPr>
      <w:bookmarkStart w:id="76" w:name="_Toc141670012"/>
      <w:bookmarkStart w:id="77" w:name="_Hlk139918947"/>
      <w:r>
        <w:rPr>
          <w:rFonts w:hint="eastAsia"/>
        </w:rPr>
        <w:t>7</w:t>
      </w:r>
      <w:r>
        <w:t>.1.1</w:t>
      </w:r>
      <w:r>
        <w:rPr>
          <w:rFonts w:hint="eastAsia" w:ascii="宋体" w:hAnsi="宋体" w:eastAsia="宋体" w:cs="宋体"/>
        </w:rPr>
        <w:t>废液排放表</w:t>
      </w:r>
      <w:bookmarkEnd w:id="76"/>
    </w:p>
    <w:bookmarkEnd w:id="77"/>
    <w:p>
      <w:pPr>
        <w:spacing w:before="156" w:after="156"/>
        <w:ind w:firstLine="420"/>
        <w:rPr>
          <w:rFonts w:ascii="Times New Roman" w:hAnsi="Times New Roman" w:cs="Times New Roman"/>
          <w:szCs w:val="21"/>
        </w:rPr>
      </w:pPr>
      <w:r>
        <w:rPr>
          <w:rFonts w:hint="eastAsia" w:ascii="Times New Roman" w:hAnsi="Times New Roman" w:cs="Times New Roman"/>
          <w:szCs w:val="21"/>
        </w:rPr>
        <w:t>工业废水是指工业生产过程中的废水、污水和废液，本项目生产工艺中主要废液来自</w:t>
      </w:r>
      <w:r>
        <w:rPr>
          <w:rFonts w:ascii="Times New Roman" w:hAnsi="Times New Roman" w:cs="Times New Roman"/>
          <w:szCs w:val="21"/>
        </w:rPr>
        <w:t>T0202</w:t>
      </w:r>
      <w:r>
        <w:rPr>
          <w:rFonts w:hint="eastAsia" w:ascii="Times New Roman" w:hAnsi="Times New Roman" w:cs="Times New Roman"/>
          <w:szCs w:val="21"/>
        </w:rPr>
        <w:t>氨水分离</w:t>
      </w:r>
      <w:r>
        <w:rPr>
          <w:rFonts w:ascii="Times New Roman" w:hAnsi="Times New Roman" w:cs="Times New Roman"/>
          <w:szCs w:val="21"/>
        </w:rPr>
        <w:t>塔塔</w:t>
      </w:r>
      <w:r>
        <w:rPr>
          <w:rFonts w:hint="eastAsia" w:ascii="Times New Roman" w:hAnsi="Times New Roman" w:cs="Times New Roman"/>
          <w:szCs w:val="21"/>
        </w:rPr>
        <w:t>底</w:t>
      </w:r>
      <w:r>
        <w:rPr>
          <w:rFonts w:ascii="Times New Roman" w:hAnsi="Times New Roman" w:cs="Times New Roman"/>
          <w:szCs w:val="21"/>
        </w:rPr>
        <w:t>废液，其主要成分为水及少量</w:t>
      </w:r>
      <w:r>
        <w:rPr>
          <w:rFonts w:hint="eastAsia" w:ascii="Times New Roman" w:hAnsi="Times New Roman" w:cs="Times New Roman"/>
          <w:szCs w:val="21"/>
        </w:rPr>
        <w:t>己二腈、氨、氨基甲酸铵（极易水解为一水合氨和碳酸氢铵）</w:t>
      </w:r>
      <w:r>
        <w:rPr>
          <w:rFonts w:ascii="Times New Roman" w:hAnsi="Times New Roman" w:cs="Times New Roman"/>
          <w:szCs w:val="21"/>
        </w:rPr>
        <w:t>。项目中除工艺废</w:t>
      </w:r>
      <w:r>
        <w:rPr>
          <w:rFonts w:hint="eastAsia" w:ascii="Times New Roman" w:hAnsi="Times New Roman" w:cs="Times New Roman"/>
          <w:szCs w:val="21"/>
        </w:rPr>
        <w:t>水之外产生的废水还有生活污水等。具体废液排放表如下表所示：</w:t>
      </w:r>
    </w:p>
    <w:p>
      <w:pPr>
        <w:spacing w:before="156" w:after="156"/>
        <w:ind w:firstLine="420"/>
        <w:jc w:val="center"/>
        <w:rPr>
          <w:rFonts w:ascii="Times New Roman" w:hAnsi="Times New Roman" w:cs="Times New Roman"/>
          <w:b/>
          <w:sz w:val="18"/>
          <w:szCs w:val="18"/>
        </w:rPr>
      </w:pPr>
      <w:bookmarkStart w:id="78" w:name="_Hlk139919466"/>
      <w:r>
        <w:rPr>
          <w:rFonts w:hint="eastAsia" w:ascii="Times New Roman" w:hAnsi="Times New Roman" w:cs="Times New Roman"/>
          <w:b/>
          <w:sz w:val="18"/>
          <w:szCs w:val="18"/>
        </w:rPr>
        <w:t>表</w:t>
      </w:r>
      <w:r>
        <w:rPr>
          <w:rFonts w:ascii="Times New Roman" w:hAnsi="Times New Roman" w:cs="Times New Roman"/>
          <w:b/>
          <w:sz w:val="18"/>
          <w:szCs w:val="18"/>
        </w:rPr>
        <w:t xml:space="preserve">7-2 </w:t>
      </w:r>
      <w:r>
        <w:rPr>
          <w:rFonts w:hint="eastAsia" w:ascii="Times New Roman" w:hAnsi="Times New Roman" w:cs="Times New Roman"/>
          <w:b/>
          <w:sz w:val="18"/>
          <w:szCs w:val="18"/>
        </w:rPr>
        <w:t>废液排放表</w:t>
      </w:r>
    </w:p>
    <w:tbl>
      <w:tblPr>
        <w:tblStyle w:val="23"/>
        <w:tblW w:w="9303" w:type="dxa"/>
        <w:jc w:val="center"/>
        <w:tblLayout w:type="autofit"/>
        <w:tblCellMar>
          <w:top w:w="0" w:type="dxa"/>
          <w:left w:w="108" w:type="dxa"/>
          <w:bottom w:w="0" w:type="dxa"/>
          <w:right w:w="108" w:type="dxa"/>
        </w:tblCellMar>
      </w:tblPr>
      <w:tblGrid>
        <w:gridCol w:w="416"/>
        <w:gridCol w:w="855"/>
        <w:gridCol w:w="1134"/>
        <w:gridCol w:w="1276"/>
        <w:gridCol w:w="1559"/>
        <w:gridCol w:w="1418"/>
        <w:gridCol w:w="708"/>
        <w:gridCol w:w="1701"/>
        <w:gridCol w:w="416"/>
      </w:tblGrid>
      <w:tr>
        <w:tblPrEx>
          <w:tblCellMar>
            <w:top w:w="0" w:type="dxa"/>
            <w:left w:w="108" w:type="dxa"/>
            <w:bottom w:w="0" w:type="dxa"/>
            <w:right w:w="108" w:type="dxa"/>
          </w:tblCellMar>
        </w:tblPrEx>
        <w:trPr>
          <w:trHeight w:val="280" w:hRule="atLeast"/>
          <w:jc w:val="center"/>
        </w:trPr>
        <w:tc>
          <w:tcPr>
            <w:tcW w:w="41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序号</w:t>
            </w:r>
          </w:p>
        </w:tc>
        <w:tc>
          <w:tcPr>
            <w:tcW w:w="855"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排放源</w:t>
            </w:r>
          </w:p>
        </w:tc>
        <w:tc>
          <w:tcPr>
            <w:tcW w:w="1134"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排放特征</w:t>
            </w:r>
          </w:p>
        </w:tc>
        <w:tc>
          <w:tcPr>
            <w:tcW w:w="127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排放量（t/a）</w:t>
            </w:r>
          </w:p>
        </w:tc>
        <w:tc>
          <w:tcPr>
            <w:tcW w:w="2977" w:type="dxa"/>
            <w:gridSpan w:val="2"/>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废水组成</w:t>
            </w:r>
          </w:p>
        </w:tc>
        <w:tc>
          <w:tcPr>
            <w:tcW w:w="708"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处理方法</w:t>
            </w:r>
          </w:p>
        </w:tc>
        <w:tc>
          <w:tcPr>
            <w:tcW w:w="1701"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排放去向</w:t>
            </w:r>
          </w:p>
        </w:tc>
        <w:tc>
          <w:tcPr>
            <w:tcW w:w="23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备注</w:t>
            </w:r>
          </w:p>
        </w:tc>
      </w:tr>
      <w:tr>
        <w:tblPrEx>
          <w:tblCellMar>
            <w:top w:w="0" w:type="dxa"/>
            <w:left w:w="108" w:type="dxa"/>
            <w:bottom w:w="0" w:type="dxa"/>
            <w:right w:w="108" w:type="dxa"/>
          </w:tblCellMar>
        </w:tblPrEx>
        <w:trPr>
          <w:trHeight w:val="280" w:hRule="atLeast"/>
          <w:jc w:val="center"/>
        </w:trPr>
        <w:tc>
          <w:tcPr>
            <w:tcW w:w="41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27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55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名称</w:t>
            </w:r>
          </w:p>
        </w:tc>
        <w:tc>
          <w:tcPr>
            <w:tcW w:w="1418"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浓度（wt%）</w:t>
            </w: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23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1</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T0401塔底出水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38938.24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0.826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园区污水处理厂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0.171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0.003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2</w:t>
            </w:r>
          </w:p>
        </w:tc>
        <w:tc>
          <w:tcPr>
            <w:tcW w:w="855"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V0401底部出水</w:t>
            </w:r>
          </w:p>
        </w:tc>
        <w:tc>
          <w:tcPr>
            <w:tcW w:w="1134"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38508.85 </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0.807 </w:t>
            </w:r>
          </w:p>
        </w:tc>
        <w:tc>
          <w:tcPr>
            <w:tcW w:w="708"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000000"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己二酸</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0.018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0.165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己二酰二胺</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0.005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0.001 </w:t>
            </w:r>
          </w:p>
        </w:tc>
        <w:tc>
          <w:tcPr>
            <w:tcW w:w="708"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3</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V0201顶部冷凝后出水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32940.76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0.979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己二腈</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0.021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4</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T0301塔顶出水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11457.07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0.995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己二腈</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0.005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5</w:t>
            </w:r>
          </w:p>
        </w:tc>
        <w:tc>
          <w:tcPr>
            <w:tcW w:w="855"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T0101塔顶冷凝后出水</w:t>
            </w:r>
          </w:p>
        </w:tc>
        <w:tc>
          <w:tcPr>
            <w:tcW w:w="1134"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连续</w:t>
            </w:r>
          </w:p>
        </w:tc>
        <w:tc>
          <w:tcPr>
            <w:tcW w:w="127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2984.60 </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水</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0.898 </w:t>
            </w:r>
          </w:p>
        </w:tc>
        <w:tc>
          <w:tcPr>
            <w:tcW w:w="708"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生化处理</w:t>
            </w:r>
          </w:p>
        </w:tc>
        <w:tc>
          <w:tcPr>
            <w:tcW w:w="1701"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园内污水处理厂</w:t>
            </w:r>
          </w:p>
        </w:tc>
        <w:tc>
          <w:tcPr>
            <w:tcW w:w="236"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w:t>
            </w: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己二酸</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0.032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氨</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0.033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δ-氰基戊酸</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0.026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环戊酮</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0.010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r>
        <w:tblPrEx>
          <w:tblCellMar>
            <w:top w:w="0" w:type="dxa"/>
            <w:left w:w="108" w:type="dxa"/>
            <w:bottom w:w="0" w:type="dxa"/>
            <w:right w:w="108" w:type="dxa"/>
          </w:tblCellMar>
        </w:tblPrEx>
        <w:trPr>
          <w:trHeight w:val="280" w:hRule="atLeast"/>
          <w:jc w:val="center"/>
        </w:trPr>
        <w:tc>
          <w:tcPr>
            <w:tcW w:w="41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0"/>
                <w:szCs w:val="20"/>
              </w:rPr>
            </w:pPr>
          </w:p>
        </w:tc>
        <w:tc>
          <w:tcPr>
            <w:tcW w:w="855"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δ-氰基戊酰胺</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 xml:space="preserve">0.001 </w:t>
            </w:r>
          </w:p>
        </w:tc>
        <w:tc>
          <w:tcPr>
            <w:tcW w:w="708"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1701"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c>
          <w:tcPr>
            <w:tcW w:w="236"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000000"/>
                <w:sz w:val="20"/>
                <w:szCs w:val="20"/>
              </w:rPr>
            </w:pPr>
          </w:p>
        </w:tc>
      </w:tr>
    </w:tbl>
    <w:p>
      <w:pPr>
        <w:spacing w:before="156" w:after="156"/>
        <w:ind w:firstLine="420"/>
        <w:jc w:val="center"/>
        <w:rPr>
          <w:rFonts w:ascii="Times New Roman" w:hAnsi="Times New Roman" w:cs="Times New Roman"/>
          <w:b/>
          <w:sz w:val="18"/>
          <w:szCs w:val="18"/>
        </w:rPr>
      </w:pPr>
    </w:p>
    <w:bookmarkEnd w:id="78"/>
    <w:p>
      <w:pPr>
        <w:pStyle w:val="4"/>
        <w:spacing w:before="156" w:after="156"/>
        <w:rPr>
          <w:rFonts w:ascii="宋体" w:hAnsi="宋体" w:eastAsia="宋体" w:cs="宋体"/>
        </w:rPr>
      </w:pPr>
      <w:bookmarkStart w:id="79" w:name="_Toc141670013"/>
      <w:bookmarkStart w:id="80" w:name="_Hlk139923614"/>
      <w:r>
        <w:rPr>
          <w:rFonts w:hint="eastAsia" w:ascii="宋体" w:hAnsi="宋体" w:eastAsia="宋体"/>
        </w:rPr>
        <w:t>7</w:t>
      </w:r>
      <w:r>
        <w:rPr>
          <w:rFonts w:ascii="宋体" w:hAnsi="宋体" w:eastAsia="宋体"/>
        </w:rPr>
        <w:t>.1.</w:t>
      </w:r>
      <w:r>
        <w:rPr>
          <w:rFonts w:hint="eastAsia" w:ascii="宋体" w:hAnsi="宋体" w:eastAsia="宋体"/>
        </w:rPr>
        <w:t>2</w:t>
      </w:r>
      <w:r>
        <w:t xml:space="preserve"> </w:t>
      </w:r>
      <w:r>
        <w:rPr>
          <w:rFonts w:hint="eastAsia" w:ascii="宋体" w:hAnsi="宋体" w:eastAsia="宋体" w:cs="宋体"/>
        </w:rPr>
        <w:t>废固排放表</w:t>
      </w:r>
      <w:bookmarkEnd w:id="79"/>
    </w:p>
    <w:bookmarkEnd w:id="80"/>
    <w:p>
      <w:pPr>
        <w:spacing w:before="156" w:after="156"/>
        <w:ind w:firstLine="420"/>
        <w:rPr>
          <w:rFonts w:ascii="Times New Roman" w:hAnsi="Times New Roman" w:cs="Times New Roman"/>
          <w:szCs w:val="21"/>
        </w:rPr>
      </w:pPr>
      <w:r>
        <w:rPr>
          <w:rFonts w:hint="eastAsia" w:ascii="Times New Roman" w:hAnsi="Times New Roman" w:cs="Times New Roman"/>
          <w:szCs w:val="21"/>
        </w:rPr>
        <w:t>本项目工艺过程中产生废渣主要为生活垃圾，送至垃圾处理站处理，具体废固排放表如下：</w:t>
      </w:r>
    </w:p>
    <w:p>
      <w:pPr>
        <w:spacing w:before="156" w:after="156"/>
        <w:ind w:firstLine="42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7-4 </w:t>
      </w:r>
      <w:r>
        <w:rPr>
          <w:rFonts w:hint="eastAsia" w:ascii="Times New Roman" w:hAnsi="Times New Roman" w:cs="Times New Roman"/>
          <w:b/>
          <w:sz w:val="18"/>
          <w:szCs w:val="18"/>
        </w:rPr>
        <w:t>废固排放表</w:t>
      </w:r>
    </w:p>
    <w:tbl>
      <w:tblPr>
        <w:tblStyle w:val="23"/>
        <w:tblW w:w="11134" w:type="dxa"/>
        <w:jc w:val="center"/>
        <w:tblLayout w:type="autofit"/>
        <w:tblCellMar>
          <w:top w:w="0" w:type="dxa"/>
          <w:left w:w="108" w:type="dxa"/>
          <w:bottom w:w="0" w:type="dxa"/>
          <w:right w:w="108" w:type="dxa"/>
        </w:tblCellMar>
      </w:tblPr>
      <w:tblGrid>
        <w:gridCol w:w="396"/>
        <w:gridCol w:w="1584"/>
        <w:gridCol w:w="992"/>
        <w:gridCol w:w="1535"/>
        <w:gridCol w:w="816"/>
        <w:gridCol w:w="899"/>
        <w:gridCol w:w="1570"/>
        <w:gridCol w:w="791"/>
        <w:gridCol w:w="1843"/>
        <w:gridCol w:w="708"/>
      </w:tblGrid>
      <w:tr>
        <w:tblPrEx>
          <w:tblCellMar>
            <w:top w:w="0" w:type="dxa"/>
            <w:left w:w="108" w:type="dxa"/>
            <w:bottom w:w="0" w:type="dxa"/>
            <w:right w:w="108" w:type="dxa"/>
          </w:tblCellMar>
        </w:tblPrEx>
        <w:trPr>
          <w:trHeight w:val="280" w:hRule="atLeast"/>
          <w:jc w:val="center"/>
        </w:trPr>
        <w:tc>
          <w:tcPr>
            <w:tcW w:w="396"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序号</w:t>
            </w:r>
          </w:p>
        </w:tc>
        <w:tc>
          <w:tcPr>
            <w:tcW w:w="1584"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废渣名称</w:t>
            </w:r>
          </w:p>
        </w:tc>
        <w:tc>
          <w:tcPr>
            <w:tcW w:w="992"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排放源</w:t>
            </w:r>
          </w:p>
        </w:tc>
        <w:tc>
          <w:tcPr>
            <w:tcW w:w="1535"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组成及特性数据</w:t>
            </w:r>
          </w:p>
        </w:tc>
        <w:tc>
          <w:tcPr>
            <w:tcW w:w="3285" w:type="dxa"/>
            <w:gridSpan w:val="3"/>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排放特性</w:t>
            </w:r>
          </w:p>
        </w:tc>
        <w:tc>
          <w:tcPr>
            <w:tcW w:w="791"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排放量（t/a)</w:t>
            </w:r>
          </w:p>
        </w:tc>
        <w:tc>
          <w:tcPr>
            <w:tcW w:w="1843"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排放去向</w:t>
            </w:r>
          </w:p>
        </w:tc>
        <w:tc>
          <w:tcPr>
            <w:tcW w:w="708" w:type="dxa"/>
            <w:vMerge w:val="restart"/>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备注</w:t>
            </w:r>
          </w:p>
        </w:tc>
      </w:tr>
      <w:tr>
        <w:tblPrEx>
          <w:tblCellMar>
            <w:top w:w="0" w:type="dxa"/>
            <w:left w:w="108" w:type="dxa"/>
            <w:bottom w:w="0" w:type="dxa"/>
            <w:right w:w="108" w:type="dxa"/>
          </w:tblCellMar>
        </w:tblPrEx>
        <w:trPr>
          <w:trHeight w:val="280" w:hRule="atLeast"/>
          <w:jc w:val="center"/>
        </w:trPr>
        <w:tc>
          <w:tcPr>
            <w:tcW w:w="39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1584"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1535"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816"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温度（℃）</w:t>
            </w:r>
          </w:p>
        </w:tc>
        <w:tc>
          <w:tcPr>
            <w:tcW w:w="899"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压力（bar）</w:t>
            </w:r>
          </w:p>
        </w:tc>
        <w:tc>
          <w:tcPr>
            <w:tcW w:w="1570" w:type="dxa"/>
            <w:tcBorders>
              <w:top w:val="nil"/>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排放规律</w:t>
            </w:r>
          </w:p>
        </w:tc>
        <w:tc>
          <w:tcPr>
            <w:tcW w:w="791"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1843"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18"/>
                <w:szCs w:val="18"/>
              </w:rPr>
            </w:pPr>
          </w:p>
        </w:tc>
      </w:tr>
      <w:tr>
        <w:tblPrEx>
          <w:tblCellMar>
            <w:top w:w="0" w:type="dxa"/>
            <w:left w:w="108" w:type="dxa"/>
            <w:bottom w:w="0" w:type="dxa"/>
            <w:right w:w="108" w:type="dxa"/>
          </w:tblCellMar>
        </w:tblPrEx>
        <w:trPr>
          <w:trHeight w:val="280" w:hRule="atLeast"/>
          <w:jc w:val="center"/>
        </w:trPr>
        <w:tc>
          <w:tcPr>
            <w:tcW w:w="396"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1</w:t>
            </w:r>
          </w:p>
        </w:tc>
        <w:tc>
          <w:tcPr>
            <w:tcW w:w="158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固体磷酸催化剂</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酰胺脱水反应器</w:t>
            </w:r>
          </w:p>
        </w:tc>
        <w:tc>
          <w:tcPr>
            <w:tcW w:w="153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磷酸+载体</w:t>
            </w:r>
          </w:p>
        </w:tc>
        <w:tc>
          <w:tcPr>
            <w:tcW w:w="8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常温</w:t>
            </w:r>
          </w:p>
        </w:tc>
        <w:tc>
          <w:tcPr>
            <w:tcW w:w="89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常压</w:t>
            </w:r>
          </w:p>
        </w:tc>
        <w:tc>
          <w:tcPr>
            <w:tcW w:w="157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1年/次</w:t>
            </w:r>
          </w:p>
        </w:tc>
        <w:tc>
          <w:tcPr>
            <w:tcW w:w="79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0.6</w:t>
            </w:r>
          </w:p>
        </w:tc>
        <w:tc>
          <w:tcPr>
            <w:tcW w:w="184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送回原公司回收</w:t>
            </w:r>
          </w:p>
        </w:tc>
        <w:tc>
          <w:tcPr>
            <w:tcW w:w="7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回收</w:t>
            </w:r>
          </w:p>
        </w:tc>
      </w:tr>
      <w:tr>
        <w:tblPrEx>
          <w:tblCellMar>
            <w:top w:w="0" w:type="dxa"/>
            <w:left w:w="108" w:type="dxa"/>
            <w:bottom w:w="0" w:type="dxa"/>
            <w:right w:w="108" w:type="dxa"/>
          </w:tblCellMar>
        </w:tblPrEx>
        <w:trPr>
          <w:trHeight w:val="280" w:hRule="atLeast"/>
          <w:jc w:val="center"/>
        </w:trPr>
        <w:tc>
          <w:tcPr>
            <w:tcW w:w="396"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2</w:t>
            </w:r>
          </w:p>
        </w:tc>
        <w:tc>
          <w:tcPr>
            <w:tcW w:w="158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生产包装物</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生产使用</w:t>
            </w:r>
          </w:p>
        </w:tc>
        <w:tc>
          <w:tcPr>
            <w:tcW w:w="153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低毒或腐蚀性</w:t>
            </w:r>
          </w:p>
        </w:tc>
        <w:tc>
          <w:tcPr>
            <w:tcW w:w="81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常温</w:t>
            </w:r>
          </w:p>
        </w:tc>
        <w:tc>
          <w:tcPr>
            <w:tcW w:w="89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常压</w:t>
            </w:r>
          </w:p>
        </w:tc>
        <w:tc>
          <w:tcPr>
            <w:tcW w:w="157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间歇</w:t>
            </w:r>
          </w:p>
        </w:tc>
        <w:tc>
          <w:tcPr>
            <w:tcW w:w="79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5</w:t>
            </w:r>
          </w:p>
        </w:tc>
        <w:tc>
          <w:tcPr>
            <w:tcW w:w="184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送至资质单位处理</w:t>
            </w:r>
          </w:p>
        </w:tc>
        <w:tc>
          <w:tcPr>
            <w:tcW w:w="70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降解处理</w:t>
            </w:r>
          </w:p>
        </w:tc>
      </w:tr>
      <w:tr>
        <w:tblPrEx>
          <w:tblCellMar>
            <w:top w:w="0" w:type="dxa"/>
            <w:left w:w="108" w:type="dxa"/>
            <w:bottom w:w="0" w:type="dxa"/>
            <w:right w:w="108" w:type="dxa"/>
          </w:tblCellMar>
        </w:tblPrEx>
        <w:trPr>
          <w:trHeight w:val="280" w:hRule="atLeast"/>
          <w:jc w:val="center"/>
        </w:trPr>
        <w:tc>
          <w:tcPr>
            <w:tcW w:w="396" w:type="dxa"/>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3</w:t>
            </w:r>
          </w:p>
        </w:tc>
        <w:tc>
          <w:tcPr>
            <w:tcW w:w="158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生活垃圾</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生活区</w:t>
            </w:r>
          </w:p>
        </w:tc>
        <w:tc>
          <w:tcPr>
            <w:tcW w:w="153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生活垃圾</w:t>
            </w:r>
          </w:p>
        </w:tc>
        <w:tc>
          <w:tcPr>
            <w:tcW w:w="81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常温</w:t>
            </w:r>
          </w:p>
        </w:tc>
        <w:tc>
          <w:tcPr>
            <w:tcW w:w="89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常压</w:t>
            </w:r>
          </w:p>
        </w:tc>
        <w:tc>
          <w:tcPr>
            <w:tcW w:w="157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间歇</w:t>
            </w:r>
          </w:p>
        </w:tc>
        <w:tc>
          <w:tcPr>
            <w:tcW w:w="79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3.12</w:t>
            </w:r>
          </w:p>
        </w:tc>
        <w:tc>
          <w:tcPr>
            <w:tcW w:w="184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送至垃圾处理站</w:t>
            </w:r>
          </w:p>
        </w:tc>
        <w:tc>
          <w:tcPr>
            <w:tcW w:w="70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降解填埋</w:t>
            </w:r>
          </w:p>
        </w:tc>
      </w:tr>
    </w:tbl>
    <w:p>
      <w:pPr>
        <w:spacing w:before="156" w:after="156"/>
        <w:ind w:firstLine="420"/>
        <w:jc w:val="center"/>
        <w:rPr>
          <w:rFonts w:ascii="Times New Roman" w:hAnsi="Times New Roman" w:cs="Times New Roman"/>
          <w:b/>
          <w:sz w:val="18"/>
          <w:szCs w:val="18"/>
        </w:rPr>
      </w:pPr>
    </w:p>
    <w:p>
      <w:pPr>
        <w:pStyle w:val="4"/>
        <w:spacing w:before="156" w:after="156"/>
        <w:rPr>
          <w:rFonts w:ascii="宋体" w:hAnsi="宋体" w:eastAsia="宋体" w:cs="宋体"/>
        </w:rPr>
      </w:pPr>
      <w:bookmarkStart w:id="81" w:name="_Toc141670014"/>
      <w:r>
        <w:rPr>
          <w:rFonts w:hint="eastAsia"/>
        </w:rPr>
        <w:t>7</w:t>
      </w:r>
      <w:r>
        <w:t>.1.3</w:t>
      </w:r>
      <w:r>
        <w:rPr>
          <w:rFonts w:hint="eastAsia" w:ascii="宋体" w:hAnsi="宋体" w:eastAsia="宋体" w:cs="宋体"/>
        </w:rPr>
        <w:t>废气排放表</w:t>
      </w:r>
      <w:bookmarkEnd w:id="81"/>
    </w:p>
    <w:p>
      <w:pPr>
        <w:spacing w:before="156" w:after="156"/>
        <w:ind w:firstLine="420"/>
        <w:jc w:val="center"/>
        <w:rPr>
          <w:rFonts w:ascii="Times New Roman" w:hAnsi="Times New Roman" w:cs="Times New Roman"/>
          <w:b/>
          <w:sz w:val="18"/>
          <w:szCs w:val="18"/>
        </w:rPr>
      </w:pPr>
      <w:r>
        <w:rPr>
          <w:rFonts w:hint="eastAsia" w:ascii="Times New Roman" w:hAnsi="Times New Roman" w:cs="Times New Roman"/>
          <w:b/>
          <w:sz w:val="18"/>
          <w:szCs w:val="18"/>
        </w:rPr>
        <w:t>表7</w:t>
      </w:r>
      <w:r>
        <w:rPr>
          <w:rFonts w:ascii="Times New Roman" w:hAnsi="Times New Roman" w:cs="Times New Roman"/>
          <w:b/>
          <w:sz w:val="18"/>
          <w:szCs w:val="18"/>
        </w:rPr>
        <w:t xml:space="preserve">-5 </w:t>
      </w:r>
      <w:r>
        <w:rPr>
          <w:rFonts w:hint="eastAsia" w:ascii="Times New Roman" w:hAnsi="Times New Roman" w:cs="Times New Roman"/>
          <w:b/>
          <w:sz w:val="18"/>
          <w:szCs w:val="18"/>
        </w:rPr>
        <w:t>废气排放表</w:t>
      </w:r>
    </w:p>
    <w:tbl>
      <w:tblPr>
        <w:tblStyle w:val="51"/>
        <w:tblW w:w="10627"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36"/>
        <w:gridCol w:w="1544"/>
        <w:gridCol w:w="306"/>
        <w:gridCol w:w="686"/>
        <w:gridCol w:w="992"/>
        <w:gridCol w:w="1134"/>
        <w:gridCol w:w="1276"/>
        <w:gridCol w:w="1276"/>
        <w:gridCol w:w="1015"/>
        <w:gridCol w:w="544"/>
        <w:gridCol w:w="1134"/>
        <w:gridCol w:w="39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vMerge w:val="restart"/>
            <w:tcBorders>
              <w:top w:val="single" w:color="FFFFFF" w:themeColor="background1" w:sz="4" w:space="0"/>
              <w:left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序号</w:t>
            </w:r>
          </w:p>
        </w:tc>
        <w:tc>
          <w:tcPr>
            <w:tcW w:w="1850" w:type="dxa"/>
            <w:gridSpan w:val="2"/>
            <w:vMerge w:val="restart"/>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气体污染源名称</w:t>
            </w:r>
          </w:p>
        </w:tc>
        <w:tc>
          <w:tcPr>
            <w:tcW w:w="1678" w:type="dxa"/>
            <w:gridSpan w:val="2"/>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组成及特性</w:t>
            </w:r>
          </w:p>
        </w:tc>
        <w:tc>
          <w:tcPr>
            <w:tcW w:w="3686" w:type="dxa"/>
            <w:gridSpan w:val="3"/>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排放特性</w:t>
            </w:r>
          </w:p>
        </w:tc>
        <w:tc>
          <w:tcPr>
            <w:tcW w:w="1015" w:type="dxa"/>
            <w:vMerge w:val="restart"/>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排放数量（m3/h）</w:t>
            </w:r>
          </w:p>
        </w:tc>
        <w:tc>
          <w:tcPr>
            <w:tcW w:w="1678" w:type="dxa"/>
            <w:gridSpan w:val="2"/>
            <w:tcBorders>
              <w:top w:val="single" w:color="FFFFFF" w:themeColor="background1" w:sz="4" w:space="0"/>
              <w:right w:val="nil"/>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排气筒尺寸（m）</w:t>
            </w:r>
          </w:p>
        </w:tc>
        <w:tc>
          <w:tcPr>
            <w:tcW w:w="284" w:type="dxa"/>
            <w:vMerge w:val="restart"/>
            <w:tcBorders>
              <w:top w:val="single" w:color="FFFFFF" w:themeColor="background1" w:sz="4" w:space="0"/>
              <w:right w:val="single" w:color="FFFFFF" w:themeColor="background1" w:sz="4" w:space="0"/>
              <w:insideV w:val="nil"/>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备注</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vMerge w:val="continue"/>
            <w:tcBorders>
              <w:left w:val="single" w:color="FFFFFF" w:themeColor="background1" w:sz="4" w:space="0"/>
            </w:tcBorders>
            <w:shd w:val="clear" w:color="auto" w:fill="4472C4" w:themeFill="accent1"/>
            <w:vAlign w:val="center"/>
          </w:tcPr>
          <w:p>
            <w:pPr>
              <w:widowControl/>
              <w:autoSpaceDE/>
              <w:autoSpaceDN/>
              <w:spacing w:before="0" w:beforeLines="0" w:after="0" w:afterLines="0"/>
              <w:jc w:val="center"/>
              <w:rPr>
                <w:rFonts w:ascii="等线" w:hAnsi="等线" w:eastAsia="等线" w:cs="宋体"/>
                <w:b/>
                <w:bCs/>
                <w:color w:val="FFFFFF"/>
                <w:sz w:val="18"/>
                <w:szCs w:val="18"/>
              </w:rPr>
            </w:pPr>
          </w:p>
        </w:tc>
        <w:tc>
          <w:tcPr>
            <w:tcW w:w="1850" w:type="dxa"/>
            <w:gridSpan w:val="2"/>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68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名称</w:t>
            </w:r>
          </w:p>
        </w:tc>
        <w:tc>
          <w:tcPr>
            <w:tcW w:w="992"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体积分数</w:t>
            </w:r>
          </w:p>
        </w:tc>
        <w:tc>
          <w:tcPr>
            <w:tcW w:w="113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温度（℃）</w:t>
            </w:r>
          </w:p>
        </w:tc>
        <w:tc>
          <w:tcPr>
            <w:tcW w:w="127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压力（kPa）</w:t>
            </w:r>
          </w:p>
        </w:tc>
        <w:tc>
          <w:tcPr>
            <w:tcW w:w="1276"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排放规律</w:t>
            </w:r>
          </w:p>
        </w:tc>
        <w:tc>
          <w:tcPr>
            <w:tcW w:w="1015" w:type="dxa"/>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54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h</w:t>
            </w:r>
          </w:p>
        </w:tc>
        <w:tc>
          <w:tcPr>
            <w:tcW w:w="1134" w:type="dxa"/>
            <w:shd w:val="clear" w:color="auto" w:fill="B4C6E7" w:themeFill="accent1" w:themeFillTint="66"/>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Φ</w:t>
            </w:r>
          </w:p>
        </w:tc>
        <w:tc>
          <w:tcPr>
            <w:tcW w:w="284" w:type="dxa"/>
            <w:vMerge w:val="continue"/>
            <w:shd w:val="clear" w:color="auto" w:fill="B4C6E7" w:themeFill="accent1" w:themeFillTint="66"/>
            <w:vAlign w:val="center"/>
          </w:tcPr>
          <w:p>
            <w:pPr>
              <w:widowControl/>
              <w:autoSpaceDE/>
              <w:autoSpaceDN/>
              <w:spacing w:before="0" w:beforeLines="0" w:after="0" w:afterLines="0"/>
              <w:jc w:val="center"/>
              <w:rPr>
                <w:rFonts w:ascii="等线" w:hAnsi="等线" w:eastAsia="等线" w:cs="宋体"/>
                <w:color w:val="FFFFFF"/>
                <w:sz w:val="18"/>
                <w:szCs w:val="1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80" w:hRule="atLeast"/>
          <w:jc w:val="center"/>
        </w:trPr>
        <w:tc>
          <w:tcPr>
            <w:tcW w:w="436" w:type="dxa"/>
            <w:tcBorders>
              <w:left w:val="single" w:color="FFFFFF" w:themeColor="background1" w:sz="4" w:space="0"/>
              <w:bottom w:val="single" w:color="FFFFFF" w:themeColor="background1" w:sz="4" w:space="0"/>
            </w:tcBorders>
            <w:shd w:val="clear" w:color="auto" w:fill="4472C4" w:themeFill="accent1"/>
            <w:noWrap/>
            <w:vAlign w:val="center"/>
          </w:tcPr>
          <w:p>
            <w:pPr>
              <w:widowControl/>
              <w:autoSpaceDE/>
              <w:autoSpaceDN/>
              <w:spacing w:before="0" w:beforeLines="0" w:after="0" w:afterLines="0"/>
              <w:jc w:val="center"/>
              <w:rPr>
                <w:rFonts w:ascii="等线" w:hAnsi="等线" w:eastAsia="等线" w:cs="宋体"/>
                <w:b/>
                <w:bCs/>
                <w:color w:val="FFFFFF"/>
                <w:sz w:val="18"/>
                <w:szCs w:val="18"/>
              </w:rPr>
            </w:pPr>
            <w:r>
              <w:rPr>
                <w:rFonts w:hint="eastAsia" w:ascii="等线" w:hAnsi="等线" w:eastAsia="等线" w:cs="宋体"/>
                <w:b/>
                <w:bCs/>
                <w:color w:val="FFFFFF"/>
                <w:sz w:val="18"/>
                <w:szCs w:val="18"/>
              </w:rPr>
              <w:t>1</w:t>
            </w:r>
          </w:p>
        </w:tc>
        <w:tc>
          <w:tcPr>
            <w:tcW w:w="154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各装置及管道口</w:t>
            </w:r>
          </w:p>
        </w:tc>
        <w:tc>
          <w:tcPr>
            <w:tcW w:w="30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68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992"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13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27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276"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015"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150</w:t>
            </w:r>
          </w:p>
        </w:tc>
        <w:tc>
          <w:tcPr>
            <w:tcW w:w="54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113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t>
            </w:r>
          </w:p>
        </w:tc>
        <w:tc>
          <w:tcPr>
            <w:tcW w:w="284" w:type="dxa"/>
            <w:shd w:val="clear" w:color="auto" w:fill="D9E2F3" w:themeFill="accent1" w:themeFillTint="33"/>
            <w:noWrap/>
            <w:vAlign w:val="center"/>
          </w:tcPr>
          <w:p>
            <w:pPr>
              <w:widowControl/>
              <w:autoSpaceDE/>
              <w:autoSpaceDN/>
              <w:spacing w:before="0" w:beforeLines="0" w:after="0" w:afterLines="0"/>
              <w:jc w:val="center"/>
              <w:rPr>
                <w:rFonts w:ascii="等线" w:hAnsi="等线" w:eastAsia="等线" w:cs="宋体"/>
                <w:color w:val="000000"/>
                <w:sz w:val="18"/>
                <w:szCs w:val="18"/>
              </w:rPr>
            </w:pPr>
          </w:p>
        </w:tc>
      </w:tr>
    </w:tbl>
    <w:p>
      <w:pPr>
        <w:spacing w:before="156" w:after="156"/>
        <w:ind w:firstLine="420"/>
        <w:rPr>
          <w:rFonts w:ascii="Times New Roman" w:hAnsi="Times New Roman" w:cs="Times New Roman"/>
          <w:szCs w:val="21"/>
        </w:rPr>
      </w:pPr>
      <w:r>
        <w:rPr>
          <w:rFonts w:hint="eastAsia" w:ascii="Times New Roman" w:hAnsi="Times New Roman" w:cs="Times New Roman"/>
          <w:szCs w:val="21"/>
        </w:rPr>
        <w:t>驰放气的成分为在化工过程产生的各种惰性气体。</w:t>
      </w:r>
    </w:p>
    <w:p>
      <w:pPr>
        <w:pStyle w:val="3"/>
        <w:spacing w:before="156" w:after="156"/>
        <w:rPr>
          <w:rFonts w:ascii="Times New Roman" w:hAnsi="Times New Roman" w:eastAsia="宋体" w:cs="Times New Roman"/>
        </w:rPr>
      </w:pPr>
      <w:bookmarkStart w:id="82" w:name="_Toc141670015"/>
      <w:r>
        <w:rPr>
          <w:rFonts w:ascii="Times New Roman" w:hAnsi="Times New Roman" w:eastAsia="宋体" w:cs="Times New Roman"/>
        </w:rPr>
        <w:t>7.2 三废处理方法</w:t>
      </w:r>
      <w:bookmarkEnd w:id="82"/>
    </w:p>
    <w:p>
      <w:pPr>
        <w:pStyle w:val="4"/>
        <w:spacing w:before="156" w:after="156"/>
        <w:rPr>
          <w:rFonts w:ascii="宋体" w:hAnsi="宋体" w:eastAsia="宋体" w:cs="宋体"/>
        </w:rPr>
      </w:pPr>
      <w:bookmarkStart w:id="83" w:name="_Toc141670016"/>
      <w:bookmarkStart w:id="84" w:name="_Hlk139924016"/>
      <w:r>
        <w:rPr>
          <w:rFonts w:hint="eastAsia"/>
        </w:rPr>
        <w:t>7</w:t>
      </w:r>
      <w:r>
        <w:t xml:space="preserve">.2.1 </w:t>
      </w:r>
      <w:r>
        <w:rPr>
          <w:rFonts w:hint="eastAsia" w:ascii="宋体" w:hAnsi="宋体" w:eastAsia="宋体" w:cs="宋体"/>
        </w:rPr>
        <w:t>废液处理方法</w:t>
      </w:r>
      <w:bookmarkEnd w:id="83"/>
    </w:p>
    <w:bookmarkEnd w:id="84"/>
    <w:p>
      <w:pPr>
        <w:spacing w:before="156" w:after="156"/>
        <w:ind w:firstLine="420"/>
        <w:rPr>
          <w:rFonts w:ascii="Times New Roman" w:hAnsi="Times New Roman" w:cs="Times New Roman"/>
          <w:szCs w:val="21"/>
        </w:rPr>
      </w:pPr>
      <w:r>
        <w:rPr>
          <w:rFonts w:hint="eastAsia" w:ascii="Times New Roman" w:hAnsi="Times New Roman" w:cs="Times New Roman"/>
          <w:szCs w:val="21"/>
        </w:rPr>
        <w:t>本项目产生的工艺废水包括氨水分离塔塔底出水，废液中含有少量腈类有机物和碳酸氢铵、氨等，可送入厂区污水处理厂进行生化处理。</w:t>
      </w:r>
    </w:p>
    <w:p>
      <w:pPr>
        <w:spacing w:before="156" w:after="156"/>
        <w:ind w:firstLine="420"/>
        <w:rPr>
          <w:rFonts w:ascii="Times New Roman" w:hAnsi="Times New Roman" w:cs="Times New Roman"/>
          <w:szCs w:val="21"/>
        </w:rPr>
      </w:pPr>
      <w:r>
        <w:rPr>
          <w:rFonts w:hint="eastAsia" w:ascii="Times New Roman" w:hAnsi="Times New Roman" w:cs="Times New Roman"/>
          <w:szCs w:val="21"/>
        </w:rPr>
        <w:t>本项目产生的生活废水采用生物分解处理。</w:t>
      </w:r>
    </w:p>
    <w:p>
      <w:pPr>
        <w:autoSpaceDE/>
        <w:autoSpaceDN/>
        <w:spacing w:before="0" w:beforeLines="0" w:after="0" w:afterLines="0" w:line="264"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（1）工艺废水</w:t>
      </w:r>
    </w:p>
    <w:p>
      <w:pPr>
        <w:autoSpaceDE/>
        <w:autoSpaceDN/>
        <w:spacing w:before="0" w:beforeLines="0" w:after="0" w:afterLines="0" w:line="264"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本项目工艺废水基本为纯水，其中有机物（主要为腈类）含量很少，绝大部分为水，含有少量氨、碳酸氢铵，故处理难度不大，本项目将各工艺废水收集至厂区废水处理池进行生化处理。拟对含醇有机废水采用A/O处理工艺。A/O是Anoxic Oxic的缩写，A/O工艺法也叫厌氧好氧工艺法，A（Anaerobic）是厌氧段，用于脱氮除磷；O（Oxic）是好氧段，用于除水中的有机物。它的优越性是除了使有机污染物得到降解之外，还具有一定的脱氮除磷功能，A/O法是改进的活性污泥法。一般使用厌氧回流水进行稀释并调节pH。故其排放特征为连续排放、连续处理。A/O处理工艺简图如下。（见废水处理简要流程图）</w:t>
      </w:r>
    </w:p>
    <w:p>
      <w:pPr>
        <w:autoSpaceDE/>
        <w:autoSpaceDN/>
        <w:spacing w:before="0" w:beforeLines="0" w:after="0" w:afterLines="0" w:line="264" w:lineRule="auto"/>
        <w:jc w:val="center"/>
        <w:rPr>
          <w:rFonts w:ascii="Times New Roman" w:hAnsi="Times New Roman" w:cs="Times New Roman"/>
          <w:kern w:val="2"/>
          <w:szCs w:val="20"/>
        </w:rPr>
      </w:pPr>
      <w:r>
        <w:rPr>
          <w:rFonts w:ascii="Times New Roman" w:hAnsi="Times New Roman" w:cs="Times New Roman"/>
          <w:kern w:val="2"/>
          <w:szCs w:val="20"/>
        </w:rPr>
        <w:drawing>
          <wp:inline distT="0" distB="0" distL="0" distR="0">
            <wp:extent cx="4571365" cy="859155"/>
            <wp:effectExtent l="0" t="0" r="63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rcRect t="9927"/>
                    <a:stretch>
                      <a:fillRect/>
                    </a:stretch>
                  </pic:blipFill>
                  <pic:spPr>
                    <a:xfrm>
                      <a:off x="0" y="0"/>
                      <a:ext cx="4571365" cy="859155"/>
                    </a:xfrm>
                    <a:prstGeom prst="rect">
                      <a:avLst/>
                    </a:prstGeom>
                    <a:ln>
                      <a:noFill/>
                    </a:ln>
                  </pic:spPr>
                </pic:pic>
              </a:graphicData>
            </a:graphic>
          </wp:inline>
        </w:drawing>
      </w:r>
    </w:p>
    <w:p>
      <w:pPr>
        <w:autoSpaceDE/>
        <w:autoSpaceDN/>
        <w:spacing w:before="0" w:beforeLines="0" w:after="0" w:afterLines="0" w:line="324" w:lineRule="auto"/>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图7-1  废水处理流程</w:t>
      </w:r>
    </w:p>
    <w:p>
      <w:pPr>
        <w:autoSpaceDE/>
        <w:autoSpaceDN/>
        <w:spacing w:before="0" w:beforeLines="0" w:after="0" w:afterLines="0" w:line="264"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（2）生活污水</w:t>
      </w:r>
    </w:p>
    <w:p>
      <w:pPr>
        <w:autoSpaceDE/>
        <w:autoSpaceDN/>
        <w:spacing w:before="0" w:beforeLines="0" w:after="0" w:afterLines="0" w:line="264" w:lineRule="auto"/>
        <w:ind w:firstLine="420" w:firstLineChars="200"/>
        <w:jc w:val="both"/>
        <w:rPr>
          <w:rFonts w:ascii="Times New Roman" w:hAnsi="Times New Roman" w:cs="Times New Roman"/>
          <w:kern w:val="2"/>
          <w:szCs w:val="21"/>
        </w:rPr>
      </w:pPr>
      <w:r>
        <w:rPr>
          <w:rFonts w:hint="eastAsia" w:ascii="Times New Roman" w:hAnsi="Times New Roman" w:cs="Times New Roman"/>
          <w:kern w:val="2"/>
          <w:szCs w:val="21"/>
        </w:rPr>
        <w:t>生活污水采用重力流排出厂区，接入厂区生活污水管道，和总厂生活污水一同处理。总厂污水处理系统对生活污水采用SBR+BAF为主体的生化处理工艺处理。生活污水需经处理达到《污水综合排放标准》（GB8978-1996）二级标准，同时满足《城市污水再生利用城市杂用水水质》（GB/T 18920-2002）标准后，灌溉季节用于绿化、洗车等杂用，非灌溉季节可储存于储水池中来年再用。（见污水处理简要流程图）</w:t>
      </w:r>
    </w:p>
    <w:p>
      <w:pPr>
        <w:autoSpaceDE/>
        <w:autoSpaceDN/>
        <w:spacing w:before="0" w:beforeLines="0" w:after="0" w:afterLines="0" w:line="264" w:lineRule="auto"/>
        <w:jc w:val="center"/>
        <w:rPr>
          <w:rFonts w:ascii="Times New Roman" w:hAnsi="Times New Roman" w:cs="Times New Roman"/>
          <w:kern w:val="2"/>
          <w:szCs w:val="20"/>
        </w:rPr>
      </w:pPr>
      <w:r>
        <w:rPr>
          <w:rFonts w:ascii="Times New Roman" w:hAnsi="Times New Roman" w:cs="Times New Roman"/>
          <w:kern w:val="2"/>
          <w:szCs w:val="20"/>
        </w:rPr>
        <w:drawing>
          <wp:inline distT="0" distB="0" distL="0" distR="0">
            <wp:extent cx="2606040" cy="1938655"/>
            <wp:effectExtent l="0" t="0" r="0" b="1206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2606040" cy="1938655"/>
                    </a:xfrm>
                    <a:prstGeom prst="rect">
                      <a:avLst/>
                    </a:prstGeom>
                  </pic:spPr>
                </pic:pic>
              </a:graphicData>
            </a:graphic>
          </wp:inline>
        </w:drawing>
      </w:r>
    </w:p>
    <w:p>
      <w:pPr>
        <w:autoSpaceDE/>
        <w:autoSpaceDN/>
        <w:spacing w:before="0" w:beforeLines="0" w:after="0" w:afterLines="0" w:line="324" w:lineRule="auto"/>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图7-2  污水处理流程</w:t>
      </w:r>
    </w:p>
    <w:p>
      <w:pPr>
        <w:autoSpaceDE/>
        <w:autoSpaceDN/>
        <w:spacing w:before="0" w:beforeLines="0" w:after="0" w:afterLines="0" w:line="264" w:lineRule="auto"/>
        <w:ind w:firstLine="420" w:firstLineChars="200"/>
        <w:jc w:val="both"/>
        <w:rPr>
          <w:rFonts w:ascii="Times New Roman" w:hAnsi="Times New Roman" w:cs="Times New Roman"/>
          <w:kern w:val="2"/>
          <w:szCs w:val="20"/>
        </w:rPr>
      </w:pPr>
      <w:r>
        <w:rPr>
          <w:rFonts w:hint="eastAsia" w:ascii="Times New Roman" w:hAnsi="Times New Roman" w:cs="Times New Roman"/>
          <w:kern w:val="2"/>
          <w:szCs w:val="20"/>
        </w:rPr>
        <w:t>（3）地面洗水</w:t>
      </w:r>
    </w:p>
    <w:p>
      <w:pPr>
        <w:autoSpaceDE/>
        <w:autoSpaceDN/>
        <w:spacing w:before="0" w:beforeLines="0" w:after="0" w:afterLines="0" w:line="264" w:lineRule="auto"/>
        <w:ind w:firstLine="420" w:firstLineChars="200"/>
        <w:jc w:val="both"/>
        <w:rPr>
          <w:rFonts w:ascii="Times New Roman" w:hAnsi="Times New Roman" w:cs="Times New Roman"/>
          <w:kern w:val="2"/>
          <w:szCs w:val="20"/>
        </w:rPr>
      </w:pPr>
      <w:r>
        <w:rPr>
          <w:rFonts w:hint="eastAsia" w:ascii="Times New Roman" w:hAnsi="Times New Roman" w:cs="Times New Roman"/>
          <w:kern w:val="2"/>
          <w:szCs w:val="20"/>
        </w:rPr>
        <w:t>工艺装置区和罐区围堰内的地面冲洗水和下雨时的初期雨水，经排水地沟收集，然后经全厂地下排水管网送至厂区污水处理场进行处理。</w:t>
      </w:r>
    </w:p>
    <w:p>
      <w:pPr>
        <w:autoSpaceDE/>
        <w:autoSpaceDN/>
        <w:spacing w:before="0" w:beforeLines="0" w:after="0" w:afterLines="0" w:line="264" w:lineRule="auto"/>
        <w:ind w:firstLine="420" w:firstLineChars="200"/>
        <w:jc w:val="both"/>
        <w:rPr>
          <w:rFonts w:ascii="Times New Roman" w:hAnsi="Times New Roman" w:cs="Times New Roman"/>
          <w:kern w:val="2"/>
          <w:szCs w:val="20"/>
        </w:rPr>
      </w:pPr>
      <w:r>
        <w:rPr>
          <w:rFonts w:hint="eastAsia" w:ascii="Times New Roman" w:hAnsi="Times New Roman" w:cs="Times New Roman"/>
          <w:kern w:val="2"/>
          <w:szCs w:val="20"/>
        </w:rPr>
        <w:t>本项目设有初期雨水调节池，收集装置内被污染地面的污染雨水，生产污水后地面冲洗水，经初级雨水调节池调节后，用调节池上的污水泵提升至厂区内的污染雨水管道，排入全厂污水处理场进行处理。</w:t>
      </w:r>
    </w:p>
    <w:p>
      <w:pPr>
        <w:autoSpaceDE/>
        <w:autoSpaceDN/>
        <w:spacing w:before="0" w:beforeLines="0" w:after="0" w:afterLines="0" w:line="264" w:lineRule="auto"/>
        <w:ind w:firstLine="420" w:firstLineChars="200"/>
        <w:jc w:val="both"/>
        <w:rPr>
          <w:rFonts w:ascii="Times New Roman" w:hAnsi="Times New Roman" w:cs="Times New Roman"/>
          <w:kern w:val="2"/>
          <w:szCs w:val="20"/>
        </w:rPr>
      </w:pPr>
      <w:r>
        <w:rPr>
          <w:rFonts w:hint="eastAsia" w:ascii="Times New Roman" w:hAnsi="Times New Roman" w:cs="Times New Roman"/>
          <w:kern w:val="2"/>
          <w:szCs w:val="20"/>
        </w:rPr>
        <w:t>（4）事故废水</w:t>
      </w:r>
    </w:p>
    <w:p>
      <w:pPr>
        <w:autoSpaceDE/>
        <w:autoSpaceDN/>
        <w:spacing w:before="0" w:beforeLines="0" w:after="0" w:afterLines="0" w:line="264" w:lineRule="auto"/>
        <w:ind w:firstLine="420" w:firstLineChars="200"/>
        <w:jc w:val="both"/>
        <w:rPr>
          <w:rFonts w:ascii="Times New Roman" w:hAnsi="Times New Roman" w:cs="Times New Roman"/>
          <w:kern w:val="2"/>
          <w:szCs w:val="20"/>
        </w:rPr>
      </w:pPr>
      <w:r>
        <w:rPr>
          <w:rFonts w:hint="eastAsia" w:ascii="Times New Roman" w:hAnsi="Times New Roman" w:cs="Times New Roman"/>
          <w:kern w:val="2"/>
          <w:szCs w:val="20"/>
        </w:rPr>
        <w:t>从风险事故分析及采取的相应措施可知，本项目风险事故中产生的污染物即为火灾事故处理中产生的事故消防废水。装置事故时，消防水量50L/s，持续时间按6h计算，水量为1080m</w:t>
      </w:r>
      <w:r>
        <w:rPr>
          <w:rFonts w:hint="eastAsia" w:ascii="Times New Roman" w:hAnsi="Times New Roman" w:cs="Times New Roman"/>
          <w:kern w:val="2"/>
          <w:szCs w:val="20"/>
          <w:vertAlign w:val="superscript"/>
        </w:rPr>
        <w:t>3</w:t>
      </w:r>
      <w:r>
        <w:rPr>
          <w:rFonts w:hint="eastAsia" w:ascii="Times New Roman" w:hAnsi="Times New Roman" w:cs="Times New Roman"/>
          <w:kern w:val="2"/>
          <w:szCs w:val="20"/>
        </w:rPr>
        <w:t>。事故水主要为有机事故水。发生事故时，人工关闭后期雨水阀，打开初期雨水阀，事故水直接排入含油污水系统，后排入园区事故水池。</w:t>
      </w:r>
    </w:p>
    <w:p>
      <w:pPr>
        <w:spacing w:before="156" w:after="156"/>
        <w:ind w:firstLine="420"/>
        <w:rPr>
          <w:rFonts w:ascii="Times New Roman" w:hAnsi="Times New Roman" w:cs="Times New Roman"/>
          <w:szCs w:val="21"/>
        </w:rPr>
      </w:pPr>
    </w:p>
    <w:p>
      <w:pPr>
        <w:pStyle w:val="4"/>
        <w:spacing w:before="156" w:after="156"/>
        <w:rPr>
          <w:rFonts w:ascii="宋体" w:hAnsi="宋体" w:eastAsia="宋体" w:cs="宋体"/>
        </w:rPr>
      </w:pPr>
      <w:bookmarkStart w:id="85" w:name="_Toc141670017"/>
      <w:r>
        <w:rPr>
          <w:rFonts w:hint="eastAsia"/>
        </w:rPr>
        <w:t>7</w:t>
      </w:r>
      <w:r>
        <w:t xml:space="preserve">.2.2 </w:t>
      </w:r>
      <w:r>
        <w:rPr>
          <w:rFonts w:hint="eastAsia" w:ascii="宋体" w:hAnsi="宋体" w:eastAsia="宋体" w:cs="宋体"/>
        </w:rPr>
        <w:t>废气处理方法</w:t>
      </w:r>
      <w:bookmarkEnd w:id="85"/>
    </w:p>
    <w:p>
      <w:pPr>
        <w:spacing w:before="156" w:after="156"/>
        <w:ind w:firstLine="420"/>
        <w:rPr>
          <w:rFonts w:ascii="Times New Roman" w:hAnsi="Times New Roman" w:cs="Times New Roman"/>
          <w:szCs w:val="21"/>
        </w:rPr>
      </w:pPr>
      <w:r>
        <w:rPr>
          <w:rFonts w:hint="eastAsia" w:ascii="Times New Roman" w:hAnsi="Times New Roman" w:cs="Times New Roman"/>
          <w:szCs w:val="21"/>
        </w:rPr>
        <w:t>工业生产中可能存在少量精馏塔弛放气，可运用变压吸附方法处理。变压吸附提出了加压和减压相结合的方法，它通常是由加压吸附、减压解吸系统。变压吸附分离与净化的技术具有能耗低、投资少、流程简单、自动化程度高、产品纯度高、无环境污染等优点，是各种气体分离与回收的较理想的方法，极富有市场竞争力。变压吸附分离与净化技术是利用气体组分在固体吸附材料上吸附特性的差异，通过周期性的压力变化过程实现气体的分离与净化。变压吸附分离与净化技术是一种物理吸附法，在常温及一定压力条件下，可把有机废气中吸附在沸石分子筛上，没有被吸附的气体进入下一个工段。吸附有机废气以后的吸附剂通过降压抽真空把有机物解吸，使吸附剂再生。再生后的吸附剂重新去吸附废气中的有机物，以此循环往复。</w:t>
      </w:r>
    </w:p>
    <w:p>
      <w:pPr>
        <w:pStyle w:val="4"/>
        <w:spacing w:before="156" w:after="156"/>
        <w:rPr>
          <w:rFonts w:ascii="宋体" w:hAnsi="宋体" w:eastAsia="宋体" w:cs="宋体"/>
        </w:rPr>
      </w:pPr>
      <w:bookmarkStart w:id="86" w:name="_Toc141670018"/>
      <w:r>
        <w:rPr>
          <w:rFonts w:hint="eastAsia"/>
        </w:rPr>
        <w:t>7</w:t>
      </w:r>
      <w:r>
        <w:t xml:space="preserve">.2.3 </w:t>
      </w:r>
      <w:r>
        <w:rPr>
          <w:rFonts w:hint="eastAsia" w:ascii="宋体" w:hAnsi="宋体" w:eastAsia="宋体" w:cs="宋体"/>
        </w:rPr>
        <w:t>废固处理方法</w:t>
      </w:r>
      <w:bookmarkEnd w:id="86"/>
    </w:p>
    <w:p>
      <w:pPr>
        <w:spacing w:before="156" w:after="156"/>
        <w:ind w:firstLine="420"/>
        <w:rPr>
          <w:rFonts w:ascii="Times New Roman" w:hAnsi="Times New Roman" w:cs="Times New Roman"/>
          <w:szCs w:val="21"/>
        </w:rPr>
      </w:pPr>
      <w:r>
        <w:rPr>
          <w:rFonts w:hint="eastAsia" w:ascii="Times New Roman" w:hAnsi="Times New Roman" w:cs="Times New Roman"/>
          <w:szCs w:val="21"/>
        </w:rPr>
        <w:t>本项目主要产生的废固为催化剂、生活垃圾和生产包装物。根据《固体废物鉴别标准》（</w:t>
      </w:r>
      <w:r>
        <w:rPr>
          <w:rFonts w:ascii="Times New Roman" w:hAnsi="Times New Roman" w:cs="Times New Roman"/>
          <w:szCs w:val="21"/>
        </w:rPr>
        <w:t>GB34330-2017）对我厂固体失效催化剂进行鉴别。固体废物贮存处理过程中执行《危险废物贮存污染控制标准》（GB18597-2001）和《一般工业固体废物贮存、处置场污染控制标准》（GB18599-2001）。</w:t>
      </w:r>
    </w:p>
    <w:p>
      <w:pPr>
        <w:spacing w:before="156" w:after="156"/>
        <w:ind w:firstLine="420"/>
        <w:rPr>
          <w:rFonts w:ascii="Times New Roman" w:hAnsi="Times New Roman" w:cs="Times New Roman"/>
          <w:szCs w:val="21"/>
        </w:rPr>
      </w:pPr>
      <w:r>
        <w:rPr>
          <w:rFonts w:hint="eastAsia" w:ascii="Times New Roman" w:hAnsi="Times New Roman" w:cs="Times New Roman"/>
          <w:szCs w:val="21"/>
        </w:rPr>
        <w:t>生产包装物可和总厂生产包装物打包一起送往资质单位处理。</w:t>
      </w:r>
    </w:p>
    <w:p>
      <w:pPr>
        <w:spacing w:before="156" w:after="156"/>
        <w:ind w:firstLine="420"/>
        <w:rPr>
          <w:rFonts w:ascii="Times New Roman" w:hAnsi="Times New Roman" w:cs="Times New Roman"/>
          <w:szCs w:val="21"/>
        </w:rPr>
      </w:pPr>
      <w:r>
        <w:rPr>
          <w:rFonts w:hint="eastAsia" w:ascii="Times New Roman" w:hAnsi="Times New Roman" w:cs="Times New Roman"/>
          <w:szCs w:val="21"/>
        </w:rPr>
        <w:t>生活垃圾按人均</w:t>
      </w:r>
      <w:r>
        <w:rPr>
          <w:rFonts w:ascii="Times New Roman" w:hAnsi="Times New Roman" w:cs="Times New Roman"/>
          <w:szCs w:val="21"/>
        </w:rPr>
        <w:t>0.2kg/d计算。项目职工日常生活垃圾实行袋装化管理，定点封闭储存，及时清运，送入垃圾处理中心。</w:t>
      </w:r>
    </w:p>
    <w:p>
      <w:pPr>
        <w:widowControl/>
        <w:autoSpaceDE/>
        <w:autoSpaceDN/>
        <w:spacing w:before="0" w:beforeLines="0" w:after="0" w:afterLines="0"/>
        <w:rPr>
          <w:rFonts w:ascii="Times New Roman" w:hAnsi="Times New Roman" w:cs="Times New Roman"/>
          <w:szCs w:val="21"/>
        </w:rPr>
      </w:pPr>
      <w:r>
        <w:rPr>
          <w:rFonts w:ascii="Times New Roman" w:hAnsi="Times New Roman" w:cs="Times New Roman"/>
          <w:szCs w:val="21"/>
        </w:rPr>
        <w:br w:type="page"/>
      </w:r>
    </w:p>
    <w:p>
      <w:pPr>
        <w:pStyle w:val="2"/>
        <w:spacing w:before="156" w:after="156"/>
        <w:rPr>
          <w:rFonts w:ascii="Times New Roman" w:hAnsi="Times New Roman" w:eastAsia="宋体" w:cs="Times New Roman"/>
          <w:color w:val="000000" w:themeColor="text1"/>
          <w14:textFill>
            <w14:solidFill>
              <w14:schemeClr w14:val="tx1"/>
            </w14:solidFill>
          </w14:textFill>
        </w:rPr>
      </w:pPr>
      <w:bookmarkStart w:id="87" w:name="_Toc141670019"/>
      <w:r>
        <w:rPr>
          <w:rFonts w:ascii="Times New Roman" w:hAnsi="Times New Roman" w:eastAsia="宋体" w:cs="Times New Roman"/>
          <w:color w:val="000000" w:themeColor="text1"/>
          <w14:textFill>
            <w14:solidFill>
              <w14:schemeClr w14:val="tx1"/>
            </w14:solidFill>
          </w14:textFill>
        </w:rPr>
        <w:t>第八章 投资估算和资金筹措</w:t>
      </w:r>
      <w:bookmarkEnd w:id="87"/>
    </w:p>
    <w:p>
      <w:pPr>
        <w:pStyle w:val="3"/>
        <w:spacing w:before="156" w:after="156"/>
        <w:rPr>
          <w:rFonts w:ascii="Times New Roman" w:hAnsi="Times New Roman" w:eastAsia="宋体" w:cs="Times New Roman"/>
        </w:rPr>
      </w:pPr>
      <w:bookmarkStart w:id="88" w:name="_Toc141670020"/>
      <w:r>
        <w:rPr>
          <w:rFonts w:ascii="Times New Roman" w:hAnsi="Times New Roman" w:eastAsia="宋体" w:cs="Times New Roman"/>
        </w:rPr>
        <w:t>8.1 工程概况</w:t>
      </w:r>
      <w:bookmarkEnd w:id="88"/>
    </w:p>
    <w:p>
      <w:pPr>
        <w:spacing w:before="156" w:after="156"/>
        <w:ind w:firstLine="420"/>
        <w:rPr>
          <w:rFonts w:ascii="Times New Roman" w:hAnsi="Times New Roman" w:cs="Times New Roman"/>
          <w:szCs w:val="21"/>
        </w:rPr>
      </w:pPr>
      <w:r>
        <w:rPr>
          <w:rFonts w:hint="eastAsia" w:ascii="Times New Roman" w:hAnsi="Times New Roman" w:cs="Times New Roman"/>
          <w:szCs w:val="21"/>
        </w:rPr>
        <w:t>本项目是重庆华峰化工有限公司</w:t>
      </w:r>
      <w:r>
        <w:rPr>
          <w:rFonts w:ascii="Times New Roman" w:hAnsi="Times New Roman" w:cs="Times New Roman"/>
          <w:szCs w:val="21"/>
        </w:rPr>
        <w:t>10.5万吨/年ADN生产项目。本装置是</w:t>
      </w:r>
      <w:r>
        <w:rPr>
          <w:rFonts w:hint="eastAsia" w:ascii="Times New Roman" w:hAnsi="Times New Roman" w:cs="Times New Roman"/>
          <w:szCs w:val="21"/>
        </w:rPr>
        <w:t>新建</w:t>
      </w:r>
      <w:r>
        <w:rPr>
          <w:rFonts w:ascii="Times New Roman" w:hAnsi="Times New Roman" w:cs="Times New Roman"/>
          <w:szCs w:val="21"/>
        </w:rPr>
        <w:t>项目，依</w:t>
      </w:r>
      <w:r>
        <w:rPr>
          <w:rFonts w:hint="eastAsia" w:ascii="Times New Roman" w:hAnsi="Times New Roman" w:cs="Times New Roman"/>
          <w:szCs w:val="21"/>
        </w:rPr>
        <w:t>据相关标准进行估算。估算内容包括己二腈精制段、氨回收工段、己二腈精制工段主要生产装置以及辅助生产设施、公用工程和有关的生产管理等措施。本项目估算还包括了无形资产、递延资产、基本预备费等间接费用。</w:t>
      </w:r>
    </w:p>
    <w:p>
      <w:pPr>
        <w:pStyle w:val="3"/>
        <w:spacing w:before="156" w:after="156"/>
        <w:rPr>
          <w:rFonts w:ascii="Times New Roman" w:hAnsi="Times New Roman" w:eastAsia="宋体" w:cs="Times New Roman"/>
        </w:rPr>
      </w:pPr>
      <w:bookmarkStart w:id="89" w:name="_Toc141670021"/>
      <w:r>
        <w:rPr>
          <w:rFonts w:ascii="Times New Roman" w:hAnsi="Times New Roman" w:eastAsia="宋体" w:cs="Times New Roman"/>
        </w:rPr>
        <w:t>8.2 编制依据</w:t>
      </w:r>
      <w:bookmarkEnd w:id="89"/>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《化工建设建筑概算定额》中石化协办发（2005）10号</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《化工建设项目可行性研究投资估算编制办法》</w:t>
      </w:r>
      <w:r>
        <w:rPr>
          <w:rFonts w:hint="eastAsia" w:ascii="Times New Roman" w:hAnsi="Times New Roman" w:cs="Times New Roman"/>
          <w:kern w:val="2"/>
        </w:rPr>
        <w:t>，国家发展改革委建设部发布</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《化工投资项目可行性研究报告编制办法》中石化联产发[2012]115号</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hint="eastAsia" w:ascii="Times New Roman" w:hAnsi="Times New Roman" w:cs="Times New Roman"/>
          <w:kern w:val="2"/>
        </w:rPr>
        <w:t>《化工投资项目项目申请报告编制办法》，中石化协产发[2012]115号</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hint="eastAsia" w:ascii="Times New Roman" w:hAnsi="Times New Roman" w:cs="Times New Roman"/>
          <w:kern w:val="2"/>
        </w:rPr>
        <w:t>《化工投资项目资金申请报告编制办法》，中石化协产发[2012]115号</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《化工工艺设计手册》（化学工业出版社，第四版）；</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《建设项目经济评价方法与参数》（第三版）国家发展与改革委建设部；</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《202</w:t>
      </w:r>
      <w:r>
        <w:rPr>
          <w:rFonts w:hint="eastAsia" w:ascii="Times New Roman" w:hAnsi="Times New Roman" w:cs="Times New Roman"/>
          <w:kern w:val="2"/>
        </w:rPr>
        <w:t>2</w:t>
      </w:r>
      <w:r>
        <w:rPr>
          <w:rFonts w:ascii="Times New Roman" w:hAnsi="Times New Roman" w:cs="Times New Roman"/>
          <w:kern w:val="2"/>
        </w:rPr>
        <w:t>“天正设计杯”第十</w:t>
      </w:r>
      <w:r>
        <w:rPr>
          <w:rFonts w:hint="eastAsia" w:ascii="Times New Roman" w:hAnsi="Times New Roman" w:cs="Times New Roman"/>
          <w:kern w:val="2"/>
        </w:rPr>
        <w:t>六</w:t>
      </w:r>
      <w:r>
        <w:rPr>
          <w:rFonts w:ascii="Times New Roman" w:hAnsi="Times New Roman" w:cs="Times New Roman"/>
          <w:kern w:val="2"/>
        </w:rPr>
        <w:t>届全国大学生化工设计竞赛设计任务书》</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《石油化工工程建设费用定额》（20</w:t>
      </w:r>
      <w:r>
        <w:rPr>
          <w:rFonts w:hint="eastAsia" w:ascii="Times New Roman" w:hAnsi="Times New Roman" w:cs="Times New Roman"/>
          <w:kern w:val="2"/>
        </w:rPr>
        <w:t>18</w:t>
      </w:r>
      <w:r>
        <w:rPr>
          <w:rFonts w:ascii="Times New Roman" w:hAnsi="Times New Roman" w:cs="Times New Roman"/>
          <w:kern w:val="2"/>
        </w:rPr>
        <w:t>版），中国石化建[20</w:t>
      </w:r>
      <w:r>
        <w:rPr>
          <w:rFonts w:hint="eastAsia" w:ascii="Times New Roman" w:hAnsi="Times New Roman" w:cs="Times New Roman"/>
          <w:kern w:val="2"/>
        </w:rPr>
        <w:t>1</w:t>
      </w:r>
      <w:r>
        <w:rPr>
          <w:rFonts w:ascii="Times New Roman" w:hAnsi="Times New Roman" w:cs="Times New Roman"/>
          <w:kern w:val="2"/>
        </w:rPr>
        <w:t>8]</w:t>
      </w:r>
      <w:r>
        <w:rPr>
          <w:rFonts w:hint="eastAsia" w:ascii="Times New Roman" w:hAnsi="Times New Roman" w:cs="Times New Roman"/>
          <w:kern w:val="2"/>
        </w:rPr>
        <w:t>207</w:t>
      </w:r>
      <w:r>
        <w:rPr>
          <w:rFonts w:ascii="Times New Roman" w:hAnsi="Times New Roman" w:cs="Times New Roman"/>
          <w:kern w:val="2"/>
        </w:rPr>
        <w:t>号</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国家、行业以及项目所在地政府有关部门的相关政策与规定</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价格和取费参考行业资料信息</w:t>
      </w:r>
    </w:p>
    <w:p>
      <w:pPr>
        <w:numPr>
          <w:ilvl w:val="0"/>
          <w:numId w:val="5"/>
        </w:numPr>
        <w:autoSpaceDE/>
        <w:autoSpaceDN/>
        <w:spacing w:before="0" w:beforeLines="0" w:after="0" w:afterLines="0" w:line="276" w:lineRule="auto"/>
        <w:jc w:val="both"/>
        <w:rPr>
          <w:rFonts w:ascii="Times New Roman" w:hAnsi="Times New Roman" w:cs="Times New Roman"/>
          <w:kern w:val="2"/>
        </w:rPr>
      </w:pPr>
      <w:r>
        <w:rPr>
          <w:rFonts w:ascii="Times New Roman" w:hAnsi="Times New Roman" w:cs="Times New Roman"/>
          <w:kern w:val="2"/>
        </w:rPr>
        <w:t>工艺生产装置技术方案选择、生产规模及主要工程量。</w:t>
      </w:r>
    </w:p>
    <w:p>
      <w:pPr>
        <w:autoSpaceDE/>
        <w:autoSpaceDN/>
        <w:spacing w:before="0" w:beforeLines="0" w:after="0" w:afterLines="0"/>
        <w:ind w:firstLine="420" w:firstLineChars="200"/>
        <w:jc w:val="both"/>
        <w:rPr>
          <w:rFonts w:ascii="Times New Roman" w:hAnsi="Times New Roman" w:cs="Times New Roman"/>
          <w:kern w:val="2"/>
        </w:rPr>
      </w:pPr>
      <w:r>
        <w:rPr>
          <w:rFonts w:ascii="Times New Roman" w:hAnsi="Times New Roman" w:cs="Times New Roman"/>
          <w:kern w:val="2"/>
        </w:rPr>
        <w:t>根据以上数据对建设投资、建设期借款利息、流动资金、总投资进行核算。</w:t>
      </w:r>
    </w:p>
    <w:p>
      <w:pPr>
        <w:pStyle w:val="3"/>
        <w:spacing w:before="156" w:after="156"/>
        <w:rPr>
          <w:rFonts w:ascii="Times New Roman" w:hAnsi="Times New Roman" w:eastAsia="宋体" w:cs="Times New Roman"/>
        </w:rPr>
      </w:pPr>
      <w:bookmarkStart w:id="90" w:name="_Toc141670022"/>
      <w:r>
        <w:rPr>
          <w:rFonts w:ascii="Times New Roman" w:hAnsi="Times New Roman" w:eastAsia="宋体" w:cs="Times New Roman"/>
        </w:rPr>
        <w:t>8.3 建设投资估算</w:t>
      </w:r>
      <w:bookmarkEnd w:id="90"/>
    </w:p>
    <w:p>
      <w:pPr>
        <w:spacing w:before="156" w:after="156"/>
        <w:ind w:firstLine="420" w:firstLineChars="200"/>
        <w:rPr>
          <w:rFonts w:ascii="Times New Roman" w:hAnsi="Times New Roman" w:cs="Times New Roman"/>
          <w:kern w:val="2"/>
        </w:rPr>
      </w:pPr>
      <w:r>
        <w:rPr>
          <w:rFonts w:ascii="Times New Roman" w:hAnsi="Times New Roman" w:cs="Times New Roman"/>
          <w:kern w:val="2"/>
        </w:rPr>
        <w:t>建设投资估算按固定资产、无形资产、递延资产、预备费用进行编制。</w:t>
      </w:r>
    </w:p>
    <w:p>
      <w:pPr>
        <w:pStyle w:val="4"/>
        <w:spacing w:before="156" w:after="156"/>
        <w:rPr>
          <w:rFonts w:ascii="宋体" w:hAnsi="宋体" w:eastAsia="宋体"/>
          <w:sz w:val="24"/>
          <w:szCs w:val="24"/>
        </w:rPr>
      </w:pPr>
      <w:bookmarkStart w:id="91" w:name="_Toc141670023"/>
      <w:r>
        <w:rPr>
          <w:rFonts w:ascii="宋体" w:hAnsi="宋体" w:eastAsia="宋体"/>
          <w:sz w:val="24"/>
          <w:szCs w:val="24"/>
        </w:rPr>
        <w:t>8.3.1 固定资产费用</w:t>
      </w:r>
      <w:bookmarkEnd w:id="91"/>
    </w:p>
    <w:p>
      <w:pPr>
        <w:spacing w:before="156" w:after="156"/>
        <w:ind w:firstLine="420" w:firstLineChars="200"/>
        <w:rPr>
          <w:rFonts w:ascii="Times New Roman" w:hAnsi="Times New Roman" w:cs="Times New Roman"/>
        </w:rPr>
      </w:pPr>
      <w:r>
        <w:rPr>
          <w:rFonts w:hint="eastAsia" w:ascii="Times New Roman" w:hAnsi="Times New Roman" w:cs="Times New Roman"/>
        </w:rPr>
        <w:t>固定资产费用主要由工程费用和固定资产其他费用组成。</w:t>
      </w:r>
    </w:p>
    <w:p>
      <w:pPr>
        <w:pStyle w:val="5"/>
        <w:spacing w:before="156" w:after="156"/>
        <w:rPr>
          <w:rFonts w:ascii="宋体" w:hAnsi="宋体" w:eastAsia="宋体"/>
          <w:sz w:val="24"/>
          <w:szCs w:val="24"/>
        </w:rPr>
      </w:pPr>
      <w:r>
        <w:rPr>
          <w:rFonts w:ascii="宋体" w:hAnsi="宋体" w:eastAsia="宋体"/>
          <w:sz w:val="24"/>
          <w:szCs w:val="24"/>
        </w:rPr>
        <w:t>8.3.1.1 设备购置费</w:t>
      </w:r>
    </w:p>
    <w:p>
      <w:pPr>
        <w:spacing w:before="156" w:after="156"/>
        <w:ind w:firstLine="420" w:firstLineChars="200"/>
        <w:rPr>
          <w:rFonts w:ascii="Times New Roman" w:hAnsi="Times New Roman" w:cs="Times New Roman"/>
        </w:rPr>
      </w:pPr>
      <w:r>
        <w:rPr>
          <w:rFonts w:hint="eastAsia" w:ascii="Times New Roman" w:hAnsi="Times New Roman" w:cs="Times New Roman"/>
        </w:rPr>
        <w:t>（一）主要生产设备购置费</w:t>
      </w:r>
    </w:p>
    <w:p>
      <w:pPr>
        <w:spacing w:before="156" w:after="156"/>
        <w:ind w:firstLine="420" w:firstLineChars="200"/>
        <w:rPr>
          <w:rFonts w:ascii="Times New Roman" w:hAnsi="Times New Roman" w:cs="Times New Roman"/>
        </w:rPr>
      </w:pPr>
      <w:r>
        <w:rPr>
          <w:rFonts w:hint="eastAsia" w:ascii="Times New Roman" w:hAnsi="Times New Roman" w:cs="Times New Roman"/>
        </w:rPr>
        <w:t>本项目的主要生产设备分为：反应器、换热器、塔类设备、泵、储罐、气液分离器等运转设备。</w:t>
      </w:r>
    </w:p>
    <w:p>
      <w:pPr>
        <w:spacing w:before="156" w:after="156"/>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8-1 </w:t>
      </w:r>
      <w:r>
        <w:rPr>
          <w:rFonts w:hint="eastAsia" w:ascii="Times New Roman" w:hAnsi="Times New Roman" w:cs="Times New Roman"/>
          <w:b/>
          <w:sz w:val="18"/>
          <w:szCs w:val="18"/>
        </w:rPr>
        <w:t>主要生产设备购置费</w:t>
      </w:r>
    </w:p>
    <w:tbl>
      <w:tblPr>
        <w:tblStyle w:val="23"/>
        <w:tblW w:w="5720" w:type="dxa"/>
        <w:jc w:val="center"/>
        <w:tblLayout w:type="autofit"/>
        <w:tblCellMar>
          <w:top w:w="0" w:type="dxa"/>
          <w:left w:w="108" w:type="dxa"/>
          <w:bottom w:w="0" w:type="dxa"/>
          <w:right w:w="108" w:type="dxa"/>
        </w:tblCellMar>
      </w:tblPr>
      <w:tblGrid>
        <w:gridCol w:w="1500"/>
        <w:gridCol w:w="2920"/>
        <w:gridCol w:w="1300"/>
      </w:tblGrid>
      <w:tr>
        <w:tblPrEx>
          <w:tblCellMar>
            <w:top w:w="0" w:type="dxa"/>
            <w:left w:w="108" w:type="dxa"/>
            <w:bottom w:w="0" w:type="dxa"/>
            <w:right w:w="108" w:type="dxa"/>
          </w:tblCellMar>
        </w:tblPrEx>
        <w:trPr>
          <w:trHeight w:val="280" w:hRule="atLeast"/>
          <w:jc w:val="center"/>
        </w:trPr>
        <w:tc>
          <w:tcPr>
            <w:tcW w:w="150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编号</w:t>
            </w:r>
          </w:p>
        </w:tc>
        <w:tc>
          <w:tcPr>
            <w:tcW w:w="292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设备名称</w:t>
            </w:r>
          </w:p>
        </w:tc>
        <w:tc>
          <w:tcPr>
            <w:tcW w:w="130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9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塔设备</w:t>
            </w:r>
          </w:p>
        </w:tc>
        <w:tc>
          <w:tcPr>
            <w:tcW w:w="13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435.63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9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反应器</w:t>
            </w:r>
          </w:p>
        </w:tc>
        <w:tc>
          <w:tcPr>
            <w:tcW w:w="13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799.68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9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气液分离器</w:t>
            </w:r>
          </w:p>
        </w:tc>
        <w:tc>
          <w:tcPr>
            <w:tcW w:w="13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1081.98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9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换热器</w:t>
            </w:r>
          </w:p>
        </w:tc>
        <w:tc>
          <w:tcPr>
            <w:tcW w:w="13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420.36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9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压缩机</w:t>
            </w:r>
          </w:p>
        </w:tc>
        <w:tc>
          <w:tcPr>
            <w:tcW w:w="13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542.40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9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储罐</w:t>
            </w:r>
          </w:p>
        </w:tc>
        <w:tc>
          <w:tcPr>
            <w:tcW w:w="13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968.91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w:t>
            </w:r>
          </w:p>
        </w:tc>
        <w:tc>
          <w:tcPr>
            <w:tcW w:w="29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回流罐、分流罐、缓冲罐</w:t>
            </w:r>
          </w:p>
        </w:tc>
        <w:tc>
          <w:tcPr>
            <w:tcW w:w="13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1080.34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w:t>
            </w:r>
          </w:p>
        </w:tc>
        <w:tc>
          <w:tcPr>
            <w:tcW w:w="29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泵</w:t>
            </w:r>
          </w:p>
        </w:tc>
        <w:tc>
          <w:tcPr>
            <w:tcW w:w="13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19.06 </w:t>
            </w:r>
          </w:p>
        </w:tc>
      </w:tr>
      <w:tr>
        <w:tblPrEx>
          <w:tblCellMar>
            <w:top w:w="0" w:type="dxa"/>
            <w:left w:w="108" w:type="dxa"/>
            <w:bottom w:w="0" w:type="dxa"/>
            <w:right w:w="108" w:type="dxa"/>
          </w:tblCellMar>
        </w:tblPrEx>
        <w:trPr>
          <w:trHeight w:val="280" w:hRule="atLeast"/>
          <w:jc w:val="center"/>
        </w:trPr>
        <w:tc>
          <w:tcPr>
            <w:tcW w:w="4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总计</w:t>
            </w:r>
          </w:p>
        </w:tc>
        <w:tc>
          <w:tcPr>
            <w:tcW w:w="13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5348.36 </w:t>
            </w:r>
          </w:p>
        </w:tc>
      </w:tr>
    </w:tbl>
    <w:p>
      <w:pPr>
        <w:spacing w:before="156" w:after="156"/>
        <w:ind w:firstLine="361" w:firstLineChars="200"/>
        <w:jc w:val="center"/>
        <w:rPr>
          <w:rFonts w:ascii="Times New Roman" w:hAnsi="Times New Roman" w:cs="Times New Roman"/>
          <w:b/>
          <w:sz w:val="18"/>
          <w:szCs w:val="18"/>
        </w:rPr>
      </w:pPr>
    </w:p>
    <w:p>
      <w:pPr>
        <w:spacing w:before="156" w:after="156"/>
        <w:ind w:firstLine="420" w:firstLineChars="200"/>
        <w:rPr>
          <w:rFonts w:ascii="Times New Roman" w:hAnsi="Times New Roman" w:cs="Times New Roman"/>
        </w:rPr>
      </w:pPr>
      <w:r>
        <w:rPr>
          <w:rFonts w:hint="eastAsia" w:ascii="Times New Roman" w:hAnsi="Times New Roman" w:cs="Times New Roman"/>
        </w:rPr>
        <w:t>具体设备费用如下：</w:t>
      </w:r>
    </w:p>
    <w:p>
      <w:pPr>
        <w:spacing w:before="156" w:after="156"/>
        <w:ind w:firstLine="420" w:firstLineChars="200"/>
        <w:rPr>
          <w:rFonts w:ascii="Times New Roman" w:hAnsi="Times New Roman" w:cs="Times New Roman"/>
        </w:rPr>
      </w:pPr>
      <w:r>
        <w:rPr>
          <w:rFonts w:hint="eastAsia" w:ascii="Times New Roman" w:hAnsi="Times New Roman" w:cs="Times New Roman"/>
        </w:rPr>
        <w:t>（1）塔设备：</w:t>
      </w:r>
    </w:p>
    <w:tbl>
      <w:tblPr>
        <w:tblStyle w:val="23"/>
        <w:tblW w:w="8274" w:type="dxa"/>
        <w:jc w:val="center"/>
        <w:tblLayout w:type="autofit"/>
        <w:tblCellMar>
          <w:top w:w="0" w:type="dxa"/>
          <w:left w:w="108" w:type="dxa"/>
          <w:bottom w:w="0" w:type="dxa"/>
          <w:right w:w="108" w:type="dxa"/>
        </w:tblCellMar>
      </w:tblPr>
      <w:tblGrid>
        <w:gridCol w:w="1276"/>
        <w:gridCol w:w="1842"/>
        <w:gridCol w:w="1276"/>
        <w:gridCol w:w="960"/>
        <w:gridCol w:w="1480"/>
        <w:gridCol w:w="1440"/>
      </w:tblGrid>
      <w:tr>
        <w:tblPrEx>
          <w:tblCellMar>
            <w:top w:w="0" w:type="dxa"/>
            <w:left w:w="108" w:type="dxa"/>
            <w:bottom w:w="0" w:type="dxa"/>
            <w:right w:w="108" w:type="dxa"/>
          </w:tblCellMar>
        </w:tblPrEx>
        <w:trPr>
          <w:trHeight w:val="280" w:hRule="atLeast"/>
          <w:jc w:val="center"/>
        </w:trPr>
        <w:tc>
          <w:tcPr>
            <w:tcW w:w="1276"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设备位号</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276"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材料</w:t>
            </w:r>
          </w:p>
        </w:tc>
        <w:tc>
          <w:tcPr>
            <w:tcW w:w="96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重量/t</w:t>
            </w:r>
          </w:p>
        </w:tc>
        <w:tc>
          <w:tcPr>
            <w:tcW w:w="148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数量</w:t>
            </w:r>
          </w:p>
        </w:tc>
        <w:tc>
          <w:tcPr>
            <w:tcW w:w="144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T0101</w:t>
            </w:r>
          </w:p>
        </w:tc>
        <w:tc>
          <w:tcPr>
            <w:tcW w:w="184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AA、酰胺分离塔</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25.1184</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120.56832</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T0102</w:t>
            </w:r>
          </w:p>
        </w:tc>
        <w:tc>
          <w:tcPr>
            <w:tcW w:w="184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AA分离塔</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14.5668</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69.92064</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T0301</w:t>
            </w:r>
          </w:p>
        </w:tc>
        <w:tc>
          <w:tcPr>
            <w:tcW w:w="184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粗产物精馏塔</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18.6235</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89.3928</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T0302</w:t>
            </w:r>
          </w:p>
        </w:tc>
        <w:tc>
          <w:tcPr>
            <w:tcW w:w="184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热泵精馏塔</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5.9671</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28.64208</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T0303</w:t>
            </w:r>
          </w:p>
        </w:tc>
        <w:tc>
          <w:tcPr>
            <w:tcW w:w="184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ICCP精馏塔1</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9.5487</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45.83376</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T0304</w:t>
            </w:r>
          </w:p>
        </w:tc>
        <w:tc>
          <w:tcPr>
            <w:tcW w:w="184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ICCP精馏塔2</w:t>
            </w:r>
          </w:p>
        </w:tc>
        <w:tc>
          <w:tcPr>
            <w:tcW w:w="127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13.2367</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63.53616</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T0305</w:t>
            </w:r>
          </w:p>
        </w:tc>
        <w:tc>
          <w:tcPr>
            <w:tcW w:w="184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2ADN精馏塔</w:t>
            </w:r>
          </w:p>
        </w:tc>
        <w:tc>
          <w:tcPr>
            <w:tcW w:w="127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3.6949</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17.73552</w:t>
            </w:r>
          </w:p>
        </w:tc>
      </w:tr>
      <w:tr>
        <w:tblPrEx>
          <w:tblCellMar>
            <w:top w:w="0" w:type="dxa"/>
            <w:left w:w="108" w:type="dxa"/>
            <w:bottom w:w="0" w:type="dxa"/>
            <w:right w:w="108" w:type="dxa"/>
          </w:tblCellMar>
        </w:tblPrEx>
        <w:trPr>
          <w:trHeight w:val="280" w:hRule="atLeast"/>
          <w:jc w:val="center"/>
        </w:trPr>
        <w:tc>
          <w:tcPr>
            <w:tcW w:w="6834" w:type="dxa"/>
            <w:gridSpan w:val="5"/>
            <w:tcBorders>
              <w:top w:val="single" w:color="auto" w:sz="4" w:space="0"/>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44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435.62928</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（2）反应器：</w:t>
      </w:r>
    </w:p>
    <w:tbl>
      <w:tblPr>
        <w:tblStyle w:val="23"/>
        <w:tblW w:w="7508" w:type="dxa"/>
        <w:jc w:val="center"/>
        <w:tblLayout w:type="autofit"/>
        <w:tblCellMar>
          <w:top w:w="0" w:type="dxa"/>
          <w:left w:w="108" w:type="dxa"/>
          <w:bottom w:w="0" w:type="dxa"/>
          <w:right w:w="108" w:type="dxa"/>
        </w:tblCellMar>
      </w:tblPr>
      <w:tblGrid>
        <w:gridCol w:w="1417"/>
        <w:gridCol w:w="1985"/>
        <w:gridCol w:w="909"/>
        <w:gridCol w:w="929"/>
        <w:gridCol w:w="709"/>
        <w:gridCol w:w="1559"/>
      </w:tblGrid>
      <w:tr>
        <w:tblPrEx>
          <w:tblCellMar>
            <w:top w:w="0" w:type="dxa"/>
            <w:left w:w="108" w:type="dxa"/>
            <w:bottom w:w="0" w:type="dxa"/>
            <w:right w:w="108" w:type="dxa"/>
          </w:tblCellMar>
        </w:tblPrEx>
        <w:trPr>
          <w:trHeight w:val="280" w:hRule="atLeast"/>
          <w:jc w:val="center"/>
        </w:trPr>
        <w:tc>
          <w:tcPr>
            <w:tcW w:w="1417"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设备位号</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90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材料</w:t>
            </w:r>
          </w:p>
        </w:tc>
        <w:tc>
          <w:tcPr>
            <w:tcW w:w="92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重量/t</w:t>
            </w:r>
          </w:p>
        </w:tc>
        <w:tc>
          <w:tcPr>
            <w:tcW w:w="70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数量</w:t>
            </w:r>
          </w:p>
        </w:tc>
        <w:tc>
          <w:tcPr>
            <w:tcW w:w="155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R0101</w:t>
            </w:r>
          </w:p>
        </w:tc>
        <w:tc>
          <w:tcPr>
            <w:tcW w:w="198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AA混合器</w:t>
            </w:r>
          </w:p>
        </w:tc>
        <w:tc>
          <w:tcPr>
            <w:tcW w:w="9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2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13.51</w:t>
            </w:r>
          </w:p>
        </w:tc>
        <w:tc>
          <w:tcPr>
            <w:tcW w:w="7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64.848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R0102</w:t>
            </w:r>
          </w:p>
        </w:tc>
        <w:tc>
          <w:tcPr>
            <w:tcW w:w="198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AA胺化反应器1</w:t>
            </w:r>
          </w:p>
        </w:tc>
        <w:tc>
          <w:tcPr>
            <w:tcW w:w="9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2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41.11</w:t>
            </w:r>
          </w:p>
        </w:tc>
        <w:tc>
          <w:tcPr>
            <w:tcW w:w="7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197.328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R0103</w:t>
            </w:r>
          </w:p>
        </w:tc>
        <w:tc>
          <w:tcPr>
            <w:tcW w:w="198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AA胺化反应器2</w:t>
            </w:r>
          </w:p>
        </w:tc>
        <w:tc>
          <w:tcPr>
            <w:tcW w:w="9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2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41.11</w:t>
            </w:r>
          </w:p>
        </w:tc>
        <w:tc>
          <w:tcPr>
            <w:tcW w:w="7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197.328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R0104</w:t>
            </w:r>
          </w:p>
        </w:tc>
        <w:tc>
          <w:tcPr>
            <w:tcW w:w="198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AA胺化反应器3</w:t>
            </w:r>
          </w:p>
        </w:tc>
        <w:tc>
          <w:tcPr>
            <w:tcW w:w="9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2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41.11</w:t>
            </w:r>
          </w:p>
        </w:tc>
        <w:tc>
          <w:tcPr>
            <w:tcW w:w="7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197.328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R0105</w:t>
            </w:r>
          </w:p>
        </w:tc>
        <w:tc>
          <w:tcPr>
            <w:tcW w:w="198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酰胺脱水反应器</w:t>
            </w:r>
          </w:p>
        </w:tc>
        <w:tc>
          <w:tcPr>
            <w:tcW w:w="9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2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27.53</w:t>
            </w:r>
          </w:p>
        </w:tc>
        <w:tc>
          <w:tcPr>
            <w:tcW w:w="7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132.144</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R0201</w:t>
            </w:r>
          </w:p>
        </w:tc>
        <w:tc>
          <w:tcPr>
            <w:tcW w:w="198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粗氨气、水反应器</w:t>
            </w:r>
          </w:p>
        </w:tc>
        <w:tc>
          <w:tcPr>
            <w:tcW w:w="9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92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2.23</w:t>
            </w:r>
          </w:p>
        </w:tc>
        <w:tc>
          <w:tcPr>
            <w:tcW w:w="7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10.704</w:t>
            </w:r>
          </w:p>
        </w:tc>
      </w:tr>
      <w:tr>
        <w:tblPrEx>
          <w:tblCellMar>
            <w:top w:w="0" w:type="dxa"/>
            <w:left w:w="108" w:type="dxa"/>
            <w:bottom w:w="0" w:type="dxa"/>
            <w:right w:w="108" w:type="dxa"/>
          </w:tblCellMar>
        </w:tblPrEx>
        <w:trPr>
          <w:trHeight w:val="280" w:hRule="atLeast"/>
          <w:jc w:val="center"/>
        </w:trPr>
        <w:tc>
          <w:tcPr>
            <w:tcW w:w="594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799.68</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（3）气液分离器</w:t>
      </w:r>
    </w:p>
    <w:tbl>
      <w:tblPr>
        <w:tblStyle w:val="23"/>
        <w:tblW w:w="10201" w:type="dxa"/>
        <w:jc w:val="center"/>
        <w:tblLayout w:type="autofit"/>
        <w:tblCellMar>
          <w:top w:w="0" w:type="dxa"/>
          <w:left w:w="108" w:type="dxa"/>
          <w:bottom w:w="0" w:type="dxa"/>
          <w:right w:w="108" w:type="dxa"/>
        </w:tblCellMar>
      </w:tblPr>
      <w:tblGrid>
        <w:gridCol w:w="1134"/>
        <w:gridCol w:w="2409"/>
        <w:gridCol w:w="1985"/>
        <w:gridCol w:w="910"/>
        <w:gridCol w:w="1480"/>
        <w:gridCol w:w="724"/>
        <w:gridCol w:w="1559"/>
      </w:tblGrid>
      <w:tr>
        <w:tblPrEx>
          <w:tblCellMar>
            <w:top w:w="0" w:type="dxa"/>
            <w:left w:w="108" w:type="dxa"/>
            <w:bottom w:w="0" w:type="dxa"/>
            <w:right w:w="108" w:type="dxa"/>
          </w:tblCellMar>
        </w:tblPrEx>
        <w:trPr>
          <w:trHeight w:val="280" w:hRule="atLeast"/>
          <w:jc w:val="center"/>
        </w:trPr>
        <w:tc>
          <w:tcPr>
            <w:tcW w:w="1134"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设备位号</w:t>
            </w:r>
          </w:p>
        </w:tc>
        <w:tc>
          <w:tcPr>
            <w:tcW w:w="240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类型</w:t>
            </w:r>
          </w:p>
        </w:tc>
        <w:tc>
          <w:tcPr>
            <w:tcW w:w="91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材料</w:t>
            </w:r>
          </w:p>
        </w:tc>
        <w:tc>
          <w:tcPr>
            <w:tcW w:w="148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重量/kg</w:t>
            </w:r>
          </w:p>
        </w:tc>
        <w:tc>
          <w:tcPr>
            <w:tcW w:w="72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数量</w:t>
            </w:r>
          </w:p>
        </w:tc>
        <w:tc>
          <w:tcPr>
            <w:tcW w:w="155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V0103</w:t>
            </w:r>
          </w:p>
        </w:tc>
        <w:tc>
          <w:tcPr>
            <w:tcW w:w="24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中间产物气液分离罐1</w:t>
            </w:r>
          </w:p>
        </w:tc>
        <w:tc>
          <w:tcPr>
            <w:tcW w:w="198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立式丝网分离器</w:t>
            </w:r>
          </w:p>
        </w:tc>
        <w:tc>
          <w:tcPr>
            <w:tcW w:w="91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2207.98</w:t>
            </w:r>
          </w:p>
        </w:tc>
        <w:tc>
          <w:tcPr>
            <w:tcW w:w="7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10.598 </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V0104</w:t>
            </w:r>
          </w:p>
        </w:tc>
        <w:tc>
          <w:tcPr>
            <w:tcW w:w="24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中间产物气液分离罐2</w:t>
            </w:r>
          </w:p>
        </w:tc>
        <w:tc>
          <w:tcPr>
            <w:tcW w:w="198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立式丝网分离器</w:t>
            </w:r>
          </w:p>
        </w:tc>
        <w:tc>
          <w:tcPr>
            <w:tcW w:w="91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284.95</w:t>
            </w:r>
          </w:p>
        </w:tc>
        <w:tc>
          <w:tcPr>
            <w:tcW w:w="7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1.368 </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V0202</w:t>
            </w:r>
          </w:p>
        </w:tc>
        <w:tc>
          <w:tcPr>
            <w:tcW w:w="24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氨气闪蒸罐</w:t>
            </w:r>
          </w:p>
        </w:tc>
        <w:tc>
          <w:tcPr>
            <w:tcW w:w="198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立式丝网分离器</w:t>
            </w:r>
          </w:p>
        </w:tc>
        <w:tc>
          <w:tcPr>
            <w:tcW w:w="91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221533.4</w:t>
            </w:r>
          </w:p>
        </w:tc>
        <w:tc>
          <w:tcPr>
            <w:tcW w:w="72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1063.360 </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V0107</w:t>
            </w:r>
          </w:p>
        </w:tc>
        <w:tc>
          <w:tcPr>
            <w:tcW w:w="24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粗产物气液分离罐</w:t>
            </w:r>
          </w:p>
        </w:tc>
        <w:tc>
          <w:tcPr>
            <w:tcW w:w="198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立式丝网分离器</w:t>
            </w:r>
          </w:p>
        </w:tc>
        <w:tc>
          <w:tcPr>
            <w:tcW w:w="91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S30408</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1385.66</w:t>
            </w:r>
          </w:p>
        </w:tc>
        <w:tc>
          <w:tcPr>
            <w:tcW w:w="72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6.651 </w:t>
            </w:r>
          </w:p>
        </w:tc>
      </w:tr>
      <w:tr>
        <w:tblPrEx>
          <w:tblCellMar>
            <w:top w:w="0" w:type="dxa"/>
            <w:left w:w="108" w:type="dxa"/>
            <w:bottom w:w="0" w:type="dxa"/>
            <w:right w:w="108" w:type="dxa"/>
          </w:tblCellMar>
        </w:tblPrEx>
        <w:trPr>
          <w:trHeight w:val="280" w:hRule="atLeast"/>
          <w:jc w:val="center"/>
        </w:trPr>
        <w:tc>
          <w:tcPr>
            <w:tcW w:w="8642"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1081.977 </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（4）换热器：</w:t>
      </w:r>
    </w:p>
    <w:tbl>
      <w:tblPr>
        <w:tblStyle w:val="23"/>
        <w:tblW w:w="11198" w:type="dxa"/>
        <w:jc w:val="center"/>
        <w:tblLayout w:type="autofit"/>
        <w:tblCellMar>
          <w:top w:w="0" w:type="dxa"/>
          <w:left w:w="108" w:type="dxa"/>
          <w:bottom w:w="0" w:type="dxa"/>
          <w:right w:w="108" w:type="dxa"/>
        </w:tblCellMar>
      </w:tblPr>
      <w:tblGrid>
        <w:gridCol w:w="855"/>
        <w:gridCol w:w="1559"/>
        <w:gridCol w:w="2694"/>
        <w:gridCol w:w="1275"/>
        <w:gridCol w:w="1271"/>
        <w:gridCol w:w="851"/>
        <w:gridCol w:w="992"/>
        <w:gridCol w:w="567"/>
        <w:gridCol w:w="1134"/>
      </w:tblGrid>
      <w:tr>
        <w:tblPrEx>
          <w:tblCellMar>
            <w:top w:w="0" w:type="dxa"/>
            <w:left w:w="108" w:type="dxa"/>
            <w:bottom w:w="0" w:type="dxa"/>
            <w:right w:w="108" w:type="dxa"/>
          </w:tblCellMar>
        </w:tblPrEx>
        <w:trPr>
          <w:trHeight w:val="280" w:hRule="atLeast"/>
          <w:jc w:val="center"/>
        </w:trPr>
        <w:tc>
          <w:tcPr>
            <w:tcW w:w="855"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设备位号</w:t>
            </w:r>
          </w:p>
        </w:tc>
        <w:tc>
          <w:tcPr>
            <w:tcW w:w="155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换热器名称</w:t>
            </w:r>
          </w:p>
        </w:tc>
        <w:tc>
          <w:tcPr>
            <w:tcW w:w="269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型号</w:t>
            </w:r>
          </w:p>
        </w:tc>
        <w:tc>
          <w:tcPr>
            <w:tcW w:w="1275"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传热面积/m2</w:t>
            </w:r>
          </w:p>
        </w:tc>
        <w:tc>
          <w:tcPr>
            <w:tcW w:w="1271"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换热管/板数量</w:t>
            </w:r>
          </w:p>
        </w:tc>
        <w:tc>
          <w:tcPr>
            <w:tcW w:w="851"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管程材料</w:t>
            </w:r>
          </w:p>
        </w:tc>
        <w:tc>
          <w:tcPr>
            <w:tcW w:w="992"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壳程材料</w:t>
            </w:r>
          </w:p>
        </w:tc>
        <w:tc>
          <w:tcPr>
            <w:tcW w:w="567"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数量</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5"/>
                <w:szCs w:val="15"/>
              </w:rPr>
            </w:pPr>
            <w:r>
              <w:rPr>
                <w:rFonts w:hint="eastAsia" w:ascii="等线" w:hAnsi="等线" w:eastAsia="等线" w:cs="宋体"/>
                <w:color w:val="FFFFFF"/>
                <w:sz w:val="15"/>
                <w:szCs w:val="15"/>
              </w:rPr>
              <w:t>总价（万元）</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氨气、AND换热器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BEM600-0.33/0.088-55.8-6/25-1I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55.8</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269</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10.35</w:t>
            </w:r>
            <w:r>
              <w:rPr>
                <w:rFonts w:ascii="等线" w:hAnsi="等线" w:eastAsia="等线" w:cs="宋体"/>
                <w:color w:val="000000"/>
                <w:sz w:val="15"/>
                <w:szCs w:val="15"/>
              </w:rPr>
              <w:t>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E0102</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中间产物换热器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BEM500-0.33/0.33-90.2-6/19-2I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90.2</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256</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7.23</w:t>
            </w:r>
            <w:r>
              <w:rPr>
                <w:rFonts w:ascii="等线" w:hAnsi="等线" w:eastAsia="等线" w:cs="宋体"/>
                <w:color w:val="000000"/>
                <w:sz w:val="15"/>
                <w:szCs w:val="15"/>
              </w:rPr>
              <w:t>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E0103</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中间产物冷却器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BEU500-0.33/0.33-96.8-6/19-1I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96.8</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275</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7.47</w:t>
            </w:r>
            <w:r>
              <w:rPr>
                <w:rFonts w:ascii="等线" w:hAnsi="等线" w:eastAsia="等线" w:cs="宋体"/>
                <w:color w:val="00000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E0104</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中间产物加热器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BEU700-0.33/0.134-93.8-3/19-4I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93.8</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542</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6.20</w:t>
            </w:r>
            <w:r>
              <w:rPr>
                <w:rFonts w:ascii="等线" w:hAnsi="等线" w:eastAsia="等线" w:cs="宋体"/>
                <w:color w:val="00000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E0110</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废水冷却器2</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BEM273-0.0123/0.111-5.4-1.5/19-1I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5.4</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65</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0.756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E0303</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热泵精馏换热器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BEM1600-0.253/0.11-1687.2-9/19-4I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1687.2</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3176</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78.463</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E0304</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粗AND冷却器1</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BEM1300-0.08/0.275-557.6-4.5/25-1I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557.6</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2123</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40.330</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E0108</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T0102冷凝器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BEM500-0..33/0.121-31.2-2/19-1I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31.2</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275</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2.490</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E0109</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T0102再沸器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BKU800-0.55/0.33-138.0-3/19-1I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 xml:space="preserve">138.0 </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797</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8.18</w:t>
            </w:r>
            <w:r>
              <w:rPr>
                <w:rFonts w:ascii="等线" w:hAnsi="等线" w:eastAsia="等线" w:cs="宋体"/>
                <w:color w:val="000000"/>
                <w:sz w:val="15"/>
                <w:szCs w:val="15"/>
              </w:rPr>
              <w:t>5</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E0105</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T0101冷凝器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BEM900-0.11/0.121-171-3/19-2I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 xml:space="preserve">171.0 </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988</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9.773</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E0106</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T0101再沸器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BEM900-0.11/0.33-355.3-6/19-1I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355.3</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1009</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19.806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E0302</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T0301冷凝器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BEM600-0.056/0.88-109.3-4.5/19-2I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109.3</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416</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7.52</w:t>
            </w:r>
            <w:r>
              <w:rPr>
                <w:rFonts w:ascii="等线" w:hAnsi="等线" w:eastAsia="等线" w:cs="宋体"/>
                <w:color w:val="000000"/>
                <w:sz w:val="15"/>
                <w:szCs w:val="15"/>
              </w:rPr>
              <w:t>2</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E0301</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T0301再沸器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BEM1500-0.121/0.134-1556-9/19-2I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 xml:space="preserve">1556.0 </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2929</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72.6</w:t>
            </w:r>
            <w:r>
              <w:rPr>
                <w:rFonts w:ascii="等线" w:hAnsi="等线" w:eastAsia="等线" w:cs="宋体"/>
                <w:color w:val="000000"/>
                <w:sz w:val="15"/>
                <w:szCs w:val="15"/>
              </w:rPr>
              <w:t>60</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E0305</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T0303冷凝器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BEM500-0.011/0.121-67.2-4.5/19-2I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67.2</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256</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5.42</w:t>
            </w:r>
            <w:r>
              <w:rPr>
                <w:rFonts w:ascii="等线" w:hAnsi="等线" w:eastAsia="等线" w:cs="宋体"/>
                <w:color w:val="000000"/>
                <w:sz w:val="15"/>
                <w:szCs w:val="15"/>
              </w:rPr>
              <w:t>7</w:t>
            </w:r>
            <w:r>
              <w:rPr>
                <w:rFonts w:hint="eastAsia" w:ascii="等线" w:hAnsi="等线" w:eastAsia="等线" w:cs="宋体"/>
                <w:color w:val="00000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E0306</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T0303再沸器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BKU400-0.121/0.023-18.6-2/19-2I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18.6</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164</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1.761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E0307</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T0304冷凝器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BEM800-0.55/0.33-138.0-3/19-4I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189.8</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722</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7.72</w:t>
            </w:r>
            <w:r>
              <w:rPr>
                <w:rFonts w:ascii="等线" w:hAnsi="等线" w:eastAsia="等线" w:cs="宋体"/>
                <w:color w:val="00000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E0308</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T0304再沸器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BKU900-0.23/0.88-113.8-2.5/25-1I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113.8</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605</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8.18</w:t>
            </w:r>
            <w:r>
              <w:rPr>
                <w:rFonts w:ascii="等线" w:hAnsi="等线" w:eastAsia="等线" w:cs="宋体"/>
                <w:color w:val="00000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E0309</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T0305冷凝器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BEM273-0.0123/0.111-5.4-1.5/19-1I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5.4</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65</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0.756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E0310</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T0305再沸器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BEM273-0.0123/0.134-11.3-3/19-1I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11.3</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65</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1.51</w:t>
            </w:r>
            <w:r>
              <w:rPr>
                <w:rFonts w:ascii="等线" w:hAnsi="等线" w:eastAsia="等线" w:cs="宋体"/>
                <w:color w:val="000000"/>
                <w:sz w:val="15"/>
                <w:szCs w:val="15"/>
              </w:rPr>
              <w:t>3</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E0201</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T0201冷凝器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BEM1900-0.33/0.111-2424-9/19-4I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 xml:space="preserve">2424.0 </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4566</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107.91</w:t>
            </w:r>
            <w:r>
              <w:rPr>
                <w:rFonts w:ascii="等线" w:hAnsi="等线" w:eastAsia="等线" w:cs="宋体"/>
                <w:color w:val="000000"/>
                <w:sz w:val="15"/>
                <w:szCs w:val="15"/>
              </w:rPr>
              <w:t>8</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E0202</w:t>
            </w:r>
          </w:p>
        </w:tc>
        <w:tc>
          <w:tcPr>
            <w:tcW w:w="155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T0201再沸器</w:t>
            </w:r>
          </w:p>
        </w:tc>
        <w:tc>
          <w:tcPr>
            <w:tcW w:w="269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BEM800-0.55/0.134-209.3-4.5/19-1I</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209.3</w:t>
            </w:r>
          </w:p>
        </w:tc>
        <w:tc>
          <w:tcPr>
            <w:tcW w:w="127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797</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12.27</w:t>
            </w:r>
            <w:r>
              <w:rPr>
                <w:rFonts w:ascii="等线" w:hAnsi="等线" w:eastAsia="等线" w:cs="宋体"/>
                <w:color w:val="000000"/>
                <w:sz w:val="15"/>
                <w:szCs w:val="15"/>
              </w:rPr>
              <w:t>8</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E0107</w:t>
            </w:r>
          </w:p>
        </w:tc>
        <w:tc>
          <w:tcPr>
            <w:tcW w:w="155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废水冷却器1</w:t>
            </w:r>
          </w:p>
        </w:tc>
        <w:tc>
          <w:tcPr>
            <w:tcW w:w="269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BEM219-0.11/0.11-17.7-9/25-1I</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17.7</w:t>
            </w:r>
          </w:p>
        </w:tc>
        <w:tc>
          <w:tcPr>
            <w:tcW w:w="127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29</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3.558</w:t>
            </w:r>
          </w:p>
        </w:tc>
      </w:tr>
      <w:tr>
        <w:tblPrEx>
          <w:tblCellMar>
            <w:top w:w="0" w:type="dxa"/>
            <w:left w:w="108" w:type="dxa"/>
            <w:bottom w:w="0" w:type="dxa"/>
            <w:right w:w="108" w:type="dxa"/>
          </w:tblCellMar>
        </w:tblPrEx>
        <w:trPr>
          <w:trHeight w:val="280" w:hRule="atLeast"/>
          <w:jc w:val="center"/>
        </w:trPr>
        <w:tc>
          <w:tcPr>
            <w:tcW w:w="1006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合计</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5"/>
                <w:szCs w:val="15"/>
              </w:rPr>
            </w:pPr>
            <w:r>
              <w:rPr>
                <w:rFonts w:hint="eastAsia" w:ascii="等线" w:hAnsi="等线" w:eastAsia="等线" w:cs="宋体"/>
                <w:color w:val="000000"/>
                <w:sz w:val="15"/>
                <w:szCs w:val="15"/>
              </w:rPr>
              <w:t>420.362</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（5）压缩机：</w:t>
      </w:r>
    </w:p>
    <w:tbl>
      <w:tblPr>
        <w:tblStyle w:val="23"/>
        <w:tblW w:w="10343" w:type="dxa"/>
        <w:jc w:val="center"/>
        <w:tblLayout w:type="autofit"/>
        <w:tblCellMar>
          <w:top w:w="0" w:type="dxa"/>
          <w:left w:w="108" w:type="dxa"/>
          <w:bottom w:w="0" w:type="dxa"/>
          <w:right w:w="108" w:type="dxa"/>
        </w:tblCellMar>
      </w:tblPr>
      <w:tblGrid>
        <w:gridCol w:w="1121"/>
        <w:gridCol w:w="2780"/>
        <w:gridCol w:w="1056"/>
        <w:gridCol w:w="1275"/>
        <w:gridCol w:w="1134"/>
        <w:gridCol w:w="851"/>
        <w:gridCol w:w="709"/>
        <w:gridCol w:w="1417"/>
      </w:tblGrid>
      <w:tr>
        <w:tblPrEx>
          <w:tblCellMar>
            <w:top w:w="0" w:type="dxa"/>
            <w:left w:w="108" w:type="dxa"/>
            <w:bottom w:w="0" w:type="dxa"/>
            <w:right w:w="108" w:type="dxa"/>
          </w:tblCellMar>
        </w:tblPrEx>
        <w:trPr>
          <w:trHeight w:val="280" w:hRule="atLeast"/>
          <w:jc w:val="center"/>
        </w:trPr>
        <w:tc>
          <w:tcPr>
            <w:tcW w:w="1121"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设备位号</w:t>
            </w:r>
          </w:p>
        </w:tc>
        <w:tc>
          <w:tcPr>
            <w:tcW w:w="278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名称</w:t>
            </w:r>
          </w:p>
        </w:tc>
        <w:tc>
          <w:tcPr>
            <w:tcW w:w="1056"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类型</w:t>
            </w:r>
          </w:p>
        </w:tc>
        <w:tc>
          <w:tcPr>
            <w:tcW w:w="1275"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型号</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材质</w:t>
            </w:r>
          </w:p>
        </w:tc>
        <w:tc>
          <w:tcPr>
            <w:tcW w:w="851"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重量/t</w:t>
            </w:r>
          </w:p>
        </w:tc>
        <w:tc>
          <w:tcPr>
            <w:tcW w:w="709"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数量</w:t>
            </w:r>
          </w:p>
        </w:tc>
        <w:tc>
          <w:tcPr>
            <w:tcW w:w="1417"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0"/>
                <w:szCs w:val="20"/>
              </w:rPr>
            </w:pPr>
            <w:r>
              <w:rPr>
                <w:rFonts w:hint="eastAsia" w:ascii="等线" w:hAnsi="等线" w:eastAsia="等线" w:cs="宋体"/>
                <w:color w:val="FFFFFF"/>
                <w:sz w:val="20"/>
                <w:szCs w:val="20"/>
              </w:rPr>
              <w:t>价格（万元）</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C0202</w:t>
            </w:r>
          </w:p>
        </w:tc>
        <w:tc>
          <w:tcPr>
            <w:tcW w:w="27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循环氨气压缩机</w:t>
            </w:r>
          </w:p>
        </w:tc>
        <w:tc>
          <w:tcPr>
            <w:tcW w:w="105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离心式</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DAC800</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S30408</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43</w:t>
            </w:r>
          </w:p>
        </w:tc>
        <w:tc>
          <w:tcPr>
            <w:tcW w:w="7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w:t>
            </w:r>
          </w:p>
        </w:tc>
        <w:tc>
          <w:tcPr>
            <w:tcW w:w="141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206.4</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C0201</w:t>
            </w:r>
          </w:p>
        </w:tc>
        <w:tc>
          <w:tcPr>
            <w:tcW w:w="27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粗氨气压缩机</w:t>
            </w:r>
          </w:p>
        </w:tc>
        <w:tc>
          <w:tcPr>
            <w:tcW w:w="105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离心式</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DAC400</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S30408</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22</w:t>
            </w:r>
          </w:p>
        </w:tc>
        <w:tc>
          <w:tcPr>
            <w:tcW w:w="7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w:t>
            </w:r>
          </w:p>
        </w:tc>
        <w:tc>
          <w:tcPr>
            <w:tcW w:w="141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105.6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C0301</w:t>
            </w:r>
          </w:p>
        </w:tc>
        <w:tc>
          <w:tcPr>
            <w:tcW w:w="27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粗AND压缩机</w:t>
            </w:r>
          </w:p>
        </w:tc>
        <w:tc>
          <w:tcPr>
            <w:tcW w:w="105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离心式</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DAC400</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S30408</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22</w:t>
            </w:r>
          </w:p>
        </w:tc>
        <w:tc>
          <w:tcPr>
            <w:tcW w:w="7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w:t>
            </w:r>
          </w:p>
        </w:tc>
        <w:tc>
          <w:tcPr>
            <w:tcW w:w="141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105.6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C0101</w:t>
            </w:r>
          </w:p>
        </w:tc>
        <w:tc>
          <w:tcPr>
            <w:tcW w:w="27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废水压缩机1</w:t>
            </w:r>
          </w:p>
        </w:tc>
        <w:tc>
          <w:tcPr>
            <w:tcW w:w="105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离心式</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DAC300</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S30408</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17</w:t>
            </w:r>
          </w:p>
        </w:tc>
        <w:tc>
          <w:tcPr>
            <w:tcW w:w="7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w:t>
            </w:r>
          </w:p>
        </w:tc>
        <w:tc>
          <w:tcPr>
            <w:tcW w:w="141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81.6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C0102</w:t>
            </w:r>
          </w:p>
        </w:tc>
        <w:tc>
          <w:tcPr>
            <w:tcW w:w="27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废水压缩机2</w:t>
            </w:r>
          </w:p>
        </w:tc>
        <w:tc>
          <w:tcPr>
            <w:tcW w:w="1056"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离心式</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DAC50</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S30408</w:t>
            </w:r>
          </w:p>
        </w:tc>
        <w:tc>
          <w:tcPr>
            <w:tcW w:w="851"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4.5</w:t>
            </w:r>
          </w:p>
        </w:tc>
        <w:tc>
          <w:tcPr>
            <w:tcW w:w="709"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w:t>
            </w:r>
          </w:p>
        </w:tc>
        <w:tc>
          <w:tcPr>
            <w:tcW w:w="141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21.6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C0401</w:t>
            </w:r>
          </w:p>
        </w:tc>
        <w:tc>
          <w:tcPr>
            <w:tcW w:w="27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液氨压缩机</w:t>
            </w:r>
          </w:p>
        </w:tc>
        <w:tc>
          <w:tcPr>
            <w:tcW w:w="1056"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离心式</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DAC50</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S30408</w:t>
            </w:r>
          </w:p>
        </w:tc>
        <w:tc>
          <w:tcPr>
            <w:tcW w:w="851"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4.5</w:t>
            </w:r>
          </w:p>
        </w:tc>
        <w:tc>
          <w:tcPr>
            <w:tcW w:w="709"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1</w:t>
            </w:r>
          </w:p>
        </w:tc>
        <w:tc>
          <w:tcPr>
            <w:tcW w:w="1417"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21.6</w:t>
            </w:r>
          </w:p>
        </w:tc>
      </w:tr>
      <w:tr>
        <w:tblPrEx>
          <w:tblCellMar>
            <w:top w:w="0" w:type="dxa"/>
            <w:left w:w="108" w:type="dxa"/>
            <w:bottom w:w="0" w:type="dxa"/>
            <w:right w:w="108" w:type="dxa"/>
          </w:tblCellMar>
        </w:tblPrEx>
        <w:trPr>
          <w:trHeight w:val="280" w:hRule="atLeast"/>
          <w:jc w:val="center"/>
        </w:trPr>
        <w:tc>
          <w:tcPr>
            <w:tcW w:w="8926" w:type="dxa"/>
            <w:gridSpan w:val="7"/>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合计</w:t>
            </w:r>
          </w:p>
        </w:tc>
        <w:tc>
          <w:tcPr>
            <w:tcW w:w="1417"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0"/>
                <w:szCs w:val="20"/>
              </w:rPr>
            </w:pPr>
            <w:r>
              <w:rPr>
                <w:rFonts w:hint="eastAsia" w:ascii="等线" w:hAnsi="等线" w:eastAsia="等线" w:cs="宋体"/>
                <w:color w:val="000000"/>
                <w:sz w:val="20"/>
                <w:szCs w:val="20"/>
              </w:rPr>
              <w:t>542.4</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（6）储罐：</w:t>
      </w:r>
    </w:p>
    <w:tbl>
      <w:tblPr>
        <w:tblStyle w:val="23"/>
        <w:tblW w:w="11623" w:type="dxa"/>
        <w:jc w:val="center"/>
        <w:tblLayout w:type="autofit"/>
        <w:tblCellMar>
          <w:top w:w="0" w:type="dxa"/>
          <w:left w:w="108" w:type="dxa"/>
          <w:bottom w:w="0" w:type="dxa"/>
          <w:right w:w="108" w:type="dxa"/>
        </w:tblCellMar>
      </w:tblPr>
      <w:tblGrid>
        <w:gridCol w:w="997"/>
        <w:gridCol w:w="1418"/>
        <w:gridCol w:w="1842"/>
        <w:gridCol w:w="713"/>
        <w:gridCol w:w="983"/>
        <w:gridCol w:w="1134"/>
        <w:gridCol w:w="1134"/>
        <w:gridCol w:w="993"/>
        <w:gridCol w:w="1134"/>
        <w:gridCol w:w="1275"/>
      </w:tblGrid>
      <w:tr>
        <w:tblPrEx>
          <w:tblCellMar>
            <w:top w:w="0" w:type="dxa"/>
            <w:left w:w="108" w:type="dxa"/>
            <w:bottom w:w="0" w:type="dxa"/>
            <w:right w:w="108" w:type="dxa"/>
          </w:tblCellMar>
        </w:tblPrEx>
        <w:trPr>
          <w:trHeight w:val="280" w:hRule="atLeast"/>
          <w:jc w:val="center"/>
        </w:trPr>
        <w:tc>
          <w:tcPr>
            <w:tcW w:w="997"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设备位号</w:t>
            </w:r>
          </w:p>
        </w:tc>
        <w:tc>
          <w:tcPr>
            <w:tcW w:w="1418"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名称</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类型</w:t>
            </w:r>
          </w:p>
        </w:tc>
        <w:tc>
          <w:tcPr>
            <w:tcW w:w="713"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公称容积/m3</w:t>
            </w:r>
          </w:p>
        </w:tc>
        <w:tc>
          <w:tcPr>
            <w:tcW w:w="983"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材料</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保护层</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总质量/t</w:t>
            </w:r>
          </w:p>
        </w:tc>
        <w:tc>
          <w:tcPr>
            <w:tcW w:w="993"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数量</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造价(万元）</w:t>
            </w:r>
          </w:p>
        </w:tc>
        <w:tc>
          <w:tcPr>
            <w:tcW w:w="1275"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6"/>
                <w:szCs w:val="16"/>
              </w:rPr>
            </w:pPr>
            <w:r>
              <w:rPr>
                <w:rFonts w:hint="eastAsia" w:ascii="等线" w:hAnsi="等线" w:eastAsia="等线" w:cs="宋体"/>
                <w:color w:val="FFFFFF"/>
                <w:sz w:val="16"/>
                <w:szCs w:val="16"/>
              </w:rPr>
              <w:t>总价（万元）</w:t>
            </w:r>
          </w:p>
        </w:tc>
      </w:tr>
      <w:tr>
        <w:tblPrEx>
          <w:tblCellMar>
            <w:top w:w="0" w:type="dxa"/>
            <w:left w:w="108" w:type="dxa"/>
            <w:bottom w:w="0" w:type="dxa"/>
            <w:right w:w="108" w:type="dxa"/>
          </w:tblCellMar>
        </w:tblPrEx>
        <w:trPr>
          <w:trHeight w:val="280" w:hRule="atLeast"/>
          <w:jc w:val="center"/>
        </w:trPr>
        <w:tc>
          <w:tcPr>
            <w:tcW w:w="997"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V0401</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液氨球型储罐</w:t>
            </w:r>
          </w:p>
        </w:tc>
        <w:tc>
          <w:tcPr>
            <w:tcW w:w="184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钢制球形储罐</w:t>
            </w:r>
          </w:p>
        </w:tc>
        <w:tc>
          <w:tcPr>
            <w:tcW w:w="71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2000</w:t>
            </w:r>
          </w:p>
        </w:tc>
        <w:tc>
          <w:tcPr>
            <w:tcW w:w="98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Q370R</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不锈钢薄板</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310</w:t>
            </w:r>
          </w:p>
        </w:tc>
        <w:tc>
          <w:tcPr>
            <w:tcW w:w="99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422</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432</w:t>
            </w:r>
          </w:p>
        </w:tc>
      </w:tr>
      <w:tr>
        <w:tblPrEx>
          <w:tblCellMar>
            <w:top w:w="0" w:type="dxa"/>
            <w:left w:w="108" w:type="dxa"/>
            <w:bottom w:w="0" w:type="dxa"/>
            <w:right w:w="108" w:type="dxa"/>
          </w:tblCellMar>
        </w:tblPrEx>
        <w:trPr>
          <w:trHeight w:val="280" w:hRule="atLeast"/>
          <w:jc w:val="center"/>
        </w:trPr>
        <w:tc>
          <w:tcPr>
            <w:tcW w:w="997" w:type="dxa"/>
            <w:tcBorders>
              <w:top w:val="nil"/>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V0403A/B</w:t>
            </w:r>
          </w:p>
        </w:tc>
        <w:tc>
          <w:tcPr>
            <w:tcW w:w="1418"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ADN储罐</w:t>
            </w:r>
          </w:p>
        </w:tc>
        <w:tc>
          <w:tcPr>
            <w:tcW w:w="1842"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立式圆筒形内浮顶容器</w:t>
            </w:r>
          </w:p>
        </w:tc>
        <w:tc>
          <w:tcPr>
            <w:tcW w:w="71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3000</w:t>
            </w:r>
          </w:p>
        </w:tc>
        <w:tc>
          <w:tcPr>
            <w:tcW w:w="98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Q235-A</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不锈钢薄板</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89.485</w:t>
            </w:r>
          </w:p>
        </w:tc>
        <w:tc>
          <w:tcPr>
            <w:tcW w:w="993"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2</w:t>
            </w:r>
          </w:p>
        </w:tc>
        <w:tc>
          <w:tcPr>
            <w:tcW w:w="113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178.97</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357.94</w:t>
            </w:r>
          </w:p>
        </w:tc>
      </w:tr>
      <w:tr>
        <w:tblPrEx>
          <w:tblCellMar>
            <w:top w:w="0" w:type="dxa"/>
            <w:left w:w="108" w:type="dxa"/>
            <w:bottom w:w="0" w:type="dxa"/>
            <w:right w:w="108" w:type="dxa"/>
          </w:tblCellMar>
        </w:tblPrEx>
        <w:trPr>
          <w:trHeight w:val="280" w:hRule="atLeast"/>
          <w:jc w:val="center"/>
        </w:trPr>
        <w:tc>
          <w:tcPr>
            <w:tcW w:w="997" w:type="dxa"/>
            <w:tcBorders>
              <w:top w:val="nil"/>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V0404</w:t>
            </w:r>
          </w:p>
        </w:tc>
        <w:tc>
          <w:tcPr>
            <w:tcW w:w="1418"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废水储罐</w:t>
            </w:r>
          </w:p>
        </w:tc>
        <w:tc>
          <w:tcPr>
            <w:tcW w:w="1842"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立式圆筒形内浮顶容器</w:t>
            </w:r>
          </w:p>
        </w:tc>
        <w:tc>
          <w:tcPr>
            <w:tcW w:w="71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3000</w:t>
            </w:r>
          </w:p>
        </w:tc>
        <w:tc>
          <w:tcPr>
            <w:tcW w:w="98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Q235-A</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不锈钢薄板</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89.485</w:t>
            </w:r>
          </w:p>
        </w:tc>
        <w:tc>
          <w:tcPr>
            <w:tcW w:w="993"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1</w:t>
            </w:r>
          </w:p>
        </w:tc>
        <w:tc>
          <w:tcPr>
            <w:tcW w:w="113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178.97</w:t>
            </w:r>
          </w:p>
        </w:tc>
        <w:tc>
          <w:tcPr>
            <w:tcW w:w="1275"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178.97</w:t>
            </w:r>
          </w:p>
        </w:tc>
      </w:tr>
      <w:tr>
        <w:tblPrEx>
          <w:tblCellMar>
            <w:top w:w="0" w:type="dxa"/>
            <w:left w:w="108" w:type="dxa"/>
            <w:bottom w:w="0" w:type="dxa"/>
            <w:right w:w="108" w:type="dxa"/>
          </w:tblCellMar>
        </w:tblPrEx>
        <w:trPr>
          <w:trHeight w:val="280" w:hRule="atLeast"/>
          <w:jc w:val="center"/>
        </w:trPr>
        <w:tc>
          <w:tcPr>
            <w:tcW w:w="10348" w:type="dxa"/>
            <w:gridSpan w:val="9"/>
            <w:tcBorders>
              <w:top w:val="single" w:color="auto" w:sz="4" w:space="0"/>
              <w:left w:val="single" w:color="auto" w:sz="4" w:space="0"/>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合计</w:t>
            </w:r>
          </w:p>
        </w:tc>
        <w:tc>
          <w:tcPr>
            <w:tcW w:w="1275"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6"/>
                <w:szCs w:val="16"/>
              </w:rPr>
            </w:pPr>
            <w:r>
              <w:rPr>
                <w:rFonts w:hint="eastAsia" w:ascii="等线" w:hAnsi="等线" w:eastAsia="等线" w:cs="宋体"/>
                <w:color w:val="000000"/>
                <w:sz w:val="16"/>
                <w:szCs w:val="16"/>
              </w:rPr>
              <w:t>968.91</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（7）回流罐、分流罐、缓冲罐：</w:t>
      </w:r>
    </w:p>
    <w:tbl>
      <w:tblPr>
        <w:tblStyle w:val="57"/>
        <w:tblW w:w="10485"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79"/>
        <w:gridCol w:w="1714"/>
        <w:gridCol w:w="2410"/>
        <w:gridCol w:w="1129"/>
        <w:gridCol w:w="1134"/>
        <w:gridCol w:w="993"/>
        <w:gridCol w:w="212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设备位号</w:t>
            </w:r>
          </w:p>
        </w:tc>
        <w:tc>
          <w:tcPr>
            <w:tcW w:w="171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名称</w:t>
            </w:r>
          </w:p>
        </w:tc>
        <w:tc>
          <w:tcPr>
            <w:tcW w:w="241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类型</w:t>
            </w:r>
          </w:p>
        </w:tc>
        <w:tc>
          <w:tcPr>
            <w:tcW w:w="112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材料</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总质量/kg</w:t>
            </w:r>
          </w:p>
        </w:tc>
        <w:tc>
          <w:tcPr>
            <w:tcW w:w="99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数量</w:t>
            </w:r>
          </w:p>
        </w:tc>
        <w:tc>
          <w:tcPr>
            <w:tcW w:w="212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价格（万元）</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V0101</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氨气混合罐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60950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134.09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V0201</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粗氨气缓冲罐</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89485</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196.867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V0105</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粗氨气混合罐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60950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134.09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V0102</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汽包</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89485</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196.867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V0108</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废水缓冲罐1</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Q235-A</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640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3.072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V0110</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废水缓冲罐2</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Q235-A</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640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3.072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V0203</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氨气缓冲罐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60950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134.09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V0306</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精制ICCP混合罐</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6550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31.44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V0402</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氨气缓冲罐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60950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134.09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V0302</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AND分离罐1</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12620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27.764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V0303</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AND分离罐2</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6550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31.44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V0109</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T0102回流罐</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立式圆筒形内浮顶容器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19280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42.416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V0106</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T0101回流罐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640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3.072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V0301</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T0301回流罐</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290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1.392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V0202</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T0201回流罐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290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1.392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V0307</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T0305回流罐</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290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1.392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V0304</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T0303回流罐</w:t>
            </w:r>
          </w:p>
        </w:tc>
        <w:tc>
          <w:tcPr>
            <w:tcW w:w="241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500</w:t>
            </w:r>
          </w:p>
        </w:tc>
        <w:tc>
          <w:tcPr>
            <w:tcW w:w="9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V0305</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T0304回流罐</w:t>
            </w:r>
          </w:p>
        </w:tc>
        <w:tc>
          <w:tcPr>
            <w:tcW w:w="241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卧式椭圆形封头容器</w:t>
            </w:r>
          </w:p>
        </w:tc>
        <w:tc>
          <w:tcPr>
            <w:tcW w:w="1129"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290</w:t>
            </w:r>
          </w:p>
        </w:tc>
        <w:tc>
          <w:tcPr>
            <w:tcW w:w="993"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12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1.392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8359" w:type="dxa"/>
            <w:gridSpan w:val="6"/>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合计</w:t>
            </w:r>
          </w:p>
        </w:tc>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1080.338</w:t>
            </w:r>
          </w:p>
        </w:tc>
      </w:tr>
    </w:tbl>
    <w:p>
      <w:pPr>
        <w:spacing w:before="156" w:after="156"/>
        <w:ind w:firstLine="420" w:firstLineChars="200"/>
        <w:rPr>
          <w:rFonts w:ascii="Times New Roman" w:hAnsi="Times New Roman" w:cs="Times New Roman"/>
        </w:rPr>
      </w:pPr>
      <w:r>
        <w:rPr>
          <w:rFonts w:hint="eastAsia" w:ascii="Times New Roman" w:hAnsi="Times New Roman" w:cs="Times New Roman"/>
        </w:rPr>
        <w:t>（8）泵价格表：</w:t>
      </w:r>
    </w:p>
    <w:tbl>
      <w:tblPr>
        <w:tblStyle w:val="57"/>
        <w:tblW w:w="10206"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25"/>
        <w:gridCol w:w="1714"/>
        <w:gridCol w:w="1417"/>
        <w:gridCol w:w="1276"/>
        <w:gridCol w:w="1134"/>
        <w:gridCol w:w="1418"/>
        <w:gridCol w:w="850"/>
        <w:gridCol w:w="141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设备位号</w:t>
            </w:r>
          </w:p>
        </w:tc>
        <w:tc>
          <w:tcPr>
            <w:tcW w:w="171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名称</w:t>
            </w:r>
          </w:p>
        </w:tc>
        <w:tc>
          <w:tcPr>
            <w:tcW w:w="141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型号</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类型</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材质</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造价（万元）</w:t>
            </w:r>
          </w:p>
        </w:tc>
        <w:tc>
          <w:tcPr>
            <w:tcW w:w="85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数量</w:t>
            </w:r>
          </w:p>
        </w:tc>
        <w:tc>
          <w:tcPr>
            <w:tcW w:w="141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themeColor="background1"/>
                <w:sz w:val="18"/>
                <w:szCs w:val="18"/>
                <w14:textFill>
                  <w14:solidFill>
                    <w14:schemeClr w14:val="bg1"/>
                  </w14:solidFill>
                </w14:textFill>
              </w:rPr>
            </w:pPr>
            <w:r>
              <w:rPr>
                <w:rFonts w:hint="eastAsia" w:ascii="等线" w:hAnsi="等线" w:eastAsia="等线" w:cs="宋体"/>
                <w:b/>
                <w:bCs/>
                <w:color w:val="FFFFFF" w:themeColor="background1"/>
                <w:sz w:val="18"/>
                <w:szCs w:val="18"/>
                <w14:textFill>
                  <w14:solidFill>
                    <w14:schemeClr w14:val="bg1"/>
                  </w14:solidFill>
                </w14:textFill>
              </w:rPr>
              <w:t>总价（万元）</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P0101A/B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AA输送泵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80D-12</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0.33</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0.33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P0102A/B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汽包蒸汽输送泵1</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IL200-150-250</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2.75</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2.75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P0103A/B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汽包蒸汽输送泵2</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IL150-125-250</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2.45</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2.45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P0104A/B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汽包蒸汽输送泵3</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300S19A</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1.95</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P0105A/B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汽包蒸汽输送泵4</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XA150/40B</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0.22</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P0106A/B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T0101回流泵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IX50-32-125A</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0.83</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0.83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P0107A/B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酰胺输送泵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XA40/13H</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0.21</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P0108A/B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粗ADN输送泵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IX180-65-100</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1.95</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P0109A/B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T0102回流泵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IX165-50-125</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1.55</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1.55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P0110A/B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循环AA输送泵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IX50-32-125A</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0.43</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0.43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P0201A/B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T0201回流泵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ISL40-32-100</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0.16</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P0202A/B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废水输送泵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IL40-40-125</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0.86</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0.86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P0302A/B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粗产物输送泵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100D-16</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0.54</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0.54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P0304A/B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精制ADN输送泵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IX165-50-100</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1.35</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1.35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P0305A/B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循环ADN输送泵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IX165-50-110</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离心泵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1.45</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1.45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P0301A/B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T0301回流泵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QBY3-20</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气动隔膜泵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0.12</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P0308A/B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T0304回流泵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QBY3-20</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气动隔膜泵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0.12</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P0310A/B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粗2ADN输送泵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DBY-15</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电动隔膜泵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0.31</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0.31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P0311A/B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T0305回流泵</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DBY-10</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电动隔膜泵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0.21</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P0312A/B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精致2ADN输送泵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DBY-15</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电动隔膜泵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0.31</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0.31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P0303A/B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副产物输送泵1</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32W-30</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W型漩涡泵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0.12</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P0306A/B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T0303回流泵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32W-30</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W型旋涡泵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0.28</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P0307A/B</w:t>
            </w:r>
          </w:p>
        </w:tc>
        <w:tc>
          <w:tcPr>
            <w:tcW w:w="171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副产物输送泵2</w:t>
            </w:r>
          </w:p>
        </w:tc>
        <w:tc>
          <w:tcPr>
            <w:tcW w:w="1417"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25W-25</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W型旋涡泵</w:t>
            </w:r>
          </w:p>
        </w:tc>
        <w:tc>
          <w:tcPr>
            <w:tcW w:w="113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0.28</w:t>
            </w:r>
          </w:p>
        </w:tc>
        <w:tc>
          <w:tcPr>
            <w:tcW w:w="85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979" w:type="dxa"/>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P0309A/B</w:t>
            </w:r>
          </w:p>
        </w:tc>
        <w:tc>
          <w:tcPr>
            <w:tcW w:w="171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ICCP输送泵</w:t>
            </w:r>
          </w:p>
        </w:tc>
        <w:tc>
          <w:tcPr>
            <w:tcW w:w="1417"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32W-30</w:t>
            </w:r>
          </w:p>
        </w:tc>
        <w:tc>
          <w:tcPr>
            <w:tcW w:w="1276"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W型旋涡泵</w:t>
            </w:r>
          </w:p>
        </w:tc>
        <w:tc>
          <w:tcPr>
            <w:tcW w:w="1134"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S30408</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0.28</w:t>
            </w:r>
          </w:p>
        </w:tc>
        <w:tc>
          <w:tcPr>
            <w:tcW w:w="850"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1418" w:type="dxa"/>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0.28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8788" w:type="dxa"/>
            <w:gridSpan w:val="7"/>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18"/>
                <w:szCs w:val="18"/>
              </w:rPr>
            </w:pPr>
            <w:r>
              <w:rPr>
                <w:rFonts w:hint="eastAsia" w:ascii="等线" w:hAnsi="等线" w:eastAsia="等线" w:cs="宋体"/>
                <w:b/>
                <w:bCs/>
                <w:color w:val="000000"/>
                <w:sz w:val="18"/>
                <w:szCs w:val="18"/>
              </w:rPr>
              <w:t>合计</w:t>
            </w:r>
          </w:p>
        </w:tc>
        <w:tc>
          <w:tcPr>
            <w:tcW w:w="1418"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19.06</w:t>
            </w:r>
          </w:p>
        </w:tc>
      </w:tr>
    </w:tbl>
    <w:p>
      <w:pPr>
        <w:spacing w:before="156" w:after="156"/>
        <w:ind w:firstLine="420" w:firstLineChars="200"/>
        <w:rPr>
          <w:rFonts w:ascii="Times New Roman" w:hAnsi="Times New Roman" w:cs="Times New Roman"/>
        </w:rPr>
      </w:pPr>
    </w:p>
    <w:p>
      <w:pPr>
        <w:spacing w:before="156" w:after="156"/>
        <w:ind w:firstLine="420" w:firstLineChars="200"/>
        <w:rPr>
          <w:rFonts w:ascii="Times New Roman" w:hAnsi="Times New Roman" w:cs="Times New Roman"/>
        </w:rPr>
      </w:pPr>
      <w:r>
        <w:rPr>
          <w:rFonts w:hint="eastAsia" w:ascii="Times New Roman" w:hAnsi="Times New Roman" w:cs="Times New Roman"/>
        </w:rPr>
        <w:t>（二）其他工程费用</w:t>
      </w:r>
    </w:p>
    <w:p>
      <w:pPr>
        <w:spacing w:before="156" w:after="156"/>
        <w:ind w:firstLine="420"/>
        <w:rPr>
          <w:rFonts w:ascii="Times New Roman" w:hAnsi="Times New Roman" w:cs="Times New Roman"/>
          <w:b/>
          <w:sz w:val="18"/>
          <w:szCs w:val="18"/>
        </w:rPr>
      </w:pPr>
      <w:r>
        <w:rPr>
          <w:rFonts w:hint="eastAsia" w:ascii="Times New Roman" w:hAnsi="Times New Roman" w:cs="Times New Roman"/>
          <w:szCs w:val="21"/>
        </w:rPr>
        <w:t>根据主要生产设备购置费，按照一定比例确定管道及仪表自控系统费用、设备运杂费、备品备件购置费、工器具及生产家具购置费、设备内填充物购置费、电气设备费和其他设备购置费。</w:t>
      </w:r>
    </w:p>
    <w:p>
      <w:pPr>
        <w:spacing w:before="156" w:after="156"/>
        <w:ind w:firstLine="420"/>
        <w:jc w:val="center"/>
        <w:rPr>
          <w:rFonts w:ascii="Times New Roman" w:hAnsi="Times New Roman" w:cs="Times New Roman"/>
          <w:b/>
          <w:sz w:val="18"/>
          <w:szCs w:val="18"/>
        </w:rPr>
      </w:pPr>
      <w:r>
        <w:rPr>
          <w:rFonts w:hint="eastAsia" w:ascii="Times New Roman" w:hAnsi="Times New Roman" w:cs="Times New Roman"/>
          <w:b/>
          <w:sz w:val="18"/>
          <w:szCs w:val="18"/>
        </w:rPr>
        <w:t>表9</w:t>
      </w:r>
      <w:r>
        <w:rPr>
          <w:rFonts w:ascii="Times New Roman" w:hAnsi="Times New Roman" w:cs="Times New Roman"/>
          <w:b/>
          <w:sz w:val="18"/>
          <w:szCs w:val="18"/>
        </w:rPr>
        <w:t xml:space="preserve">-2 </w:t>
      </w:r>
      <w:r>
        <w:rPr>
          <w:rFonts w:hint="eastAsia" w:ascii="Times New Roman" w:hAnsi="Times New Roman" w:cs="Times New Roman"/>
          <w:b/>
          <w:sz w:val="18"/>
          <w:szCs w:val="18"/>
        </w:rPr>
        <w:t>设备购置一览表</w:t>
      </w:r>
    </w:p>
    <w:tbl>
      <w:tblPr>
        <w:tblStyle w:val="23"/>
        <w:tblW w:w="6360" w:type="dxa"/>
        <w:jc w:val="center"/>
        <w:tblLayout w:type="autofit"/>
        <w:tblCellMar>
          <w:top w:w="0" w:type="dxa"/>
          <w:left w:w="108" w:type="dxa"/>
          <w:bottom w:w="0" w:type="dxa"/>
          <w:right w:w="108" w:type="dxa"/>
        </w:tblCellMar>
      </w:tblPr>
      <w:tblGrid>
        <w:gridCol w:w="1040"/>
        <w:gridCol w:w="2840"/>
        <w:gridCol w:w="1040"/>
        <w:gridCol w:w="144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编号</w:t>
            </w:r>
          </w:p>
        </w:tc>
        <w:tc>
          <w:tcPr>
            <w:tcW w:w="28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名称</w:t>
            </w:r>
          </w:p>
        </w:tc>
        <w:tc>
          <w:tcPr>
            <w:tcW w:w="10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费率（%）</w:t>
            </w:r>
          </w:p>
        </w:tc>
        <w:tc>
          <w:tcPr>
            <w:tcW w:w="14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工艺设备费</w:t>
            </w:r>
          </w:p>
        </w:tc>
        <w:tc>
          <w:tcPr>
            <w:tcW w:w="10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w:t>
            </w:r>
          </w:p>
        </w:tc>
        <w:tc>
          <w:tcPr>
            <w:tcW w:w="14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5348.36 </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设备内部填充费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w:t>
            </w:r>
          </w:p>
        </w:tc>
        <w:tc>
          <w:tcPr>
            <w:tcW w:w="14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1069.671391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工艺管道及防腐保温工程费</w:t>
            </w:r>
          </w:p>
        </w:tc>
        <w:tc>
          <w:tcPr>
            <w:tcW w:w="10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w:t>
            </w:r>
          </w:p>
        </w:tc>
        <w:tc>
          <w:tcPr>
            <w:tcW w:w="14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1925.408504</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仪表控制费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w:t>
            </w:r>
          </w:p>
        </w:tc>
        <w:tc>
          <w:tcPr>
            <w:tcW w:w="14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748.7699737</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电动、变电配电、电讯设备</w:t>
            </w:r>
          </w:p>
        </w:tc>
        <w:tc>
          <w:tcPr>
            <w:tcW w:w="10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w:t>
            </w:r>
          </w:p>
        </w:tc>
        <w:tc>
          <w:tcPr>
            <w:tcW w:w="14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641.8028346</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生产工具费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w:t>
            </w:r>
          </w:p>
        </w:tc>
        <w:tc>
          <w:tcPr>
            <w:tcW w:w="14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133.7089239</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w:t>
            </w:r>
          </w:p>
        </w:tc>
        <w:tc>
          <w:tcPr>
            <w:tcW w:w="2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备品备件购置费</w:t>
            </w:r>
          </w:p>
        </w:tc>
        <w:tc>
          <w:tcPr>
            <w:tcW w:w="10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4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320.9014173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w:t>
            </w:r>
          </w:p>
        </w:tc>
        <w:tc>
          <w:tcPr>
            <w:tcW w:w="2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设备运杂费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14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213.9342782</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w:t>
            </w:r>
          </w:p>
        </w:tc>
        <w:tc>
          <w:tcPr>
            <w:tcW w:w="28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公用工程设备购置费</w:t>
            </w:r>
          </w:p>
        </w:tc>
        <w:tc>
          <w:tcPr>
            <w:tcW w:w="10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30</w:t>
            </w:r>
          </w:p>
        </w:tc>
        <w:tc>
          <w:tcPr>
            <w:tcW w:w="14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1604.507087</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w:t>
            </w:r>
          </w:p>
        </w:tc>
        <w:tc>
          <w:tcPr>
            <w:tcW w:w="28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车辆购置添加费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w:t>
            </w:r>
          </w:p>
        </w:tc>
        <w:tc>
          <w:tcPr>
            <w:tcW w:w="14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1069.671391</w:t>
            </w:r>
          </w:p>
        </w:tc>
      </w:tr>
      <w:tr>
        <w:tblPrEx>
          <w:tblCellMar>
            <w:top w:w="0" w:type="dxa"/>
            <w:left w:w="108" w:type="dxa"/>
            <w:bottom w:w="0" w:type="dxa"/>
            <w:right w:w="108" w:type="dxa"/>
          </w:tblCellMar>
        </w:tblPrEx>
        <w:trPr>
          <w:trHeight w:val="280" w:hRule="atLeast"/>
          <w:jc w:val="center"/>
        </w:trPr>
        <w:tc>
          <w:tcPr>
            <w:tcW w:w="4920" w:type="dxa"/>
            <w:gridSpan w:val="3"/>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总计（万元）</w:t>
            </w:r>
          </w:p>
        </w:tc>
        <w:tc>
          <w:tcPr>
            <w:tcW w:w="14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13076.73 </w:t>
            </w:r>
          </w:p>
        </w:tc>
      </w:tr>
    </w:tbl>
    <w:p>
      <w:pPr>
        <w:spacing w:before="156" w:after="156"/>
        <w:ind w:firstLine="420"/>
        <w:jc w:val="center"/>
        <w:rPr>
          <w:rFonts w:ascii="Times New Roman" w:hAnsi="Times New Roman" w:cs="Times New Roman"/>
          <w:szCs w:val="21"/>
        </w:rPr>
      </w:pPr>
    </w:p>
    <w:p>
      <w:pPr>
        <w:pStyle w:val="5"/>
        <w:spacing w:before="156" w:after="156"/>
        <w:rPr>
          <w:rFonts w:ascii="宋体" w:hAnsi="宋体" w:eastAsia="宋体"/>
          <w:sz w:val="24"/>
          <w:szCs w:val="24"/>
        </w:rPr>
      </w:pPr>
      <w:r>
        <w:rPr>
          <w:rFonts w:ascii="宋体" w:hAnsi="宋体" w:eastAsia="宋体"/>
          <w:sz w:val="24"/>
          <w:szCs w:val="24"/>
        </w:rPr>
        <w:t xml:space="preserve">8.3.1.2 </w:t>
      </w:r>
      <w:r>
        <w:rPr>
          <w:rFonts w:hint="eastAsia" w:ascii="宋体" w:hAnsi="宋体" w:eastAsia="宋体"/>
          <w:sz w:val="24"/>
          <w:szCs w:val="24"/>
        </w:rPr>
        <w:t xml:space="preserve">安装工程费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安装工程费包括主要生产、辅助生产、公用工程项目的工艺设备的安装、各种管道的安装、电动、变配电、电讯等电器设备安装；计量仪器、仪表等自控设备安装费用；设备内部填充、内衬、设备保温、防腐以及附属设备的平台、栏杆等工艺金属结构的材料及安装费用。 在设备组装中安装工程费用主要包括直接费用、间接费用、计划利润和税金等组成。直接费 用，由人工费、材料费、施工机械使用费和其他直接费用组成；间接费包括企业管理费、财 务费用和其他费用；计划利润和税金，按现行有关规定计算。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工艺设备、机械设备，按每台设备占得原价百分比估算，为简化计算，安装工程费也可以根据积累数据采用系数法估算。主要设备安装工程费用见表 </w:t>
      </w:r>
      <w:r>
        <w:rPr>
          <w:rFonts w:ascii="Times New Roman" w:hAnsi="Times New Roman" w:cs="Times New Roman"/>
          <w:kern w:val="2"/>
        </w:rPr>
        <w:t>8-3</w:t>
      </w:r>
      <w:r>
        <w:rPr>
          <w:rFonts w:hint="eastAsia" w:ascii="Times New Roman" w:hAnsi="Times New Roman" w:cs="Times New Roman"/>
          <w:kern w:val="2"/>
        </w:rPr>
        <w:t>。</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表8</w:t>
      </w:r>
      <w:r>
        <w:rPr>
          <w:rFonts w:ascii="Times New Roman" w:hAnsi="Times New Roman" w:cs="Times New Roman"/>
          <w:b/>
          <w:kern w:val="2"/>
          <w:sz w:val="18"/>
          <w:szCs w:val="18"/>
        </w:rPr>
        <w:t xml:space="preserve">-3 </w:t>
      </w:r>
      <w:r>
        <w:rPr>
          <w:rFonts w:hint="eastAsia" w:ascii="Times New Roman" w:hAnsi="Times New Roman" w:cs="Times New Roman"/>
          <w:b/>
          <w:kern w:val="2"/>
          <w:sz w:val="18"/>
          <w:szCs w:val="18"/>
        </w:rPr>
        <w:t>安装费用一览表</w:t>
      </w:r>
    </w:p>
    <w:tbl>
      <w:tblPr>
        <w:tblStyle w:val="57"/>
        <w:tblW w:w="7940"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40"/>
        <w:gridCol w:w="2074"/>
        <w:gridCol w:w="1276"/>
        <w:gridCol w:w="1701"/>
        <w:gridCol w:w="184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编号</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设备名称</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安装因子</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原价（万元）</w:t>
            </w:r>
          </w:p>
        </w:tc>
        <w:tc>
          <w:tcPr>
            <w:tcW w:w="184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价格（万元）</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1</w:t>
            </w:r>
          </w:p>
        </w:tc>
        <w:tc>
          <w:tcPr>
            <w:tcW w:w="207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塔设备</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0.4</w:t>
            </w:r>
          </w:p>
        </w:tc>
        <w:tc>
          <w:tcPr>
            <w:tcW w:w="170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435.62928</w:t>
            </w:r>
          </w:p>
        </w:tc>
        <w:tc>
          <w:tcPr>
            <w:tcW w:w="184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174.251712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w:t>
            </w:r>
          </w:p>
        </w:tc>
        <w:tc>
          <w:tcPr>
            <w:tcW w:w="207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反应器</w:t>
            </w:r>
          </w:p>
        </w:tc>
        <w:tc>
          <w:tcPr>
            <w:tcW w:w="1276"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0.3</w:t>
            </w:r>
          </w:p>
        </w:tc>
        <w:tc>
          <w:tcPr>
            <w:tcW w:w="170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799.68</w:t>
            </w:r>
          </w:p>
        </w:tc>
        <w:tc>
          <w:tcPr>
            <w:tcW w:w="1849"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239.904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3</w:t>
            </w:r>
          </w:p>
        </w:tc>
        <w:tc>
          <w:tcPr>
            <w:tcW w:w="207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气液分离器</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0.3</w:t>
            </w:r>
          </w:p>
        </w:tc>
        <w:tc>
          <w:tcPr>
            <w:tcW w:w="170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1081.977248</w:t>
            </w:r>
          </w:p>
        </w:tc>
        <w:tc>
          <w:tcPr>
            <w:tcW w:w="184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324.5931744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w:t>
            </w:r>
          </w:p>
        </w:tc>
        <w:tc>
          <w:tcPr>
            <w:tcW w:w="207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换热器</w:t>
            </w:r>
          </w:p>
        </w:tc>
        <w:tc>
          <w:tcPr>
            <w:tcW w:w="1276"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0.3</w:t>
            </w:r>
          </w:p>
        </w:tc>
        <w:tc>
          <w:tcPr>
            <w:tcW w:w="170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420.362427</w:t>
            </w:r>
          </w:p>
        </w:tc>
        <w:tc>
          <w:tcPr>
            <w:tcW w:w="1849"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126.1087281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5</w:t>
            </w:r>
          </w:p>
        </w:tc>
        <w:tc>
          <w:tcPr>
            <w:tcW w:w="207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压缩机</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w:t>
            </w:r>
          </w:p>
        </w:tc>
        <w:tc>
          <w:tcPr>
            <w:tcW w:w="170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542.4</w:t>
            </w:r>
          </w:p>
        </w:tc>
        <w:tc>
          <w:tcPr>
            <w:tcW w:w="184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108.48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6</w:t>
            </w:r>
          </w:p>
        </w:tc>
        <w:tc>
          <w:tcPr>
            <w:tcW w:w="207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泵</w:t>
            </w:r>
          </w:p>
        </w:tc>
        <w:tc>
          <w:tcPr>
            <w:tcW w:w="1276"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w:t>
            </w:r>
          </w:p>
        </w:tc>
        <w:tc>
          <w:tcPr>
            <w:tcW w:w="170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19.06</w:t>
            </w:r>
          </w:p>
        </w:tc>
        <w:tc>
          <w:tcPr>
            <w:tcW w:w="1849"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3.812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7</w:t>
            </w:r>
          </w:p>
        </w:tc>
        <w:tc>
          <w:tcPr>
            <w:tcW w:w="207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工艺管道</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0.4</w:t>
            </w:r>
          </w:p>
        </w:tc>
        <w:tc>
          <w:tcPr>
            <w:tcW w:w="170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1925.408504</w:t>
            </w:r>
          </w:p>
        </w:tc>
        <w:tc>
          <w:tcPr>
            <w:tcW w:w="184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770.1634015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80" w:hRule="atLeast"/>
          <w:jc w:val="center"/>
        </w:trPr>
        <w:tc>
          <w:tcPr>
            <w:tcW w:w="1040"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8</w:t>
            </w:r>
          </w:p>
        </w:tc>
        <w:tc>
          <w:tcPr>
            <w:tcW w:w="2074"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仪表及自控系统</w:t>
            </w:r>
          </w:p>
        </w:tc>
        <w:tc>
          <w:tcPr>
            <w:tcW w:w="1276"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w:t>
            </w:r>
          </w:p>
        </w:tc>
        <w:tc>
          <w:tcPr>
            <w:tcW w:w="1701"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748.7699737</w:t>
            </w:r>
          </w:p>
        </w:tc>
        <w:tc>
          <w:tcPr>
            <w:tcW w:w="1849"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149.7539947</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104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9</w:t>
            </w:r>
          </w:p>
        </w:tc>
        <w:tc>
          <w:tcPr>
            <w:tcW w:w="2074"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其他设备</w:t>
            </w:r>
          </w:p>
        </w:tc>
        <w:tc>
          <w:tcPr>
            <w:tcW w:w="127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w:t>
            </w:r>
          </w:p>
        </w:tc>
        <w:tc>
          <w:tcPr>
            <w:tcW w:w="1701"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3984.525931</w:t>
            </w:r>
          </w:p>
        </w:tc>
        <w:tc>
          <w:tcPr>
            <w:tcW w:w="1849"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796.9051863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6091" w:type="dxa"/>
            <w:gridSpan w:val="4"/>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总计</w:t>
            </w:r>
          </w:p>
        </w:tc>
        <w:tc>
          <w:tcPr>
            <w:tcW w:w="1849"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2693.972197</w:t>
            </w:r>
          </w:p>
        </w:tc>
      </w:tr>
    </w:tbl>
    <w:p>
      <w:pPr>
        <w:spacing w:before="156" w:after="156"/>
        <w:ind w:firstLine="420" w:firstLineChars="200"/>
        <w:jc w:val="center"/>
        <w:rPr>
          <w:rFonts w:ascii="Times New Roman" w:hAnsi="Times New Roman" w:cs="Times New Roman"/>
          <w:kern w:val="2"/>
        </w:rPr>
      </w:pPr>
    </w:p>
    <w:p>
      <w:pPr>
        <w:pStyle w:val="5"/>
        <w:spacing w:before="156" w:after="156"/>
        <w:rPr>
          <w:rFonts w:ascii="宋体" w:hAnsi="宋体" w:eastAsia="宋体"/>
          <w:sz w:val="24"/>
          <w:szCs w:val="24"/>
        </w:rPr>
      </w:pPr>
      <w:r>
        <w:rPr>
          <w:rFonts w:hint="eastAsia" w:ascii="宋体" w:hAnsi="宋体" w:eastAsia="宋体"/>
          <w:sz w:val="24"/>
          <w:szCs w:val="24"/>
        </w:rPr>
        <w:t xml:space="preserve">8.3.1.3 建筑工程费用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建筑工程费用包括建筑物工程、构筑物工程及大型土石方、场地平整机厂区绿化等产生 的费用。主要由直接费用、间接费用、税金组成。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（一）直接费用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包括建筑物工程、构筑物工程和大型土石方、场地、平整及厂区绿化等。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本项目中土建工程：包括生产装置的构筑物和建筑物以及办公楼、仓库、通讯和维修费用，为</w:t>
      </w:r>
      <w:r>
        <w:rPr>
          <w:rFonts w:ascii="Times New Roman" w:hAnsi="Times New Roman" w:cs="Times New Roman"/>
          <w:kern w:val="2"/>
        </w:rPr>
        <w:t>40%</w:t>
      </w:r>
      <w:r>
        <w:rPr>
          <w:rFonts w:hint="eastAsia" w:ascii="Times New Roman" w:hAnsi="Times New Roman" w:cs="Times New Roman"/>
          <w:kern w:val="2"/>
        </w:rPr>
        <w:t>。可得费用为</w:t>
      </w:r>
      <w:r>
        <w:rPr>
          <w:rFonts w:ascii="Times New Roman" w:hAnsi="Times New Roman" w:cs="Times New Roman"/>
          <w:kern w:val="2"/>
        </w:rPr>
        <w:t>5230.69</w:t>
      </w:r>
      <w:r>
        <w:rPr>
          <w:rFonts w:hint="eastAsia" w:ascii="Times New Roman" w:hAnsi="Times New Roman" w:cs="Times New Roman"/>
          <w:kern w:val="2"/>
        </w:rPr>
        <w:t xml:space="preserve">万元。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场地建设：包括场地清理和平整、道路、停车场和绿化等，为</w:t>
      </w:r>
      <w:r>
        <w:rPr>
          <w:rFonts w:ascii="Times New Roman" w:hAnsi="Times New Roman" w:cs="Times New Roman"/>
          <w:kern w:val="2"/>
        </w:rPr>
        <w:t>20%</w:t>
      </w:r>
      <w:r>
        <w:rPr>
          <w:rFonts w:hint="eastAsia" w:ascii="Times New Roman" w:hAnsi="Times New Roman" w:cs="Times New Roman"/>
          <w:kern w:val="2"/>
        </w:rPr>
        <w:t>，可得费用为</w:t>
      </w:r>
      <w:r>
        <w:rPr>
          <w:rFonts w:ascii="Times New Roman" w:hAnsi="Times New Roman" w:cs="Times New Roman"/>
          <w:kern w:val="2"/>
        </w:rPr>
        <w:t>2615.35</w:t>
      </w:r>
      <w:r>
        <w:rPr>
          <w:rFonts w:hint="eastAsia" w:ascii="Times New Roman" w:hAnsi="Times New Roman" w:cs="Times New Roman"/>
          <w:kern w:val="2"/>
        </w:rPr>
        <w:t xml:space="preserve">万元。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（二）间接费用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以直接费用为基础，按一定的间接费率计算的。本项目建于惠州大亚湾石化工业区，此 处的间接费率为 </w:t>
      </w:r>
      <w:r>
        <w:rPr>
          <w:rFonts w:ascii="Times New Roman" w:hAnsi="Times New Roman" w:cs="Times New Roman"/>
          <w:kern w:val="2"/>
        </w:rPr>
        <w:t>10%</w:t>
      </w:r>
      <w:r>
        <w:rPr>
          <w:rFonts w:hint="eastAsia" w:ascii="Times New Roman" w:hAnsi="Times New Roman" w:cs="Times New Roman"/>
          <w:kern w:val="2"/>
        </w:rPr>
        <w:t>，故得间接费为</w:t>
      </w:r>
      <w:r>
        <w:rPr>
          <w:rFonts w:ascii="Times New Roman" w:hAnsi="Times New Roman" w:cs="Times New Roman"/>
          <w:kern w:val="2"/>
        </w:rPr>
        <w:t>784.60</w:t>
      </w:r>
      <w:r>
        <w:rPr>
          <w:rFonts w:hint="eastAsia" w:ascii="Times New Roman" w:hAnsi="Times New Roman" w:cs="Times New Roman"/>
          <w:kern w:val="2"/>
        </w:rPr>
        <w:t xml:space="preserve">万元。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（三）税金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 xml:space="preserve">①营业税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以建筑工程的直接费、间接费之和为基数，按照费率的</w:t>
      </w:r>
      <w:r>
        <w:rPr>
          <w:rFonts w:ascii="Times New Roman" w:hAnsi="Times New Roman" w:cs="Times New Roman"/>
          <w:kern w:val="2"/>
        </w:rPr>
        <w:t>3%</w:t>
      </w:r>
      <w:r>
        <w:rPr>
          <w:rFonts w:hint="eastAsia" w:ascii="Times New Roman" w:hAnsi="Times New Roman" w:cs="Times New Roman"/>
          <w:kern w:val="2"/>
        </w:rPr>
        <w:t xml:space="preserve">计征。本项目营业税为 </w:t>
      </w:r>
      <w:r>
        <w:rPr>
          <w:rFonts w:ascii="Times New Roman" w:hAnsi="Times New Roman" w:cs="Times New Roman"/>
          <w:kern w:val="2"/>
        </w:rPr>
        <w:t>258.92</w:t>
      </w:r>
      <w:r>
        <w:rPr>
          <w:rFonts w:hint="eastAsia" w:ascii="Times New Roman" w:hAnsi="Times New Roman" w:cs="Times New Roman"/>
          <w:kern w:val="2"/>
        </w:rPr>
        <w:t xml:space="preserve">万元。 </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②城市建设维护税</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以营业税为基数，按照费率的</w:t>
      </w:r>
      <w:r>
        <w:rPr>
          <w:rFonts w:ascii="Times New Roman" w:hAnsi="Times New Roman" w:cs="Times New Roman"/>
          <w:kern w:val="2"/>
        </w:rPr>
        <w:t>7%计征。本项目</w:t>
      </w:r>
      <w:r>
        <w:rPr>
          <w:rFonts w:hint="eastAsia" w:ascii="Times New Roman" w:hAnsi="Times New Roman" w:cs="Times New Roman"/>
          <w:kern w:val="2"/>
        </w:rPr>
        <w:t>城市建设维护税</w:t>
      </w:r>
      <w:r>
        <w:rPr>
          <w:rFonts w:ascii="Times New Roman" w:hAnsi="Times New Roman" w:cs="Times New Roman"/>
          <w:kern w:val="2"/>
        </w:rPr>
        <w:t>为18.124万元。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③教育附加税</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按营业税的</w:t>
      </w:r>
      <w:r>
        <w:rPr>
          <w:rFonts w:ascii="Times New Roman" w:hAnsi="Times New Roman" w:cs="Times New Roman"/>
          <w:kern w:val="2"/>
        </w:rPr>
        <w:t>3%计征。本项目的教育附加税为7.77万元。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建筑工程费用汇总如表</w:t>
      </w:r>
      <w:r>
        <w:rPr>
          <w:rFonts w:ascii="Times New Roman" w:hAnsi="Times New Roman" w:cs="Times New Roman"/>
          <w:kern w:val="2"/>
        </w:rPr>
        <w:t xml:space="preserve"> 8-4</w:t>
      </w:r>
      <w:r>
        <w:rPr>
          <w:rFonts w:hint="eastAsia" w:ascii="Times New Roman" w:hAnsi="Times New Roman" w:cs="Times New Roman"/>
          <w:kern w:val="2"/>
        </w:rPr>
        <w:t>。</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w:t>
      </w:r>
      <w:r>
        <w:rPr>
          <w:rFonts w:ascii="Times New Roman" w:hAnsi="Times New Roman" w:cs="Times New Roman"/>
          <w:b/>
          <w:kern w:val="2"/>
          <w:sz w:val="18"/>
          <w:szCs w:val="18"/>
        </w:rPr>
        <w:t xml:space="preserve">8-4 </w:t>
      </w:r>
      <w:r>
        <w:rPr>
          <w:rFonts w:hint="eastAsia" w:ascii="Times New Roman" w:hAnsi="Times New Roman" w:cs="Times New Roman"/>
          <w:b/>
          <w:kern w:val="2"/>
          <w:sz w:val="18"/>
          <w:szCs w:val="18"/>
        </w:rPr>
        <w:t>建筑工程费用一览表</w:t>
      </w:r>
    </w:p>
    <w:tbl>
      <w:tblPr>
        <w:tblStyle w:val="23"/>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编号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直接费用</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7846.039653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间接费用</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784.6039653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税金</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284.8112394</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8915.454858</w:t>
            </w:r>
          </w:p>
        </w:tc>
      </w:tr>
    </w:tbl>
    <w:p>
      <w:pPr>
        <w:pStyle w:val="5"/>
        <w:spacing w:before="156" w:after="156"/>
        <w:rPr>
          <w:rFonts w:ascii="宋体" w:hAnsi="宋体" w:eastAsia="宋体"/>
          <w:sz w:val="24"/>
          <w:szCs w:val="24"/>
        </w:rPr>
      </w:pPr>
      <w:r>
        <w:rPr>
          <w:rFonts w:hint="eastAsia" w:ascii="宋体" w:hAnsi="宋体" w:eastAsia="宋体"/>
          <w:sz w:val="24"/>
          <w:szCs w:val="24"/>
        </w:rPr>
        <w:t xml:space="preserve">8.3.1.4 固定资产汇总 </w:t>
      </w:r>
    </w:p>
    <w:p>
      <w:pPr>
        <w:spacing w:before="156" w:after="156"/>
        <w:ind w:firstLine="420" w:firstLineChars="200"/>
        <w:rPr>
          <w:rFonts w:ascii="宋体" w:hAnsi="宋体" w:cs="宋体"/>
          <w:color w:val="000000"/>
          <w:szCs w:val="21"/>
        </w:rPr>
      </w:pPr>
      <w:r>
        <w:rPr>
          <w:rFonts w:hint="eastAsia" w:ascii="宋体" w:hAnsi="宋体" w:cs="宋体"/>
          <w:color w:val="000000"/>
          <w:szCs w:val="21"/>
        </w:rPr>
        <w:t>本项目固定投资费用汇总如下：</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表8</w:t>
      </w:r>
      <w:r>
        <w:rPr>
          <w:rFonts w:ascii="Times New Roman" w:hAnsi="Times New Roman" w:cs="Times New Roman"/>
          <w:b/>
          <w:kern w:val="2"/>
          <w:sz w:val="18"/>
          <w:szCs w:val="18"/>
        </w:rPr>
        <w:t xml:space="preserve">-5 </w:t>
      </w:r>
      <w:r>
        <w:rPr>
          <w:rFonts w:hint="eastAsia" w:ascii="Times New Roman" w:hAnsi="Times New Roman" w:cs="Times New Roman"/>
          <w:b/>
          <w:kern w:val="2"/>
          <w:sz w:val="18"/>
          <w:szCs w:val="18"/>
        </w:rPr>
        <w:t>固定投资费用一览表</w:t>
      </w:r>
    </w:p>
    <w:tbl>
      <w:tblPr>
        <w:tblStyle w:val="23"/>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编号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工程设备费</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13076.73275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建筑工程费</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8915.454858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安装工程费</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2693.972197</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24686.15981</w:t>
            </w:r>
          </w:p>
        </w:tc>
      </w:tr>
    </w:tbl>
    <w:p>
      <w:pPr>
        <w:pStyle w:val="4"/>
        <w:spacing w:before="156" w:after="156"/>
        <w:rPr>
          <w:rFonts w:ascii="宋体" w:hAnsi="宋体" w:eastAsia="宋体"/>
          <w:sz w:val="24"/>
          <w:szCs w:val="24"/>
        </w:rPr>
      </w:pPr>
      <w:bookmarkStart w:id="92" w:name="_Toc141670024"/>
      <w:r>
        <w:rPr>
          <w:rFonts w:ascii="宋体" w:hAnsi="宋体" w:eastAsia="宋体"/>
          <w:sz w:val="24"/>
          <w:szCs w:val="24"/>
        </w:rPr>
        <w:t>8.3.2 无形资产费用</w:t>
      </w:r>
      <w:bookmarkEnd w:id="92"/>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无形资产主要由土地使用费和技术转让费构成。</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1）土地使用费：本项目是</w:t>
      </w:r>
      <w:r>
        <w:rPr>
          <w:rFonts w:hint="eastAsia" w:ascii="Times New Roman" w:hAnsi="Times New Roman" w:cs="Times New Roman"/>
          <w:kern w:val="2"/>
        </w:rPr>
        <w:t>重庆华峰化工</w:t>
      </w:r>
      <w:r>
        <w:rPr>
          <w:rFonts w:ascii="Times New Roman" w:hAnsi="Times New Roman" w:cs="Times New Roman"/>
          <w:kern w:val="2"/>
        </w:rPr>
        <w:t>有限公司下游项目，设计用地103315㎡，新</w:t>
      </w:r>
      <w:r>
        <w:rPr>
          <w:rFonts w:hint="eastAsia" w:ascii="Times New Roman" w:hAnsi="Times New Roman" w:cs="Times New Roman"/>
          <w:kern w:val="2"/>
        </w:rPr>
        <w:t>建化工生产装置符合其发展规划需要，建设在白涛化工园区发展空地上，发展空地上，</w:t>
      </w:r>
      <w:r>
        <w:rPr>
          <w:rFonts w:ascii="Times New Roman" w:hAnsi="Times New Roman" w:cs="Times New Roman"/>
          <w:kern w:val="2"/>
        </w:rPr>
        <w:t xml:space="preserve"> 查询得惠州大亚湾石化工业企业土地均价为每平方米562.5元，</w:t>
      </w:r>
      <w:r>
        <w:rPr>
          <w:rFonts w:hint="eastAsia" w:ascii="Times New Roman" w:hAnsi="Times New Roman" w:cs="Times New Roman"/>
          <w:kern w:val="2"/>
        </w:rPr>
        <w:t>故总共花费</w:t>
      </w:r>
      <w:r>
        <w:rPr>
          <w:rFonts w:ascii="Times New Roman" w:hAnsi="Times New Roman" w:cs="Times New Roman"/>
          <w:kern w:val="2"/>
        </w:rPr>
        <w:t>5811.47万元。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2）技术转让费</w:t>
      </w:r>
      <w:r>
        <w:rPr>
          <w:rFonts w:hint="eastAsia" w:ascii="Times New Roman" w:hAnsi="Times New Roman" w:cs="Times New Roman"/>
          <w:kern w:val="2"/>
        </w:rPr>
        <w:t>：本项目涉及绿色固体催化剂（</w:t>
      </w:r>
      <w:r>
        <w:rPr>
          <w:rFonts w:hint="eastAsia"/>
          <w:color w:val="000000"/>
          <w:szCs w:val="21"/>
        </w:rPr>
        <w:t>CN 106140234 A</w:t>
      </w:r>
      <w:r>
        <w:rPr>
          <w:rFonts w:hint="eastAsia" w:ascii="Times New Roman" w:hAnsi="Times New Roman" w:cs="Times New Roman"/>
          <w:kern w:val="2"/>
        </w:rPr>
        <w:t>）专利技术转让费用，约</w:t>
      </w:r>
      <w:r>
        <w:rPr>
          <w:rFonts w:ascii="Times New Roman" w:hAnsi="Times New Roman" w:cs="Times New Roman"/>
          <w:kern w:val="2"/>
        </w:rPr>
        <w:t>100</w:t>
      </w:r>
      <w:r>
        <w:rPr>
          <w:rFonts w:hint="eastAsia" w:ascii="Times New Roman" w:hAnsi="Times New Roman" w:cs="Times New Roman"/>
          <w:kern w:val="2"/>
        </w:rPr>
        <w:t>万元。</w:t>
      </w:r>
    </w:p>
    <w:p>
      <w:pPr>
        <w:pStyle w:val="4"/>
        <w:spacing w:before="156" w:after="156"/>
        <w:rPr>
          <w:rFonts w:ascii="宋体" w:hAnsi="宋体" w:eastAsia="宋体"/>
          <w:sz w:val="24"/>
          <w:szCs w:val="24"/>
        </w:rPr>
      </w:pPr>
      <w:bookmarkStart w:id="93" w:name="_Toc141670025"/>
      <w:r>
        <w:rPr>
          <w:rFonts w:ascii="宋体" w:hAnsi="宋体" w:eastAsia="宋体"/>
          <w:sz w:val="24"/>
          <w:szCs w:val="24"/>
        </w:rPr>
        <w:t>8.3.3 递延资产费用</w:t>
      </w:r>
      <w:bookmarkEnd w:id="93"/>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递延资产主要由建设单位管理费、生产准备费、装置联合启动调试费构成。递延资产主要由建设单位管理费、生产准备费、装置联合启动调试费构成。</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表8</w:t>
      </w:r>
      <w:r>
        <w:rPr>
          <w:rFonts w:ascii="Times New Roman" w:hAnsi="Times New Roman" w:cs="Times New Roman"/>
          <w:b/>
          <w:kern w:val="2"/>
          <w:sz w:val="18"/>
          <w:szCs w:val="18"/>
        </w:rPr>
        <w:t xml:space="preserve">-6 </w:t>
      </w:r>
      <w:r>
        <w:rPr>
          <w:rFonts w:hint="eastAsia" w:ascii="Times New Roman" w:hAnsi="Times New Roman" w:cs="Times New Roman"/>
          <w:b/>
          <w:kern w:val="2"/>
          <w:sz w:val="18"/>
          <w:szCs w:val="18"/>
        </w:rPr>
        <w:t>递延资产费用</w:t>
      </w:r>
    </w:p>
    <w:tbl>
      <w:tblPr>
        <w:tblStyle w:val="23"/>
        <w:tblW w:w="5340" w:type="dxa"/>
        <w:jc w:val="center"/>
        <w:tblLayout w:type="autofit"/>
        <w:tblCellMar>
          <w:top w:w="0" w:type="dxa"/>
          <w:left w:w="108" w:type="dxa"/>
          <w:bottom w:w="0" w:type="dxa"/>
          <w:right w:w="108" w:type="dxa"/>
        </w:tblCellMar>
      </w:tblPr>
      <w:tblGrid>
        <w:gridCol w:w="846"/>
        <w:gridCol w:w="2574"/>
        <w:gridCol w:w="1920"/>
      </w:tblGrid>
      <w:tr>
        <w:tblPrEx>
          <w:tblCellMar>
            <w:top w:w="0" w:type="dxa"/>
            <w:left w:w="108" w:type="dxa"/>
            <w:bottom w:w="0" w:type="dxa"/>
            <w:right w:w="108" w:type="dxa"/>
          </w:tblCellMar>
        </w:tblPrEx>
        <w:trPr>
          <w:trHeight w:val="280" w:hRule="atLeast"/>
          <w:jc w:val="center"/>
        </w:trPr>
        <w:tc>
          <w:tcPr>
            <w:tcW w:w="846"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编号</w:t>
            </w:r>
          </w:p>
        </w:tc>
        <w:tc>
          <w:tcPr>
            <w:tcW w:w="2574"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92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57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建设单位管理费</w:t>
            </w:r>
          </w:p>
        </w:tc>
        <w:tc>
          <w:tcPr>
            <w:tcW w:w="1920"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197.4892785</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57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装置联合启动调试费</w:t>
            </w:r>
          </w:p>
        </w:tc>
        <w:tc>
          <w:tcPr>
            <w:tcW w:w="1920"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246.8615981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57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研究试验费</w:t>
            </w:r>
          </w:p>
        </w:tc>
        <w:tc>
          <w:tcPr>
            <w:tcW w:w="19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nil"/>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574" w:type="dxa"/>
            <w:tcBorders>
              <w:top w:val="nil"/>
              <w:left w:val="nil"/>
              <w:bottom w:val="nil"/>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城市基础设施配套费</w:t>
            </w:r>
          </w:p>
        </w:tc>
        <w:tc>
          <w:tcPr>
            <w:tcW w:w="1920" w:type="dxa"/>
            <w:tcBorders>
              <w:top w:val="nil"/>
              <w:left w:val="nil"/>
              <w:bottom w:val="nil"/>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50</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nil"/>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574" w:type="dxa"/>
            <w:tcBorders>
              <w:top w:val="nil"/>
              <w:left w:val="nil"/>
              <w:bottom w:val="nil"/>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生产准备费</w:t>
            </w:r>
          </w:p>
        </w:tc>
        <w:tc>
          <w:tcPr>
            <w:tcW w:w="1920" w:type="dxa"/>
            <w:tcBorders>
              <w:top w:val="nil"/>
              <w:left w:val="nil"/>
              <w:bottom w:val="nil"/>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r>
              <w:rPr>
                <w:rFonts w:ascii="等线" w:hAnsi="等线" w:eastAsia="等线" w:cs="宋体"/>
                <w:color w:val="000000"/>
                <w:sz w:val="22"/>
              </w:rPr>
              <w:t>17.8</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nil"/>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574" w:type="dxa"/>
            <w:tcBorders>
              <w:top w:val="nil"/>
              <w:left w:val="nil"/>
              <w:bottom w:val="nil"/>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办公及生活家居购置费</w:t>
            </w:r>
          </w:p>
        </w:tc>
        <w:tc>
          <w:tcPr>
            <w:tcW w:w="1920" w:type="dxa"/>
            <w:tcBorders>
              <w:top w:val="nil"/>
              <w:left w:val="nil"/>
              <w:bottom w:val="nil"/>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r>
              <w:rPr>
                <w:rFonts w:ascii="等线" w:hAnsi="等线" w:eastAsia="等线" w:cs="宋体"/>
                <w:color w:val="000000"/>
                <w:sz w:val="22"/>
              </w:rPr>
              <w:t>.2</w:t>
            </w:r>
          </w:p>
        </w:tc>
      </w:tr>
      <w:tr>
        <w:tblPrEx>
          <w:tblCellMar>
            <w:top w:w="0" w:type="dxa"/>
            <w:left w:w="108" w:type="dxa"/>
            <w:bottom w:w="0" w:type="dxa"/>
            <w:right w:w="108" w:type="dxa"/>
          </w:tblCellMar>
        </w:tblPrEx>
        <w:trPr>
          <w:trHeight w:val="280" w:hRule="atLeast"/>
          <w:jc w:val="center"/>
        </w:trPr>
        <w:tc>
          <w:tcPr>
            <w:tcW w:w="3420" w:type="dxa"/>
            <w:gridSpan w:val="2"/>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合计（万元）</w:t>
            </w:r>
          </w:p>
        </w:tc>
        <w:tc>
          <w:tcPr>
            <w:tcW w:w="19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717.351</w:t>
            </w:r>
          </w:p>
        </w:tc>
      </w:tr>
    </w:tbl>
    <w:p>
      <w:pPr>
        <w:keepLines/>
        <w:autoSpaceDE/>
        <w:autoSpaceDN/>
        <w:spacing w:before="0" w:beforeLines="0" w:after="0" w:afterLines="0"/>
        <w:jc w:val="both"/>
        <w:outlineLvl w:val="2"/>
        <w:rPr>
          <w:rFonts w:ascii="Times New Roman" w:hAnsi="Times New Roman" w:cs="Times New Roman"/>
          <w:b/>
          <w:bCs/>
          <w:kern w:val="2"/>
          <w:sz w:val="28"/>
          <w:szCs w:val="32"/>
        </w:rPr>
      </w:pPr>
      <w:bookmarkStart w:id="94" w:name="_Toc24455"/>
      <w:bookmarkStart w:id="95" w:name="_Toc141670026"/>
      <w:r>
        <w:rPr>
          <w:rFonts w:ascii="Times New Roman" w:hAnsi="Times New Roman" w:cs="Times New Roman"/>
          <w:b/>
          <w:bCs/>
          <w:kern w:val="2"/>
          <w:sz w:val="28"/>
          <w:szCs w:val="32"/>
        </w:rPr>
        <w:t>8.3.4 预备费用</w:t>
      </w:r>
      <w:bookmarkEnd w:id="94"/>
      <w:bookmarkEnd w:id="95"/>
    </w:p>
    <w:p>
      <w:pPr>
        <w:autoSpaceDE/>
        <w:autoSpaceDN/>
        <w:spacing w:before="0" w:beforeLines="0" w:after="0" w:afterLines="0"/>
        <w:rPr>
          <w:rFonts w:ascii="Times New Roman" w:hAnsi="Times New Roman" w:cs="Times New Roman"/>
          <w:b/>
          <w:kern w:val="2"/>
        </w:rPr>
      </w:pPr>
      <w:r>
        <w:rPr>
          <w:rFonts w:ascii="Times New Roman" w:hAnsi="Times New Roman" w:cs="Times New Roman"/>
          <w:b/>
          <w:kern w:val="2"/>
        </w:rPr>
        <w:t>（一）基本预备费</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基本预备费，此费用估算以固定资产、无形资产和递延资产费用之和为计算基数，按9%~15%估算。本项目取为12%，则基本预备费为3829.12万元。</w:t>
      </w:r>
    </w:p>
    <w:p>
      <w:pPr>
        <w:autoSpaceDE/>
        <w:autoSpaceDN/>
        <w:spacing w:before="0" w:beforeLines="0" w:after="0" w:afterLines="0"/>
        <w:rPr>
          <w:rFonts w:ascii="Times New Roman" w:hAnsi="Times New Roman" w:cs="Times New Roman"/>
          <w:b/>
          <w:kern w:val="2"/>
        </w:rPr>
      </w:pPr>
      <w:r>
        <w:rPr>
          <w:rFonts w:ascii="Times New Roman" w:hAnsi="Times New Roman" w:cs="Times New Roman"/>
          <w:b/>
          <w:kern w:val="2"/>
        </w:rPr>
        <w:t>（二）涨价预备费</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建设工期短，忽略涨价影响。</w:t>
      </w: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96" w:name="_Toc12468"/>
      <w:bookmarkStart w:id="97" w:name="_Toc141670027"/>
      <w:r>
        <w:rPr>
          <w:rFonts w:ascii="Times New Roman" w:hAnsi="Times New Roman" w:cs="Times New Roman"/>
          <w:b/>
          <w:bCs/>
          <w:kern w:val="2"/>
          <w:sz w:val="28"/>
          <w:szCs w:val="32"/>
        </w:rPr>
        <w:t>8.3.5 建设投资估算表</w:t>
      </w:r>
      <w:bookmarkEnd w:id="96"/>
      <w:bookmarkEnd w:id="97"/>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表8</w:t>
      </w:r>
      <w:r>
        <w:rPr>
          <w:rFonts w:ascii="Times New Roman" w:hAnsi="Times New Roman" w:cs="Times New Roman"/>
          <w:b/>
          <w:kern w:val="2"/>
          <w:sz w:val="18"/>
          <w:szCs w:val="18"/>
        </w:rPr>
        <w:t xml:space="preserve">-7 </w:t>
      </w:r>
      <w:r>
        <w:rPr>
          <w:rFonts w:hint="eastAsia" w:ascii="Times New Roman" w:hAnsi="Times New Roman" w:cs="Times New Roman"/>
          <w:b/>
          <w:kern w:val="2"/>
          <w:sz w:val="18"/>
          <w:szCs w:val="18"/>
        </w:rPr>
        <w:t>建设投资估算表</w:t>
      </w:r>
    </w:p>
    <w:tbl>
      <w:tblPr>
        <w:tblStyle w:val="23"/>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编号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固定资产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24686.15981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无形资产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5911.46875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递延资产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1311.701753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预备费用</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3829.119638</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建设投资合计</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35738.44995</w:t>
            </w:r>
          </w:p>
        </w:tc>
      </w:tr>
    </w:tbl>
    <w:p>
      <w:pPr>
        <w:spacing w:before="156" w:after="156"/>
        <w:ind w:firstLine="420" w:firstLineChars="200"/>
        <w:rPr>
          <w:rFonts w:ascii="Times New Roman" w:hAnsi="Times New Roman" w:cs="Times New Roman"/>
          <w:kern w:val="2"/>
        </w:rPr>
      </w:pPr>
    </w:p>
    <w:p>
      <w:pPr>
        <w:pStyle w:val="3"/>
        <w:spacing w:before="156" w:after="156"/>
        <w:rPr>
          <w:rFonts w:ascii="Times New Roman" w:hAnsi="Times New Roman" w:eastAsia="宋体" w:cs="Times New Roman"/>
        </w:rPr>
      </w:pPr>
      <w:bookmarkStart w:id="98" w:name="_Toc141670028"/>
      <w:r>
        <w:rPr>
          <w:rFonts w:ascii="Times New Roman" w:hAnsi="Times New Roman" w:eastAsia="宋体" w:cs="Times New Roman"/>
        </w:rPr>
        <w:t>8.4 建设期利息估算</w:t>
      </w:r>
      <w:bookmarkEnd w:id="98"/>
    </w:p>
    <w:p>
      <w:pPr>
        <w:spacing w:before="156" w:after="156"/>
        <w:ind w:firstLine="420" w:firstLineChars="200"/>
        <w:rPr>
          <w:rFonts w:ascii="Times New Roman" w:hAnsi="Times New Roman" w:cs="Times New Roman"/>
          <w:kern w:val="2"/>
        </w:rPr>
      </w:pPr>
      <w:r>
        <w:rPr>
          <w:rFonts w:ascii="Times New Roman" w:hAnsi="Times New Roman" w:cs="Times New Roman"/>
          <w:kern w:val="2"/>
        </w:rPr>
        <w:t>2023年中国人民银行最新银行贷款利率如下表所示：</w:t>
      </w:r>
    </w:p>
    <w:p>
      <w:pPr>
        <w:spacing w:before="156" w:after="156"/>
        <w:ind w:firstLine="361" w:firstLineChars="200"/>
        <w:jc w:val="center"/>
        <w:rPr>
          <w:rFonts w:ascii="Times New Roman" w:hAnsi="Times New Roman" w:cs="Times New Roman"/>
          <w:b/>
          <w:kern w:val="2"/>
          <w:sz w:val="18"/>
          <w:szCs w:val="18"/>
        </w:rPr>
      </w:pPr>
      <w:r>
        <w:rPr>
          <w:rFonts w:ascii="Times New Roman" w:hAnsi="Times New Roman" w:cs="Times New Roman"/>
          <w:b/>
          <w:kern w:val="2"/>
          <w:sz w:val="18"/>
          <w:szCs w:val="18"/>
        </w:rPr>
        <w:t>表8-8 2023年中国人民银行贷款利率</w:t>
      </w:r>
    </w:p>
    <w:tbl>
      <w:tblPr>
        <w:tblStyle w:val="23"/>
        <w:tblW w:w="3807" w:type="pct"/>
        <w:jc w:val="center"/>
        <w:tblLayout w:type="autofit"/>
        <w:tblCellMar>
          <w:top w:w="0" w:type="dxa"/>
          <w:left w:w="108" w:type="dxa"/>
          <w:bottom w:w="0" w:type="dxa"/>
          <w:right w:w="108" w:type="dxa"/>
        </w:tblCellMar>
      </w:tblPr>
      <w:tblGrid>
        <w:gridCol w:w="3622"/>
        <w:gridCol w:w="2867"/>
      </w:tblGrid>
      <w:tr>
        <w:tblPrEx>
          <w:tblCellMar>
            <w:top w:w="0" w:type="dxa"/>
            <w:left w:w="108" w:type="dxa"/>
            <w:bottom w:w="0" w:type="dxa"/>
            <w:right w:w="108" w:type="dxa"/>
          </w:tblCellMar>
        </w:tblPrEx>
        <w:trPr>
          <w:trHeight w:val="278" w:hRule="atLeast"/>
          <w:jc w:val="center"/>
        </w:trPr>
        <w:tc>
          <w:tcPr>
            <w:tcW w:w="2791" w:type="pct"/>
            <w:tcBorders>
              <w:top w:val="single" w:color="000000" w:sz="8" w:space="0"/>
              <w:left w:val="single" w:color="000000" w:sz="8" w:space="0"/>
              <w:bottom w:val="single" w:color="000000" w:sz="8" w:space="0"/>
              <w:right w:val="single" w:color="000000" w:sz="8" w:space="0"/>
            </w:tcBorders>
            <w:shd w:val="clear" w:color="auto" w:fill="4472C4"/>
            <w:vAlign w:val="center"/>
          </w:tcPr>
          <w:p>
            <w:pPr>
              <w:widowControl/>
              <w:autoSpaceDE/>
              <w:autoSpaceDN/>
              <w:spacing w:before="0" w:beforeLines="0" w:after="0" w:afterLines="0"/>
              <w:jc w:val="center"/>
              <w:textAlignment w:val="center"/>
              <w:rPr>
                <w:rFonts w:ascii="宋体" w:hAnsi="宋体" w:cs="宋体"/>
                <w:b/>
                <w:bCs/>
                <w:color w:val="FFFFFF"/>
                <w:kern w:val="2"/>
                <w:szCs w:val="21"/>
              </w:rPr>
            </w:pPr>
            <w:r>
              <w:rPr>
                <w:rFonts w:hint="eastAsia" w:ascii="宋体" w:hAnsi="宋体" w:cs="宋体"/>
                <w:b/>
                <w:bCs/>
                <w:color w:val="FFFFFF"/>
                <w:szCs w:val="21"/>
                <w:lang w:bidi="ar"/>
              </w:rPr>
              <w:t>期限</w:t>
            </w:r>
          </w:p>
        </w:tc>
        <w:tc>
          <w:tcPr>
            <w:tcW w:w="2209" w:type="pct"/>
            <w:tcBorders>
              <w:top w:val="single" w:color="000000" w:sz="8" w:space="0"/>
              <w:left w:val="single" w:color="000000" w:sz="8" w:space="0"/>
              <w:bottom w:val="single" w:color="000000" w:sz="8" w:space="0"/>
              <w:right w:val="single" w:color="000000" w:sz="8" w:space="0"/>
            </w:tcBorders>
            <w:shd w:val="clear" w:color="auto" w:fill="4472C4"/>
            <w:vAlign w:val="center"/>
          </w:tcPr>
          <w:p>
            <w:pPr>
              <w:widowControl/>
              <w:autoSpaceDE/>
              <w:autoSpaceDN/>
              <w:spacing w:before="0" w:beforeLines="0" w:after="0" w:afterLines="0"/>
              <w:jc w:val="center"/>
              <w:textAlignment w:val="center"/>
              <w:rPr>
                <w:rFonts w:ascii="宋体" w:hAnsi="宋体" w:cs="宋体"/>
                <w:b/>
                <w:bCs/>
                <w:color w:val="FFFFFF"/>
                <w:kern w:val="2"/>
                <w:szCs w:val="21"/>
              </w:rPr>
            </w:pPr>
            <w:r>
              <w:rPr>
                <w:rFonts w:hint="eastAsia" w:ascii="宋体" w:hAnsi="宋体" w:cs="宋体"/>
                <w:b/>
                <w:bCs/>
                <w:color w:val="FFFFFF"/>
                <w:szCs w:val="21"/>
                <w:lang w:bidi="ar"/>
              </w:rPr>
              <w:t>年利率</w:t>
            </w:r>
            <w:r>
              <w:rPr>
                <w:rFonts w:ascii="Times New Roman" w:hAnsi="Times New Roman" w:cs="Times New Roman"/>
                <w:b/>
                <w:bCs/>
                <w:color w:val="FFFFFF"/>
                <w:szCs w:val="21"/>
                <w:lang w:bidi="ar"/>
              </w:rPr>
              <w:t>/%</w:t>
            </w:r>
          </w:p>
        </w:tc>
      </w:tr>
      <w:tr>
        <w:tblPrEx>
          <w:tblCellMar>
            <w:top w:w="0" w:type="dxa"/>
            <w:left w:w="108" w:type="dxa"/>
            <w:bottom w:w="0" w:type="dxa"/>
            <w:right w:w="108" w:type="dxa"/>
          </w:tblCellMar>
        </w:tblPrEx>
        <w:trPr>
          <w:trHeight w:val="285" w:hRule="atLeast"/>
          <w:jc w:val="center"/>
        </w:trPr>
        <w:tc>
          <w:tcPr>
            <w:tcW w:w="2791" w:type="pct"/>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textAlignment w:val="center"/>
              <w:rPr>
                <w:rFonts w:ascii="宋体" w:hAnsi="宋体" w:cs="宋体"/>
                <w:color w:val="000000"/>
                <w:kern w:val="2"/>
                <w:szCs w:val="21"/>
              </w:rPr>
            </w:pPr>
            <w:r>
              <w:rPr>
                <w:rFonts w:hint="eastAsia" w:ascii="宋体" w:hAnsi="宋体" w:cs="宋体"/>
                <w:color w:val="000000"/>
                <w:szCs w:val="21"/>
                <w:lang w:bidi="ar"/>
              </w:rPr>
              <w:t>一年以内（含一年）</w:t>
            </w:r>
          </w:p>
        </w:tc>
        <w:tc>
          <w:tcPr>
            <w:tcW w:w="2209" w:type="pct"/>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textAlignment w:val="center"/>
              <w:rPr>
                <w:rFonts w:ascii="Times New Roman" w:hAnsi="Times New Roman" w:cs="Times New Roman"/>
                <w:color w:val="000000"/>
                <w:kern w:val="2"/>
                <w:szCs w:val="21"/>
              </w:rPr>
            </w:pPr>
            <w:r>
              <w:rPr>
                <w:rFonts w:ascii="Times New Roman" w:hAnsi="Times New Roman" w:cs="Times New Roman"/>
                <w:color w:val="000000"/>
                <w:szCs w:val="21"/>
                <w:lang w:bidi="ar"/>
              </w:rPr>
              <w:t>4.35</w:t>
            </w:r>
          </w:p>
        </w:tc>
      </w:tr>
      <w:tr>
        <w:tblPrEx>
          <w:tblCellMar>
            <w:top w:w="0" w:type="dxa"/>
            <w:left w:w="108" w:type="dxa"/>
            <w:bottom w:w="0" w:type="dxa"/>
            <w:right w:w="108" w:type="dxa"/>
          </w:tblCellMar>
        </w:tblPrEx>
        <w:trPr>
          <w:trHeight w:val="285" w:hRule="atLeast"/>
          <w:jc w:val="center"/>
        </w:trPr>
        <w:tc>
          <w:tcPr>
            <w:tcW w:w="2791" w:type="pct"/>
            <w:tcBorders>
              <w:top w:val="nil"/>
              <w:left w:val="single" w:color="000000" w:sz="8" w:space="0"/>
              <w:bottom w:val="single" w:color="000000" w:sz="8" w:space="0"/>
              <w:right w:val="single" w:color="000000" w:sz="8" w:space="0"/>
            </w:tcBorders>
            <w:shd w:val="clear" w:color="auto" w:fill="D9E1F2"/>
            <w:vAlign w:val="center"/>
          </w:tcPr>
          <w:p>
            <w:pPr>
              <w:widowControl/>
              <w:autoSpaceDE/>
              <w:autoSpaceDN/>
              <w:spacing w:before="0" w:beforeLines="0" w:after="0" w:afterLines="0"/>
              <w:jc w:val="center"/>
              <w:textAlignment w:val="center"/>
              <w:rPr>
                <w:rFonts w:ascii="宋体" w:hAnsi="宋体" w:cs="宋体"/>
                <w:color w:val="000000"/>
                <w:kern w:val="2"/>
                <w:szCs w:val="21"/>
              </w:rPr>
            </w:pPr>
            <w:r>
              <w:rPr>
                <w:rFonts w:hint="eastAsia" w:ascii="宋体" w:hAnsi="宋体" w:cs="宋体"/>
                <w:color w:val="000000"/>
                <w:szCs w:val="21"/>
                <w:lang w:bidi="ar"/>
              </w:rPr>
              <w:t>一至五年（含五年）</w:t>
            </w:r>
          </w:p>
        </w:tc>
        <w:tc>
          <w:tcPr>
            <w:tcW w:w="2209" w:type="pct"/>
            <w:tcBorders>
              <w:top w:val="nil"/>
              <w:left w:val="single" w:color="000000" w:sz="8" w:space="0"/>
              <w:bottom w:val="single" w:color="000000" w:sz="8" w:space="0"/>
              <w:right w:val="single" w:color="000000" w:sz="8" w:space="0"/>
            </w:tcBorders>
            <w:shd w:val="clear" w:color="auto" w:fill="D9E1F2"/>
            <w:vAlign w:val="center"/>
          </w:tcPr>
          <w:p>
            <w:pPr>
              <w:widowControl/>
              <w:autoSpaceDE/>
              <w:autoSpaceDN/>
              <w:spacing w:before="0" w:beforeLines="0" w:after="0" w:afterLines="0"/>
              <w:jc w:val="center"/>
              <w:textAlignment w:val="center"/>
              <w:rPr>
                <w:rFonts w:ascii="Times New Roman" w:hAnsi="Times New Roman" w:cs="Times New Roman"/>
                <w:color w:val="000000"/>
                <w:kern w:val="2"/>
                <w:szCs w:val="21"/>
              </w:rPr>
            </w:pPr>
            <w:r>
              <w:rPr>
                <w:rFonts w:ascii="Times New Roman" w:hAnsi="Times New Roman" w:cs="Times New Roman"/>
                <w:color w:val="000000"/>
                <w:szCs w:val="21"/>
                <w:lang w:bidi="ar"/>
              </w:rPr>
              <w:t>4.75</w:t>
            </w:r>
          </w:p>
        </w:tc>
      </w:tr>
      <w:tr>
        <w:tblPrEx>
          <w:tblCellMar>
            <w:top w:w="0" w:type="dxa"/>
            <w:left w:w="108" w:type="dxa"/>
            <w:bottom w:w="0" w:type="dxa"/>
            <w:right w:w="108" w:type="dxa"/>
          </w:tblCellMar>
        </w:tblPrEx>
        <w:trPr>
          <w:trHeight w:val="285" w:hRule="atLeast"/>
          <w:jc w:val="center"/>
        </w:trPr>
        <w:tc>
          <w:tcPr>
            <w:tcW w:w="2791" w:type="pct"/>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textAlignment w:val="center"/>
              <w:rPr>
                <w:rFonts w:ascii="宋体" w:hAnsi="宋体" w:cs="宋体"/>
                <w:color w:val="000000"/>
                <w:kern w:val="2"/>
                <w:szCs w:val="21"/>
              </w:rPr>
            </w:pPr>
            <w:r>
              <w:rPr>
                <w:rFonts w:hint="eastAsia" w:ascii="宋体" w:hAnsi="宋体" w:cs="宋体"/>
                <w:color w:val="000000"/>
                <w:szCs w:val="21"/>
                <w:lang w:bidi="ar"/>
              </w:rPr>
              <w:t>五年以上</w:t>
            </w:r>
          </w:p>
        </w:tc>
        <w:tc>
          <w:tcPr>
            <w:tcW w:w="2209" w:type="pct"/>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textAlignment w:val="center"/>
              <w:rPr>
                <w:rFonts w:ascii="Times New Roman" w:hAnsi="Times New Roman" w:cs="Times New Roman"/>
                <w:color w:val="000000"/>
                <w:kern w:val="2"/>
                <w:szCs w:val="21"/>
              </w:rPr>
            </w:pPr>
            <w:r>
              <w:rPr>
                <w:rFonts w:ascii="Times New Roman" w:hAnsi="Times New Roman" w:cs="Times New Roman"/>
                <w:color w:val="000000"/>
                <w:szCs w:val="21"/>
                <w:lang w:bidi="ar"/>
              </w:rPr>
              <w:t>4.9</w:t>
            </w:r>
          </w:p>
        </w:tc>
      </w:tr>
    </w:tbl>
    <w:p>
      <w:pPr>
        <w:spacing w:before="156" w:after="156"/>
        <w:ind w:firstLine="420" w:firstLineChars="200"/>
        <w:rPr>
          <w:rFonts w:ascii="Times New Roman" w:hAnsi="Times New Roman" w:cs="Times New Roman"/>
          <w:kern w:val="2"/>
        </w:rPr>
      </w:pPr>
      <w:r>
        <w:rPr>
          <w:rFonts w:ascii="Times New Roman" w:hAnsi="Times New Roman" w:cs="Times New Roman"/>
          <w:kern w:val="2"/>
        </w:rPr>
        <w:t>借款额在第一年全部发生，借款以复利方式计息：</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各年利息=（年初借款本息累计+本年借款额/2）×年利率</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本项目总投资的10000万元将向银行贷款，其余自筹获得。</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表8</w:t>
      </w:r>
      <w:r>
        <w:rPr>
          <w:rFonts w:ascii="Times New Roman" w:hAnsi="Times New Roman" w:cs="Times New Roman"/>
          <w:b/>
          <w:kern w:val="2"/>
          <w:sz w:val="18"/>
          <w:szCs w:val="18"/>
        </w:rPr>
        <w:t xml:space="preserve">-9 </w:t>
      </w:r>
      <w:r>
        <w:rPr>
          <w:rFonts w:hint="eastAsia" w:ascii="Times New Roman" w:hAnsi="Times New Roman" w:cs="Times New Roman"/>
          <w:b/>
          <w:kern w:val="2"/>
          <w:sz w:val="18"/>
          <w:szCs w:val="18"/>
        </w:rPr>
        <w:t>建设期利息估算表</w:t>
      </w:r>
    </w:p>
    <w:tbl>
      <w:tblPr>
        <w:tblStyle w:val="23"/>
        <w:tblW w:w="11128" w:type="dxa"/>
        <w:jc w:val="center"/>
        <w:tblLayout w:type="autofit"/>
        <w:tblCellMar>
          <w:top w:w="0" w:type="dxa"/>
          <w:left w:w="108" w:type="dxa"/>
          <w:bottom w:w="0" w:type="dxa"/>
          <w:right w:w="108" w:type="dxa"/>
        </w:tblCellMar>
      </w:tblPr>
      <w:tblGrid>
        <w:gridCol w:w="664"/>
        <w:gridCol w:w="2080"/>
        <w:gridCol w:w="1428"/>
        <w:gridCol w:w="1116"/>
        <w:gridCol w:w="1116"/>
        <w:gridCol w:w="1116"/>
        <w:gridCol w:w="1456"/>
        <w:gridCol w:w="1076"/>
        <w:gridCol w:w="1076"/>
      </w:tblGrid>
      <w:tr>
        <w:tblPrEx>
          <w:tblCellMar>
            <w:top w:w="0" w:type="dxa"/>
            <w:left w:w="108" w:type="dxa"/>
            <w:bottom w:w="0" w:type="dxa"/>
            <w:right w:w="108" w:type="dxa"/>
          </w:tblCellMar>
        </w:tblPrEx>
        <w:trPr>
          <w:trHeight w:val="280" w:hRule="atLeast"/>
          <w:jc w:val="center"/>
        </w:trPr>
        <w:tc>
          <w:tcPr>
            <w:tcW w:w="664"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080"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428"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年份</w:t>
            </w:r>
          </w:p>
        </w:tc>
        <w:tc>
          <w:tcPr>
            <w:tcW w:w="1116"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　</w:t>
            </w:r>
          </w:p>
        </w:tc>
        <w:tc>
          <w:tcPr>
            <w:tcW w:w="1116"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　</w:t>
            </w:r>
          </w:p>
        </w:tc>
        <w:tc>
          <w:tcPr>
            <w:tcW w:w="1116"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　</w:t>
            </w:r>
          </w:p>
        </w:tc>
        <w:tc>
          <w:tcPr>
            <w:tcW w:w="1456"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　</w:t>
            </w:r>
          </w:p>
        </w:tc>
        <w:tc>
          <w:tcPr>
            <w:tcW w:w="1076"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　</w:t>
            </w:r>
          </w:p>
        </w:tc>
        <w:tc>
          <w:tcPr>
            <w:tcW w:w="1076" w:type="dxa"/>
            <w:tcBorders>
              <w:top w:val="nil"/>
              <w:left w:val="nil"/>
              <w:bottom w:val="nil"/>
              <w:right w:val="nil"/>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　</w:t>
            </w:r>
          </w:p>
        </w:tc>
      </w:tr>
      <w:tr>
        <w:tblPrEx>
          <w:tblCellMar>
            <w:top w:w="0" w:type="dxa"/>
            <w:left w:w="108" w:type="dxa"/>
            <w:bottom w:w="0" w:type="dxa"/>
            <w:right w:w="108" w:type="dxa"/>
          </w:tblCellMar>
        </w:tblPrEx>
        <w:trPr>
          <w:trHeight w:val="280" w:hRule="atLeast"/>
          <w:jc w:val="center"/>
        </w:trPr>
        <w:tc>
          <w:tcPr>
            <w:tcW w:w="664"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2080"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428"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p>
        </w:tc>
        <w:tc>
          <w:tcPr>
            <w:tcW w:w="1116"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2</w:t>
            </w:r>
          </w:p>
        </w:tc>
        <w:tc>
          <w:tcPr>
            <w:tcW w:w="1116"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3</w:t>
            </w:r>
          </w:p>
        </w:tc>
        <w:tc>
          <w:tcPr>
            <w:tcW w:w="1116"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4</w:t>
            </w:r>
          </w:p>
        </w:tc>
        <w:tc>
          <w:tcPr>
            <w:tcW w:w="1456"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5</w:t>
            </w:r>
          </w:p>
        </w:tc>
        <w:tc>
          <w:tcPr>
            <w:tcW w:w="1076" w:type="dxa"/>
            <w:tcBorders>
              <w:top w:val="nil"/>
              <w:left w:val="nil"/>
              <w:bottom w:val="nil"/>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6</w:t>
            </w:r>
          </w:p>
        </w:tc>
        <w:tc>
          <w:tcPr>
            <w:tcW w:w="1076" w:type="dxa"/>
            <w:tcBorders>
              <w:top w:val="nil"/>
              <w:left w:val="nil"/>
              <w:bottom w:val="nil"/>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7</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0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借款额</w:t>
            </w:r>
          </w:p>
        </w:tc>
        <w:tc>
          <w:tcPr>
            <w:tcW w:w="142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10000.00 </w:t>
            </w:r>
          </w:p>
        </w:tc>
        <w:tc>
          <w:tcPr>
            <w:tcW w:w="11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10245.00 </w:t>
            </w:r>
          </w:p>
        </w:tc>
        <w:tc>
          <w:tcPr>
            <w:tcW w:w="11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8747.01 </w:t>
            </w:r>
          </w:p>
        </w:tc>
        <w:tc>
          <w:tcPr>
            <w:tcW w:w="11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7175.61 </w:t>
            </w:r>
          </w:p>
        </w:tc>
        <w:tc>
          <w:tcPr>
            <w:tcW w:w="14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5527.21 </w:t>
            </w:r>
          </w:p>
        </w:tc>
        <w:tc>
          <w:tcPr>
            <w:tcW w:w="1076" w:type="dxa"/>
            <w:tcBorders>
              <w:top w:val="single" w:color="B4C6E7" w:sz="4" w:space="0"/>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3798.05 </w:t>
            </w:r>
          </w:p>
        </w:tc>
        <w:tc>
          <w:tcPr>
            <w:tcW w:w="1076" w:type="dxa"/>
            <w:tcBorders>
              <w:top w:val="single" w:color="B4C6E7" w:sz="4" w:space="0"/>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1984.15 </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0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借款利息</w:t>
            </w:r>
          </w:p>
        </w:tc>
        <w:tc>
          <w:tcPr>
            <w:tcW w:w="142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245.00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502.01 </w:t>
            </w:r>
          </w:p>
        </w:tc>
        <w:tc>
          <w:tcPr>
            <w:tcW w:w="11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428.60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351.60 </w:t>
            </w:r>
          </w:p>
        </w:tc>
        <w:tc>
          <w:tcPr>
            <w:tcW w:w="14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270.83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186.10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97.22 </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0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借款本息和</w:t>
            </w:r>
          </w:p>
        </w:tc>
        <w:tc>
          <w:tcPr>
            <w:tcW w:w="142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10245.00 </w:t>
            </w:r>
          </w:p>
        </w:tc>
        <w:tc>
          <w:tcPr>
            <w:tcW w:w="11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10747.01 </w:t>
            </w:r>
          </w:p>
        </w:tc>
        <w:tc>
          <w:tcPr>
            <w:tcW w:w="11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9175.61 </w:t>
            </w:r>
          </w:p>
        </w:tc>
        <w:tc>
          <w:tcPr>
            <w:tcW w:w="111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7527.21 </w:t>
            </w:r>
          </w:p>
        </w:tc>
        <w:tc>
          <w:tcPr>
            <w:tcW w:w="14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5798.05 </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3984.15 </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2081.37 </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0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还款金额</w:t>
            </w:r>
          </w:p>
        </w:tc>
        <w:tc>
          <w:tcPr>
            <w:tcW w:w="142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2000.00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2000.00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2000.00 </w:t>
            </w:r>
          </w:p>
        </w:tc>
        <w:tc>
          <w:tcPr>
            <w:tcW w:w="14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2000.00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2000.00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2081.37 </w:t>
            </w:r>
          </w:p>
        </w:tc>
      </w:tr>
      <w:tr>
        <w:tblPrEx>
          <w:tblCellMar>
            <w:top w:w="0" w:type="dxa"/>
            <w:left w:w="108" w:type="dxa"/>
            <w:bottom w:w="0" w:type="dxa"/>
            <w:right w:w="108" w:type="dxa"/>
          </w:tblCellMar>
        </w:tblPrEx>
        <w:trPr>
          <w:trHeight w:val="280" w:hRule="atLeast"/>
          <w:jc w:val="center"/>
        </w:trPr>
        <w:tc>
          <w:tcPr>
            <w:tcW w:w="2744" w:type="dxa"/>
            <w:gridSpan w:val="2"/>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建设期借款本息和</w:t>
            </w:r>
          </w:p>
        </w:tc>
        <w:tc>
          <w:tcPr>
            <w:tcW w:w="8384" w:type="dxa"/>
            <w:gridSpan w:val="7"/>
            <w:tcBorders>
              <w:top w:val="single" w:color="B4C6E7" w:sz="4" w:space="0"/>
              <w:left w:val="nil"/>
              <w:bottom w:val="nil"/>
              <w:right w:val="nil"/>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11798.05 </w:t>
            </w:r>
          </w:p>
        </w:tc>
      </w:tr>
      <w:tr>
        <w:tblPrEx>
          <w:tblCellMar>
            <w:top w:w="0" w:type="dxa"/>
            <w:left w:w="108" w:type="dxa"/>
            <w:bottom w:w="0" w:type="dxa"/>
            <w:right w:w="108" w:type="dxa"/>
          </w:tblCellMar>
        </w:tblPrEx>
        <w:trPr>
          <w:trHeight w:val="280" w:hRule="atLeast"/>
          <w:jc w:val="center"/>
        </w:trPr>
        <w:tc>
          <w:tcPr>
            <w:tcW w:w="2744"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建设期贷款总利息</w:t>
            </w:r>
          </w:p>
        </w:tc>
        <w:tc>
          <w:tcPr>
            <w:tcW w:w="8384" w:type="dxa"/>
            <w:gridSpan w:val="7"/>
            <w:tcBorders>
              <w:top w:val="nil"/>
              <w:left w:val="nil"/>
              <w:bottom w:val="nil"/>
              <w:right w:val="nil"/>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1798.05 </w:t>
            </w:r>
          </w:p>
        </w:tc>
      </w:tr>
    </w:tbl>
    <w:p>
      <w:pPr>
        <w:spacing w:before="156" w:after="156"/>
        <w:ind w:firstLine="361" w:firstLineChars="200"/>
        <w:jc w:val="center"/>
        <w:rPr>
          <w:rFonts w:ascii="Times New Roman" w:hAnsi="Times New Roman" w:cs="Times New Roman"/>
          <w:b/>
          <w:kern w:val="2"/>
          <w:sz w:val="18"/>
          <w:szCs w:val="18"/>
        </w:rPr>
      </w:pPr>
    </w:p>
    <w:p>
      <w:pPr>
        <w:pStyle w:val="3"/>
        <w:spacing w:before="156" w:after="156"/>
        <w:rPr>
          <w:rFonts w:ascii="Times New Roman" w:hAnsi="Times New Roman" w:eastAsia="宋体" w:cs="Times New Roman"/>
        </w:rPr>
      </w:pPr>
      <w:bookmarkStart w:id="99" w:name="_Toc141670029"/>
      <w:r>
        <w:rPr>
          <w:rFonts w:ascii="Times New Roman" w:hAnsi="Times New Roman" w:eastAsia="宋体" w:cs="Times New Roman"/>
        </w:rPr>
        <w:t>8.5 流动资金</w:t>
      </w:r>
      <w:bookmarkEnd w:id="99"/>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流动资金是指企业全部的流动资产，包括现金、存货（材料、在制品及成品）、</w:t>
      </w:r>
      <w:r>
        <w:rPr>
          <w:rFonts w:ascii="Times New Roman" w:hAnsi="Times New Roman" w:cs="Times New Roman"/>
          <w:kern w:val="2"/>
        </w:rPr>
        <w:t>应收</w:t>
      </w:r>
      <w:r>
        <w:rPr>
          <w:rFonts w:hint="eastAsia" w:ascii="Times New Roman" w:hAnsi="Times New Roman" w:cs="Times New Roman"/>
          <w:kern w:val="2"/>
        </w:rPr>
        <w:t>账款、有价证券、预付款等项目。为有效控制资金流动性，有必要对所需流</w:t>
      </w:r>
      <w:r>
        <w:rPr>
          <w:rFonts w:ascii="Times New Roman" w:hAnsi="Times New Roman" w:cs="Times New Roman"/>
          <w:kern w:val="2"/>
        </w:rPr>
        <w:t>动资金进行估</w:t>
      </w:r>
      <w:r>
        <w:rPr>
          <w:rFonts w:hint="eastAsia" w:ascii="Times New Roman" w:hAnsi="Times New Roman" w:cs="Times New Roman"/>
          <w:kern w:val="2"/>
        </w:rPr>
        <w:t>算流动资金。流动资金于投产期前两年投入，并于期末回收。参考《化工设计与经济》一书中的估算方法，按建设资金的</w:t>
      </w:r>
      <w:r>
        <w:rPr>
          <w:rFonts w:ascii="Times New Roman" w:hAnsi="Times New Roman" w:cs="Times New Roman"/>
          <w:kern w:val="2"/>
        </w:rPr>
        <w:t xml:space="preserve"> 15%估算，得到流动资金总额为5360.77万元。</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表8</w:t>
      </w:r>
      <w:r>
        <w:rPr>
          <w:rFonts w:ascii="Times New Roman" w:hAnsi="Times New Roman" w:cs="Times New Roman"/>
          <w:b/>
          <w:kern w:val="2"/>
          <w:sz w:val="18"/>
          <w:szCs w:val="18"/>
        </w:rPr>
        <w:t xml:space="preserve">-10 </w:t>
      </w:r>
      <w:r>
        <w:rPr>
          <w:rFonts w:hint="eastAsia" w:ascii="Times New Roman" w:hAnsi="Times New Roman" w:cs="Times New Roman"/>
          <w:b/>
          <w:kern w:val="2"/>
          <w:sz w:val="18"/>
          <w:szCs w:val="18"/>
        </w:rPr>
        <w:t>流动资金估算表</w:t>
      </w:r>
    </w:p>
    <w:tbl>
      <w:tblPr>
        <w:tblStyle w:val="23"/>
        <w:tblW w:w="4740" w:type="dxa"/>
        <w:jc w:val="center"/>
        <w:tblLayout w:type="autofit"/>
        <w:tblCellMar>
          <w:top w:w="0" w:type="dxa"/>
          <w:left w:w="108" w:type="dxa"/>
          <w:bottom w:w="0" w:type="dxa"/>
          <w:right w:w="108" w:type="dxa"/>
        </w:tblCellMar>
      </w:tblPr>
      <w:tblGrid>
        <w:gridCol w:w="1100"/>
        <w:gridCol w:w="1100"/>
        <w:gridCol w:w="1100"/>
        <w:gridCol w:w="1440"/>
      </w:tblGrid>
      <w:tr>
        <w:tblPrEx>
          <w:tblCellMar>
            <w:top w:w="0" w:type="dxa"/>
            <w:left w:w="108" w:type="dxa"/>
            <w:bottom w:w="0" w:type="dxa"/>
            <w:right w:w="108" w:type="dxa"/>
          </w:tblCellMar>
        </w:tblPrEx>
        <w:trPr>
          <w:trHeight w:val="280" w:hRule="atLeast"/>
          <w:jc w:val="center"/>
        </w:trPr>
        <w:tc>
          <w:tcPr>
            <w:tcW w:w="1100" w:type="dxa"/>
            <w:tcBorders>
              <w:top w:val="single" w:color="000000" w:sz="4" w:space="0"/>
              <w:left w:val="single" w:color="000000" w:sz="4" w:space="0"/>
              <w:bottom w:val="single" w:color="000000" w:sz="4" w:space="0"/>
              <w:right w:val="single" w:color="000000"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编号</w:t>
            </w:r>
          </w:p>
        </w:tc>
        <w:tc>
          <w:tcPr>
            <w:tcW w:w="1100" w:type="dxa"/>
            <w:tcBorders>
              <w:top w:val="single" w:color="000000" w:sz="4" w:space="0"/>
              <w:left w:val="nil"/>
              <w:bottom w:val="single" w:color="000000" w:sz="4" w:space="0"/>
              <w:right w:val="single" w:color="000000"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100" w:type="dxa"/>
            <w:tcBorders>
              <w:top w:val="single" w:color="000000" w:sz="4" w:space="0"/>
              <w:left w:val="nil"/>
              <w:bottom w:val="single" w:color="000000" w:sz="4" w:space="0"/>
              <w:right w:val="single" w:color="000000"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费率（%）</w:t>
            </w:r>
          </w:p>
        </w:tc>
        <w:tc>
          <w:tcPr>
            <w:tcW w:w="1440" w:type="dxa"/>
            <w:tcBorders>
              <w:top w:val="single" w:color="000000" w:sz="4" w:space="0"/>
              <w:left w:val="nil"/>
              <w:bottom w:val="single" w:color="000000" w:sz="4" w:space="0"/>
              <w:right w:val="single" w:color="000000"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100" w:type="dxa"/>
            <w:tcBorders>
              <w:top w:val="nil"/>
              <w:left w:val="single" w:color="000000" w:sz="4" w:space="0"/>
              <w:bottom w:val="single" w:color="000000" w:sz="4" w:space="0"/>
              <w:right w:val="single" w:color="000000"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100" w:type="dxa"/>
            <w:tcBorders>
              <w:top w:val="nil"/>
              <w:left w:val="nil"/>
              <w:bottom w:val="single" w:color="000000" w:sz="4" w:space="0"/>
              <w:right w:val="single" w:color="000000"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w:t>
            </w:r>
          </w:p>
        </w:tc>
        <w:tc>
          <w:tcPr>
            <w:tcW w:w="1100" w:type="dxa"/>
            <w:tcBorders>
              <w:top w:val="nil"/>
              <w:left w:val="nil"/>
              <w:bottom w:val="single" w:color="000000" w:sz="4" w:space="0"/>
              <w:right w:val="single" w:color="000000"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w:t>
            </w:r>
          </w:p>
        </w:tc>
        <w:tc>
          <w:tcPr>
            <w:tcW w:w="1440" w:type="dxa"/>
            <w:tcBorders>
              <w:top w:val="nil"/>
              <w:left w:val="nil"/>
              <w:bottom w:val="single" w:color="000000" w:sz="4" w:space="0"/>
              <w:right w:val="single" w:color="000000"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5360.767493</w:t>
            </w:r>
          </w:p>
        </w:tc>
      </w:tr>
    </w:tbl>
    <w:p>
      <w:pPr>
        <w:spacing w:before="156" w:after="156"/>
        <w:ind w:firstLine="420" w:firstLineChars="200"/>
        <w:jc w:val="center"/>
        <w:rPr>
          <w:rFonts w:ascii="Times New Roman" w:hAnsi="Times New Roman" w:cs="Times New Roman"/>
          <w:kern w:val="2"/>
        </w:rPr>
      </w:pPr>
    </w:p>
    <w:p>
      <w:pPr>
        <w:pStyle w:val="3"/>
        <w:spacing w:before="156" w:after="156"/>
        <w:rPr>
          <w:rFonts w:ascii="Times New Roman" w:hAnsi="Times New Roman" w:eastAsia="宋体" w:cs="Times New Roman"/>
        </w:rPr>
      </w:pPr>
      <w:bookmarkStart w:id="100" w:name="_Toc141670030"/>
      <w:r>
        <w:rPr>
          <w:rFonts w:ascii="Times New Roman" w:hAnsi="Times New Roman" w:eastAsia="宋体" w:cs="Times New Roman"/>
        </w:rPr>
        <w:t>8.6 固定资产投资方向调节税</w:t>
      </w:r>
      <w:bookmarkEnd w:id="100"/>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根据国务院《固定资产投资方向调节税税目税率表》，“大中型基本化工原料（包括无机和有机原料）”的固定资产投资方向调节税税目税率为</w:t>
      </w:r>
      <w:r>
        <w:rPr>
          <w:rFonts w:ascii="Times New Roman" w:hAnsi="Times New Roman" w:cs="Times New Roman"/>
          <w:kern w:val="2"/>
        </w:rPr>
        <w:t>0。</w:t>
      </w:r>
    </w:p>
    <w:p>
      <w:pPr>
        <w:pStyle w:val="3"/>
        <w:spacing w:before="156" w:after="156"/>
        <w:rPr>
          <w:rFonts w:ascii="Times New Roman" w:hAnsi="Times New Roman" w:eastAsia="宋体" w:cs="Times New Roman"/>
        </w:rPr>
      </w:pPr>
      <w:bookmarkStart w:id="101" w:name="_Toc141670031"/>
      <w:r>
        <w:rPr>
          <w:rFonts w:ascii="Times New Roman" w:hAnsi="Times New Roman" w:eastAsia="宋体" w:cs="Times New Roman"/>
        </w:rPr>
        <w:t>8.7 项目总投资汇总</w:t>
      </w:r>
      <w:bookmarkEnd w:id="101"/>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项目总投资由建设投资、建设期利息和流动资金组成，前述部分均对各部分进行了相应的估算，项目总投资情况见表</w:t>
      </w:r>
      <w:r>
        <w:rPr>
          <w:rFonts w:ascii="Times New Roman" w:hAnsi="Times New Roman" w:cs="Times New Roman"/>
          <w:kern w:val="2"/>
        </w:rPr>
        <w:t>8-11。</w:t>
      </w:r>
    </w:p>
    <w:p>
      <w:pPr>
        <w:spacing w:before="156" w:after="156"/>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表8</w:t>
      </w:r>
      <w:r>
        <w:rPr>
          <w:rFonts w:ascii="Times New Roman" w:hAnsi="Times New Roman" w:cs="Times New Roman"/>
          <w:b/>
          <w:sz w:val="18"/>
          <w:szCs w:val="18"/>
        </w:rPr>
        <w:t xml:space="preserve">-11 </w:t>
      </w:r>
      <w:r>
        <w:rPr>
          <w:rFonts w:hint="eastAsia" w:ascii="Times New Roman" w:hAnsi="Times New Roman" w:cs="Times New Roman"/>
          <w:b/>
          <w:sz w:val="18"/>
          <w:szCs w:val="18"/>
        </w:rPr>
        <w:t>项目总投资汇总表</w:t>
      </w:r>
    </w:p>
    <w:tbl>
      <w:tblPr>
        <w:tblStyle w:val="23"/>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建设投资</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35738.44995</w:t>
            </w:r>
          </w:p>
        </w:tc>
      </w:tr>
      <w:tr>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固定资产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24686.15981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无形资产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5911.46875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递延资产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1311.701753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预备费用</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3829.119638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建设期利息</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1798.046488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w:t>
            </w:r>
          </w:p>
        </w:tc>
        <w:tc>
          <w:tcPr>
            <w:tcW w:w="19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5360.767493</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42897.26393</w:t>
            </w:r>
          </w:p>
        </w:tc>
      </w:tr>
    </w:tbl>
    <w:p>
      <w:pPr>
        <w:spacing w:before="156" w:after="156"/>
        <w:ind w:firstLine="361" w:firstLineChars="200"/>
        <w:jc w:val="center"/>
        <w:rPr>
          <w:rFonts w:ascii="Times New Roman" w:hAnsi="Times New Roman" w:cs="Times New Roman"/>
          <w:b/>
          <w:sz w:val="18"/>
          <w:szCs w:val="18"/>
        </w:rPr>
      </w:pPr>
    </w:p>
    <w:p>
      <w:pPr>
        <w:widowControl/>
        <w:autoSpaceDE/>
        <w:autoSpaceDN/>
        <w:spacing w:before="0" w:beforeLines="0" w:after="0" w:afterLines="0"/>
        <w:rPr>
          <w:rFonts w:ascii="Times New Roman" w:hAnsi="Times New Roman" w:cs="Times New Roman"/>
        </w:rPr>
      </w:pPr>
      <w:r>
        <w:rPr>
          <w:rFonts w:ascii="Times New Roman" w:hAnsi="Times New Roman" w:cs="Times New Roman"/>
        </w:rPr>
        <w:br w:type="page"/>
      </w:r>
    </w:p>
    <w:p>
      <w:pPr>
        <w:pStyle w:val="2"/>
        <w:spacing w:before="156" w:after="156"/>
        <w:rPr>
          <w:rFonts w:ascii="Times New Roman" w:hAnsi="Times New Roman" w:eastAsia="宋体" w:cs="Times New Roman"/>
          <w:color w:val="000000" w:themeColor="text1"/>
          <w14:textFill>
            <w14:solidFill>
              <w14:schemeClr w14:val="tx1"/>
            </w14:solidFill>
          </w14:textFill>
        </w:rPr>
      </w:pPr>
      <w:bookmarkStart w:id="102" w:name="_Toc141670032"/>
      <w:r>
        <w:rPr>
          <w:rFonts w:ascii="Times New Roman" w:hAnsi="Times New Roman" w:eastAsia="宋体" w:cs="Times New Roman"/>
          <w:color w:val="000000" w:themeColor="text1"/>
          <w14:textFill>
            <w14:solidFill>
              <w14:schemeClr w14:val="tx1"/>
            </w14:solidFill>
          </w14:textFill>
        </w:rPr>
        <w:t>第九章 财务与经济评价</w:t>
      </w:r>
      <w:bookmarkEnd w:id="102"/>
    </w:p>
    <w:p>
      <w:pPr>
        <w:pStyle w:val="3"/>
        <w:spacing w:before="156" w:after="156"/>
        <w:rPr>
          <w:rFonts w:ascii="Times New Roman" w:hAnsi="Times New Roman" w:eastAsia="宋体" w:cs="Times New Roman"/>
        </w:rPr>
      </w:pPr>
      <w:bookmarkStart w:id="103" w:name="_Toc141670033"/>
      <w:r>
        <w:rPr>
          <w:rFonts w:ascii="Times New Roman" w:hAnsi="Times New Roman" w:eastAsia="宋体" w:cs="Times New Roman"/>
        </w:rPr>
        <w:t>9.1 产品总成本和费用估算</w:t>
      </w:r>
      <w:bookmarkEnd w:id="103"/>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04" w:name="_Toc141670034"/>
      <w:bookmarkStart w:id="105" w:name="_Toc16695"/>
      <w:r>
        <w:rPr>
          <w:rFonts w:ascii="Times New Roman" w:hAnsi="Times New Roman" w:cs="Times New Roman"/>
          <w:b/>
          <w:bCs/>
          <w:kern w:val="2"/>
          <w:sz w:val="28"/>
          <w:szCs w:val="32"/>
        </w:rPr>
        <w:t>9.1.1 成本估算说明</w:t>
      </w:r>
      <w:bookmarkEnd w:id="104"/>
      <w:bookmarkEnd w:id="105"/>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9.1.1.1 概述</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产品成本包括生产中所消耗的物化劳动和活劳动，是判定产品价格的重要依据之一，也是考核企业生产经营管理水平的一项综合性指标。 </w:t>
      </w:r>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9.1.1.2 编制依据</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《化工投资项目可行性研究报告编制办法》(2012年)</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《中国石油化工项目可行性研究技术经济方法与参数》(2007年)</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《中华人民共和国企业所得税法》及《实施条例》</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《中华人民共和国增值税暂行条例》及《实施细则》</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《成本费用核算与管理办法）》(石化股份财[2003]427号)</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《建设项目经济评价方法与参数》(第三版)</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《2023“天正设计杯”第十</w:t>
      </w:r>
      <w:r>
        <w:rPr>
          <w:rFonts w:hint="eastAsia" w:ascii="Times New Roman" w:hAnsi="Times New Roman" w:cs="Times New Roman"/>
          <w:kern w:val="2"/>
        </w:rPr>
        <w:t>七</w:t>
      </w:r>
      <w:r>
        <w:rPr>
          <w:rFonts w:ascii="Times New Roman" w:hAnsi="Times New Roman" w:cs="Times New Roman"/>
          <w:kern w:val="2"/>
        </w:rPr>
        <w:t>届全国大学生化工设计设计任务书》中关于经济分析与评价基础数据</w:t>
      </w:r>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9.1.1.3 编制说明</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（1）依据发改投资（2006）1325号文发布的《建设项目经济评价方法与参数》和《企业会计制度》(财会[2014]8号)编制；</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（2）各原材料及公用工程费用通过调研现行市场价格估算和向园区询价方式获取；</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（3）本项目计划一年建成，第二年投产，第三年和第四年生产负荷分别达到设计能力的70%和90%，从第四年开始达产。达产期为12年。</w:t>
      </w: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06" w:name="_Toc24041"/>
      <w:bookmarkStart w:id="107" w:name="_Toc141670035"/>
      <w:r>
        <w:rPr>
          <w:rFonts w:ascii="Times New Roman" w:hAnsi="Times New Roman" w:cs="Times New Roman"/>
          <w:b/>
          <w:bCs/>
          <w:kern w:val="2"/>
          <w:sz w:val="28"/>
          <w:szCs w:val="32"/>
        </w:rPr>
        <w:t>9.1.2 产品总成本费用估算</w:t>
      </w:r>
      <w:bookmarkEnd w:id="106"/>
      <w:bookmarkEnd w:id="107"/>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9.1.2.1 概述</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成本和费用估算的方法主要有生产要素估算法和生产成本加期间费用估算法，在可行性研究报告中，一般可按生产要素法估算。这里采用生产成本要素法估算。</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产品总成本费用=外购原材料、燃料和动力费+工资及福利费+折旧费+摊销费+修理费+管理费+财务费（利息支出）+销售费+其他费用</w:t>
      </w:r>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9.1.2.2 原材料及辅助材料费</w:t>
      </w:r>
    </w:p>
    <w:p>
      <w:pPr>
        <w:spacing w:before="156" w:after="156"/>
        <w:jc w:val="center"/>
        <w:rPr>
          <w:rFonts w:ascii="Times New Roman" w:hAnsi="Times New Roman" w:cs="Times New Roman"/>
          <w:b/>
          <w:sz w:val="18"/>
          <w:szCs w:val="18"/>
        </w:rPr>
      </w:pPr>
      <w:r>
        <w:rPr>
          <w:rFonts w:hint="eastAsia" w:ascii="Times New Roman" w:hAnsi="Times New Roman" w:cs="Times New Roman"/>
          <w:b/>
          <w:sz w:val="18"/>
          <w:szCs w:val="18"/>
        </w:rPr>
        <w:t>表9</w:t>
      </w:r>
      <w:r>
        <w:rPr>
          <w:rFonts w:ascii="Times New Roman" w:hAnsi="Times New Roman" w:cs="Times New Roman"/>
          <w:b/>
          <w:sz w:val="18"/>
          <w:szCs w:val="18"/>
        </w:rPr>
        <w:t xml:space="preserve">-1 </w:t>
      </w:r>
      <w:r>
        <w:rPr>
          <w:rFonts w:hint="eastAsia" w:ascii="Times New Roman" w:hAnsi="Times New Roman" w:cs="Times New Roman"/>
          <w:b/>
          <w:sz w:val="18"/>
          <w:szCs w:val="18"/>
        </w:rPr>
        <w:t>原材料及辅助材料费一览表</w:t>
      </w:r>
    </w:p>
    <w:tbl>
      <w:tblPr>
        <w:tblStyle w:val="23"/>
        <w:tblW w:w="9634" w:type="dxa"/>
        <w:jc w:val="center"/>
        <w:tblLayout w:type="autofit"/>
        <w:tblCellMar>
          <w:top w:w="0" w:type="dxa"/>
          <w:left w:w="108" w:type="dxa"/>
          <w:bottom w:w="0" w:type="dxa"/>
          <w:right w:w="108" w:type="dxa"/>
        </w:tblCellMar>
      </w:tblPr>
      <w:tblGrid>
        <w:gridCol w:w="1900"/>
        <w:gridCol w:w="1980"/>
        <w:gridCol w:w="2020"/>
        <w:gridCol w:w="1480"/>
        <w:gridCol w:w="2254"/>
      </w:tblGrid>
      <w:tr>
        <w:tblPrEx>
          <w:tblCellMar>
            <w:top w:w="0" w:type="dxa"/>
            <w:left w:w="108" w:type="dxa"/>
            <w:bottom w:w="0" w:type="dxa"/>
            <w:right w:w="108" w:type="dxa"/>
          </w:tblCellMar>
        </w:tblPrEx>
        <w:trPr>
          <w:trHeight w:val="280" w:hRule="atLeast"/>
          <w:jc w:val="center"/>
        </w:trPr>
        <w:tc>
          <w:tcPr>
            <w:tcW w:w="1900"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98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202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数量（t/a）</w:t>
            </w:r>
          </w:p>
        </w:tc>
        <w:tc>
          <w:tcPr>
            <w:tcW w:w="1480"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单价（元/吨）</w:t>
            </w:r>
          </w:p>
        </w:tc>
        <w:tc>
          <w:tcPr>
            <w:tcW w:w="2254" w:type="dxa"/>
            <w:tcBorders>
              <w:top w:val="single" w:color="auto" w:sz="4" w:space="0"/>
              <w:left w:val="nil"/>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总费用（万元/年）</w:t>
            </w:r>
          </w:p>
        </w:tc>
      </w:tr>
      <w:tr>
        <w:tblPrEx>
          <w:tblCellMar>
            <w:top w:w="0" w:type="dxa"/>
            <w:left w:w="108" w:type="dxa"/>
            <w:bottom w:w="0" w:type="dxa"/>
            <w:right w:w="108" w:type="dxa"/>
          </w:tblCellMar>
        </w:tblPrEx>
        <w:trPr>
          <w:trHeight w:val="280" w:hRule="atLeast"/>
          <w:jc w:val="center"/>
        </w:trPr>
        <w:tc>
          <w:tcPr>
            <w:tcW w:w="1900"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主要原料</w:t>
            </w:r>
          </w:p>
        </w:tc>
        <w:tc>
          <w:tcPr>
            <w:tcW w:w="19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己二酸</w:t>
            </w:r>
          </w:p>
        </w:tc>
        <w:tc>
          <w:tcPr>
            <w:tcW w:w="202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178561.9024 </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8900</w:t>
            </w:r>
          </w:p>
        </w:tc>
        <w:tc>
          <w:tcPr>
            <w:tcW w:w="225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158920.0931</w:t>
            </w:r>
          </w:p>
        </w:tc>
      </w:tr>
      <w:tr>
        <w:tblPrEx>
          <w:tblCellMar>
            <w:top w:w="0" w:type="dxa"/>
            <w:left w:w="108" w:type="dxa"/>
            <w:bottom w:w="0" w:type="dxa"/>
            <w:right w:w="108" w:type="dxa"/>
          </w:tblCellMar>
        </w:tblPrEx>
        <w:trPr>
          <w:trHeight w:val="280" w:hRule="atLeast"/>
          <w:jc w:val="center"/>
        </w:trPr>
        <w:tc>
          <w:tcPr>
            <w:tcW w:w="1900" w:type="dxa"/>
            <w:vMerge w:val="continue"/>
            <w:tcBorders>
              <w:top w:val="nil"/>
              <w:left w:val="single" w:color="auto" w:sz="4" w:space="0"/>
              <w:bottom w:val="single" w:color="auto"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9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氨</w:t>
            </w:r>
          </w:p>
        </w:tc>
        <w:tc>
          <w:tcPr>
            <w:tcW w:w="202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47681.0601 </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2800</w:t>
            </w:r>
          </w:p>
        </w:tc>
        <w:tc>
          <w:tcPr>
            <w:tcW w:w="225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13350.69682</w:t>
            </w:r>
          </w:p>
        </w:tc>
      </w:tr>
      <w:tr>
        <w:tblPrEx>
          <w:tblCellMar>
            <w:top w:w="0" w:type="dxa"/>
            <w:left w:w="108" w:type="dxa"/>
            <w:bottom w:w="0" w:type="dxa"/>
            <w:right w:w="108" w:type="dxa"/>
          </w:tblCellMar>
        </w:tblPrEx>
        <w:trPr>
          <w:trHeight w:val="280" w:hRule="atLeast"/>
          <w:jc w:val="center"/>
        </w:trPr>
        <w:tc>
          <w:tcPr>
            <w:tcW w:w="1900"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辅助原料</w:t>
            </w:r>
          </w:p>
        </w:tc>
        <w:tc>
          <w:tcPr>
            <w:tcW w:w="19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磷酸</w:t>
            </w:r>
          </w:p>
        </w:tc>
        <w:tc>
          <w:tcPr>
            <w:tcW w:w="202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0.9600 </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6800</w:t>
            </w:r>
          </w:p>
        </w:tc>
        <w:tc>
          <w:tcPr>
            <w:tcW w:w="225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0.6528</w:t>
            </w:r>
          </w:p>
        </w:tc>
      </w:tr>
      <w:tr>
        <w:trPr>
          <w:trHeight w:val="280" w:hRule="atLeast"/>
          <w:jc w:val="center"/>
        </w:trPr>
        <w:tc>
          <w:tcPr>
            <w:tcW w:w="1900"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9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工艺软水</w:t>
            </w:r>
          </w:p>
        </w:tc>
        <w:tc>
          <w:tcPr>
            <w:tcW w:w="202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22160.4022 </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w:t>
            </w:r>
          </w:p>
        </w:tc>
        <w:tc>
          <w:tcPr>
            <w:tcW w:w="225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22.16040218</w:t>
            </w:r>
          </w:p>
        </w:tc>
      </w:tr>
      <w:tr>
        <w:tblPrEx>
          <w:tblCellMar>
            <w:top w:w="0" w:type="dxa"/>
            <w:left w:w="108" w:type="dxa"/>
            <w:bottom w:w="0" w:type="dxa"/>
            <w:right w:w="108" w:type="dxa"/>
          </w:tblCellMar>
        </w:tblPrEx>
        <w:trPr>
          <w:trHeight w:val="280" w:hRule="atLeast"/>
          <w:jc w:val="center"/>
        </w:trPr>
        <w:tc>
          <w:tcPr>
            <w:tcW w:w="1900"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9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硫酸铝</w:t>
            </w:r>
          </w:p>
        </w:tc>
        <w:tc>
          <w:tcPr>
            <w:tcW w:w="202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0.72</w:t>
            </w:r>
          </w:p>
        </w:tc>
        <w:tc>
          <w:tcPr>
            <w:tcW w:w="1480"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1350</w:t>
            </w:r>
          </w:p>
        </w:tc>
        <w:tc>
          <w:tcPr>
            <w:tcW w:w="225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0.0972</w:t>
            </w:r>
          </w:p>
        </w:tc>
      </w:tr>
      <w:tr>
        <w:tblPrEx>
          <w:tblCellMar>
            <w:top w:w="0" w:type="dxa"/>
            <w:left w:w="108" w:type="dxa"/>
            <w:bottom w:w="0" w:type="dxa"/>
            <w:right w:w="108" w:type="dxa"/>
          </w:tblCellMar>
        </w:tblPrEx>
        <w:trPr>
          <w:trHeight w:val="290" w:hRule="atLeast"/>
          <w:jc w:val="center"/>
        </w:trPr>
        <w:tc>
          <w:tcPr>
            <w:tcW w:w="1900" w:type="dxa"/>
            <w:vMerge w:val="continue"/>
            <w:tcBorders>
              <w:top w:val="nil"/>
              <w:left w:val="single" w:color="auto" w:sz="4" w:space="0"/>
              <w:bottom w:val="single" w:color="000000" w:sz="4" w:space="0"/>
              <w:right w:val="single" w:color="auto"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9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硅藻土（载体）</w:t>
            </w:r>
          </w:p>
        </w:tc>
        <w:tc>
          <w:tcPr>
            <w:tcW w:w="202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0.216</w:t>
            </w:r>
          </w:p>
        </w:tc>
        <w:tc>
          <w:tcPr>
            <w:tcW w:w="1480"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3200</w:t>
            </w:r>
          </w:p>
        </w:tc>
        <w:tc>
          <w:tcPr>
            <w:tcW w:w="2254" w:type="dxa"/>
            <w:tcBorders>
              <w:top w:val="nil"/>
              <w:left w:val="nil"/>
              <w:bottom w:val="single" w:color="auto" w:sz="4" w:space="0"/>
              <w:right w:val="single" w:color="auto"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0.06912</w:t>
            </w:r>
          </w:p>
        </w:tc>
      </w:tr>
      <w:tr>
        <w:tblPrEx>
          <w:tblCellMar>
            <w:top w:w="0" w:type="dxa"/>
            <w:left w:w="108" w:type="dxa"/>
            <w:bottom w:w="0" w:type="dxa"/>
            <w:right w:w="108" w:type="dxa"/>
          </w:tblCellMar>
        </w:tblPrEx>
        <w:trPr>
          <w:trHeight w:val="280" w:hRule="atLeast"/>
          <w:jc w:val="center"/>
        </w:trPr>
        <w:tc>
          <w:tcPr>
            <w:tcW w:w="738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合计</w:t>
            </w:r>
          </w:p>
        </w:tc>
        <w:tc>
          <w:tcPr>
            <w:tcW w:w="2254" w:type="dxa"/>
            <w:tcBorders>
              <w:top w:val="nil"/>
              <w:left w:val="nil"/>
              <w:bottom w:val="single" w:color="auto" w:sz="4" w:space="0"/>
              <w:right w:val="single" w:color="auto"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172293.7695</w:t>
            </w:r>
          </w:p>
        </w:tc>
      </w:tr>
    </w:tbl>
    <w:p>
      <w:pPr>
        <w:spacing w:before="156" w:after="156"/>
        <w:jc w:val="center"/>
        <w:rPr>
          <w:rFonts w:ascii="Times New Roman" w:hAnsi="Times New Roman" w:cs="Times New Roman"/>
          <w:b/>
          <w:sz w:val="18"/>
          <w:szCs w:val="18"/>
        </w:rPr>
      </w:pPr>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9.1.2.3 燃料和动力费</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本项目的热公用工程采用的加热蒸汽标准为：低压蒸汽温度为0.</w:t>
      </w:r>
      <w:r>
        <w:rPr>
          <w:rFonts w:hint="eastAsia" w:ascii="Times New Roman" w:hAnsi="Times New Roman" w:cs="Times New Roman"/>
          <w:kern w:val="2"/>
        </w:rPr>
        <w:t>25</w:t>
      </w:r>
      <w:r>
        <w:rPr>
          <w:rFonts w:ascii="Times New Roman" w:hAnsi="Times New Roman" w:cs="Times New Roman"/>
          <w:kern w:val="2"/>
        </w:rPr>
        <w:t>MPa，</w:t>
      </w:r>
      <w:r>
        <w:rPr>
          <w:rFonts w:hint="eastAsia" w:ascii="Times New Roman" w:hAnsi="Times New Roman" w:cs="Times New Roman"/>
          <w:kern w:val="2"/>
        </w:rPr>
        <w:t>中</w:t>
      </w:r>
      <w:r>
        <w:rPr>
          <w:rFonts w:ascii="Times New Roman" w:hAnsi="Times New Roman" w:cs="Times New Roman"/>
          <w:kern w:val="2"/>
        </w:rPr>
        <w:t>压蒸汽温度为</w:t>
      </w:r>
      <w:r>
        <w:rPr>
          <w:rFonts w:hint="eastAsia" w:ascii="Times New Roman" w:hAnsi="Times New Roman" w:cs="Times New Roman"/>
          <w:kern w:val="2"/>
        </w:rPr>
        <w:t>4M</w:t>
      </w:r>
      <w:r>
        <w:rPr>
          <w:rFonts w:ascii="Times New Roman" w:hAnsi="Times New Roman" w:cs="Times New Roman"/>
          <w:kern w:val="2"/>
        </w:rPr>
        <w:t>p</w:t>
      </w:r>
      <w:r>
        <w:rPr>
          <w:rFonts w:hint="eastAsia" w:ascii="Times New Roman" w:hAnsi="Times New Roman" w:cs="Times New Roman"/>
          <w:kern w:val="2"/>
        </w:rPr>
        <w:t>a和烟道气</w:t>
      </w:r>
      <w:r>
        <w:rPr>
          <w:rFonts w:ascii="Times New Roman" w:hAnsi="Times New Roman" w:cs="Times New Roman"/>
          <w:kern w:val="2"/>
        </w:rPr>
        <w:t>。加热蒸汽由</w:t>
      </w:r>
      <w:r>
        <w:rPr>
          <w:rFonts w:hint="eastAsia" w:ascii="Times New Roman" w:hAnsi="Times New Roman" w:cs="Times New Roman"/>
          <w:kern w:val="2"/>
        </w:rPr>
        <w:t>重庆白涛</w:t>
      </w:r>
      <w:r>
        <w:rPr>
          <w:rFonts w:ascii="Times New Roman" w:hAnsi="Times New Roman" w:cs="Times New Roman"/>
          <w:kern w:val="2"/>
        </w:rPr>
        <w:t>化工园区集成的蒸汽供热系统，参考《2023年“天正设计杯”第十</w:t>
      </w:r>
      <w:r>
        <w:rPr>
          <w:rFonts w:hint="eastAsia" w:ascii="Times New Roman" w:hAnsi="Times New Roman" w:cs="Times New Roman"/>
          <w:kern w:val="2"/>
        </w:rPr>
        <w:t>七</w:t>
      </w:r>
      <w:r>
        <w:rPr>
          <w:rFonts w:ascii="Times New Roman" w:hAnsi="Times New Roman" w:cs="Times New Roman"/>
          <w:kern w:val="2"/>
        </w:rPr>
        <w:t>届全国大学生化工设计竞赛设计任务书》中关于经济分析与评价基础数据</w:t>
      </w:r>
      <w:r>
        <w:rPr>
          <w:rFonts w:hint="eastAsia" w:ascii="Times New Roman" w:hAnsi="Times New Roman" w:cs="Times New Roman"/>
          <w:kern w:val="2"/>
        </w:rPr>
        <w:t>以及市场调研价格进行费用估算</w:t>
      </w:r>
      <w:r>
        <w:rPr>
          <w:rFonts w:ascii="Times New Roman" w:hAnsi="Times New Roman" w:cs="Times New Roman"/>
          <w:kern w:val="2"/>
        </w:rPr>
        <w:t>。</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本工程的冷公用工程采用20℃的循环冷却水和-25℃冷冻盐水</w:t>
      </w:r>
      <w:r>
        <w:rPr>
          <w:rFonts w:hint="eastAsia" w:ascii="Times New Roman" w:hAnsi="Times New Roman" w:cs="Times New Roman"/>
          <w:kern w:val="2"/>
        </w:rPr>
        <w:t>以及三氟甲烷（-</w:t>
      </w:r>
      <w:r>
        <w:rPr>
          <w:rFonts w:ascii="Times New Roman" w:hAnsi="Times New Roman" w:cs="Times New Roman"/>
          <w:kern w:val="2"/>
        </w:rPr>
        <w:t>75</w:t>
      </w:r>
      <w:r>
        <w:rPr>
          <w:rFonts w:hint="eastAsia" w:ascii="Times New Roman" w:hAnsi="Times New Roman" w:cs="Times New Roman"/>
          <w:kern w:val="2"/>
        </w:rPr>
        <w:t>℃）</w:t>
      </w:r>
      <w:r>
        <w:rPr>
          <w:rFonts w:ascii="Times New Roman" w:hAnsi="Times New Roman" w:cs="Times New Roman"/>
          <w:kern w:val="2"/>
        </w:rPr>
        <w:t>进行冷却。循环冷却水由厂区内自供水系统提供与处理，冷冻盐水</w:t>
      </w:r>
      <w:r>
        <w:rPr>
          <w:rFonts w:hint="eastAsia" w:ascii="Times New Roman" w:hAnsi="Times New Roman" w:cs="Times New Roman"/>
          <w:kern w:val="2"/>
        </w:rPr>
        <w:t>、三氟甲烷</w:t>
      </w:r>
      <w:r>
        <w:rPr>
          <w:rFonts w:ascii="Times New Roman" w:hAnsi="Times New Roman" w:cs="Times New Roman"/>
          <w:kern w:val="2"/>
        </w:rPr>
        <w:t>由母厂冷冻站提供与处理。</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表9</w:t>
      </w:r>
      <w:r>
        <w:rPr>
          <w:rFonts w:ascii="Times New Roman" w:hAnsi="Times New Roman" w:cs="Times New Roman"/>
          <w:b/>
          <w:kern w:val="2"/>
          <w:sz w:val="18"/>
          <w:szCs w:val="18"/>
        </w:rPr>
        <w:t xml:space="preserve">-2 </w:t>
      </w:r>
      <w:r>
        <w:rPr>
          <w:rFonts w:hint="eastAsia" w:ascii="Times New Roman" w:hAnsi="Times New Roman" w:cs="Times New Roman"/>
          <w:b/>
          <w:kern w:val="2"/>
          <w:sz w:val="18"/>
          <w:szCs w:val="18"/>
        </w:rPr>
        <w:t>燃料和动力费一览表</w:t>
      </w:r>
    </w:p>
    <w:tbl>
      <w:tblPr>
        <w:tblStyle w:val="57"/>
        <w:tblW w:w="11052"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6"/>
        <w:gridCol w:w="1333"/>
        <w:gridCol w:w="2020"/>
        <w:gridCol w:w="1480"/>
        <w:gridCol w:w="2000"/>
        <w:gridCol w:w="209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公用工程名称</w:t>
            </w:r>
          </w:p>
        </w:tc>
        <w:tc>
          <w:tcPr>
            <w:tcW w:w="1333" w:type="dxa"/>
            <w:vMerge w:val="restar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单位</w:t>
            </w:r>
          </w:p>
        </w:tc>
        <w:tc>
          <w:tcPr>
            <w:tcW w:w="3500" w:type="dxa"/>
            <w:gridSpan w:val="2"/>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消耗</w:t>
            </w:r>
          </w:p>
        </w:tc>
        <w:tc>
          <w:tcPr>
            <w:tcW w:w="2000" w:type="dxa"/>
            <w:vMerge w:val="restart"/>
            <w:tcBorders>
              <w:top w:val="single" w:color="4472C4" w:themeColor="accent1" w:sz="4" w:space="0"/>
              <w:bottom w:val="single" w:color="4472C4" w:themeColor="accent1" w:sz="4" w:space="0"/>
              <w:right w:val="nil"/>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单价（元/吨）</w:t>
            </w:r>
          </w:p>
        </w:tc>
        <w:tc>
          <w:tcPr>
            <w:tcW w:w="2093" w:type="dxa"/>
            <w:vMerge w:val="restar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noWrap/>
          </w:tcPr>
          <w:p>
            <w:pPr>
              <w:widowControl/>
              <w:autoSpaceDE/>
              <w:autoSpaceDN/>
              <w:spacing w:before="0" w:beforeLines="0" w:after="0" w:afterLines="0"/>
              <w:jc w:val="center"/>
              <w:rPr>
                <w:rFonts w:ascii="等线" w:hAnsi="等线" w:eastAsia="等线" w:cs="宋体"/>
                <w:b/>
                <w:bCs/>
                <w:color w:val="FFFFFF"/>
                <w:sz w:val="22"/>
              </w:rPr>
            </w:pPr>
            <w:r>
              <w:rPr>
                <w:rFonts w:hint="eastAsia" w:ascii="等线" w:hAnsi="等线" w:eastAsia="等线" w:cs="宋体"/>
                <w:b/>
                <w:bCs/>
                <w:color w:val="FFFFFF"/>
                <w:sz w:val="22"/>
              </w:rPr>
              <w:t>总费用（万元/年）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vMerge w:val="continue"/>
            <w:shd w:val="clear" w:color="auto" w:fill="D9E2F3" w:themeFill="accent1" w:themeFillTint="33"/>
          </w:tcPr>
          <w:p>
            <w:pPr>
              <w:widowControl/>
              <w:autoSpaceDE/>
              <w:autoSpaceDN/>
              <w:spacing w:before="0" w:beforeLines="0" w:after="0" w:afterLines="0"/>
              <w:rPr>
                <w:rFonts w:ascii="宋体" w:hAnsi="宋体" w:cs="宋体"/>
                <w:b/>
                <w:bCs/>
                <w:color w:val="FFFFFF"/>
                <w:szCs w:val="21"/>
              </w:rPr>
            </w:pPr>
          </w:p>
        </w:tc>
        <w:tc>
          <w:tcPr>
            <w:tcW w:w="1333" w:type="dxa"/>
            <w:vMerge w:val="continue"/>
            <w:shd w:val="clear" w:color="auto" w:fill="D9E2F3" w:themeFill="accent1" w:themeFillTint="33"/>
          </w:tcPr>
          <w:p>
            <w:pPr>
              <w:widowControl/>
              <w:autoSpaceDE/>
              <w:autoSpaceDN/>
              <w:spacing w:before="0" w:beforeLines="0" w:after="0" w:afterLines="0"/>
              <w:rPr>
                <w:rFonts w:ascii="Times New Roman" w:hAnsi="Times New Roman" w:eastAsia="等线" w:cs="Times New Roman"/>
                <w:b/>
                <w:bCs/>
                <w:color w:val="FFFFFF"/>
                <w:szCs w:val="21"/>
              </w:rPr>
            </w:pPr>
          </w:p>
        </w:tc>
        <w:tc>
          <w:tcPr>
            <w:tcW w:w="2020"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小时耗量</w:t>
            </w:r>
          </w:p>
        </w:tc>
        <w:tc>
          <w:tcPr>
            <w:tcW w:w="1480" w:type="dxa"/>
            <w:shd w:val="clear" w:color="auto" w:fill="4472C4" w:themeFill="accent1"/>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hint="eastAsia" w:ascii="宋体" w:hAnsi="宋体" w:cs="Times New Roman"/>
                <w:b/>
                <w:bCs/>
                <w:color w:val="FFFFFF"/>
                <w:szCs w:val="21"/>
              </w:rPr>
              <w:t>年耗量</w:t>
            </w:r>
          </w:p>
        </w:tc>
        <w:tc>
          <w:tcPr>
            <w:tcW w:w="2000" w:type="dxa"/>
            <w:vMerge w:val="continue"/>
            <w:shd w:val="clear" w:color="auto" w:fill="D9E2F3" w:themeFill="accent1" w:themeFillTint="33"/>
          </w:tcPr>
          <w:p>
            <w:pPr>
              <w:widowControl/>
              <w:autoSpaceDE/>
              <w:autoSpaceDN/>
              <w:spacing w:before="0" w:beforeLines="0" w:after="0" w:afterLines="0"/>
              <w:rPr>
                <w:rFonts w:ascii="等线" w:hAnsi="等线" w:eastAsia="等线" w:cs="宋体"/>
                <w:color w:val="FFFFFF"/>
                <w:sz w:val="22"/>
              </w:rPr>
            </w:pPr>
          </w:p>
        </w:tc>
        <w:tc>
          <w:tcPr>
            <w:tcW w:w="2093" w:type="dxa"/>
            <w:vMerge w:val="continue"/>
            <w:shd w:val="clear" w:color="auto" w:fill="D9E2F3" w:themeFill="accent1" w:themeFillTint="33"/>
          </w:tcPr>
          <w:p>
            <w:pPr>
              <w:widowControl/>
              <w:autoSpaceDE/>
              <w:autoSpaceDN/>
              <w:spacing w:before="0" w:beforeLines="0" w:after="0" w:afterLines="0"/>
              <w:rPr>
                <w:rFonts w:ascii="等线" w:hAnsi="等线" w:eastAsia="等线" w:cs="宋体"/>
                <w:color w:val="FFFFFF"/>
                <w:sz w:val="22"/>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三氟甲烷</w:t>
            </w:r>
          </w:p>
        </w:tc>
        <w:tc>
          <w:tcPr>
            <w:tcW w:w="133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20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4.32861021</w:t>
            </w:r>
          </w:p>
        </w:tc>
        <w:tc>
          <w:tcPr>
            <w:tcW w:w="148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34628.88168</w:t>
            </w:r>
          </w:p>
        </w:tc>
        <w:tc>
          <w:tcPr>
            <w:tcW w:w="200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120</w:t>
            </w:r>
          </w:p>
        </w:tc>
        <w:tc>
          <w:tcPr>
            <w:tcW w:w="209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415.5465802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宋体" w:hAnsi="宋体" w:cs="宋体"/>
                <w:b/>
                <w:bCs/>
                <w:color w:val="000000"/>
                <w:sz w:val="22"/>
              </w:rPr>
              <w:t>电</w:t>
            </w:r>
          </w:p>
        </w:tc>
        <w:tc>
          <w:tcPr>
            <w:tcW w:w="133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kW·h/a</w:t>
            </w:r>
          </w:p>
        </w:tc>
        <w:tc>
          <w:tcPr>
            <w:tcW w:w="20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7834.99836</w:t>
            </w:r>
          </w:p>
        </w:tc>
        <w:tc>
          <w:tcPr>
            <w:tcW w:w="148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62679986.88</w:t>
            </w:r>
          </w:p>
        </w:tc>
        <w:tc>
          <w:tcPr>
            <w:tcW w:w="200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0.75</w:t>
            </w:r>
          </w:p>
        </w:tc>
        <w:tc>
          <w:tcPr>
            <w:tcW w:w="20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4700.999016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80" w:hRule="atLeast"/>
          <w:jc w:val="center"/>
        </w:trPr>
        <w:tc>
          <w:tcPr>
            <w:tcW w:w="2126"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0.25MPa</w:t>
            </w:r>
            <w:r>
              <w:rPr>
                <w:rFonts w:hint="eastAsia" w:ascii="宋体" w:hAnsi="宋体" w:cs="宋体"/>
                <w:b/>
                <w:bCs/>
                <w:color w:val="000000"/>
                <w:sz w:val="22"/>
              </w:rPr>
              <w:t>低压蒸汽</w:t>
            </w:r>
          </w:p>
        </w:tc>
        <w:tc>
          <w:tcPr>
            <w:tcW w:w="133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20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100.159324</w:t>
            </w:r>
          </w:p>
        </w:tc>
        <w:tc>
          <w:tcPr>
            <w:tcW w:w="148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801274.592</w:t>
            </w:r>
          </w:p>
        </w:tc>
        <w:tc>
          <w:tcPr>
            <w:tcW w:w="200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200</w:t>
            </w:r>
          </w:p>
        </w:tc>
        <w:tc>
          <w:tcPr>
            <w:tcW w:w="209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16025.49184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4MPa中压蒸汽</w:t>
            </w:r>
          </w:p>
        </w:tc>
        <w:tc>
          <w:tcPr>
            <w:tcW w:w="133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20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535.290856</w:t>
            </w:r>
          </w:p>
        </w:tc>
        <w:tc>
          <w:tcPr>
            <w:tcW w:w="148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4282326.848</w:t>
            </w:r>
          </w:p>
        </w:tc>
        <w:tc>
          <w:tcPr>
            <w:tcW w:w="200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265</w:t>
            </w:r>
          </w:p>
        </w:tc>
        <w:tc>
          <w:tcPr>
            <w:tcW w:w="20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113481.6615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80" w:hRule="atLeast"/>
          <w:jc w:val="center"/>
        </w:trPr>
        <w:tc>
          <w:tcPr>
            <w:tcW w:w="2126"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20℃</w:t>
            </w:r>
            <w:r>
              <w:rPr>
                <w:rFonts w:hint="eastAsia" w:ascii="宋体" w:hAnsi="宋体" w:cs="宋体"/>
                <w:b/>
                <w:bCs/>
                <w:color w:val="000000"/>
                <w:sz w:val="22"/>
              </w:rPr>
              <w:t>冷却水</w:t>
            </w:r>
          </w:p>
        </w:tc>
        <w:tc>
          <w:tcPr>
            <w:tcW w:w="133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20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1963.30082</w:t>
            </w:r>
          </w:p>
        </w:tc>
        <w:tc>
          <w:tcPr>
            <w:tcW w:w="148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15706406.56</w:t>
            </w:r>
          </w:p>
        </w:tc>
        <w:tc>
          <w:tcPr>
            <w:tcW w:w="200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0.5</w:t>
            </w:r>
          </w:p>
        </w:tc>
        <w:tc>
          <w:tcPr>
            <w:tcW w:w="209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785.320328</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-25℃冷冻盐水</w:t>
            </w:r>
          </w:p>
        </w:tc>
        <w:tc>
          <w:tcPr>
            <w:tcW w:w="133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20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4.47836715</w:t>
            </w:r>
          </w:p>
        </w:tc>
        <w:tc>
          <w:tcPr>
            <w:tcW w:w="148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35826.9372</w:t>
            </w:r>
          </w:p>
        </w:tc>
        <w:tc>
          <w:tcPr>
            <w:tcW w:w="200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30</w:t>
            </w:r>
          </w:p>
        </w:tc>
        <w:tc>
          <w:tcPr>
            <w:tcW w:w="20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107.4808116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280" w:hRule="atLeast"/>
          <w:jc w:val="center"/>
        </w:trPr>
        <w:tc>
          <w:tcPr>
            <w:tcW w:w="2126"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宋体" w:hAnsi="宋体" w:cs="宋体"/>
                <w:b/>
                <w:bCs/>
                <w:color w:val="000000"/>
                <w:sz w:val="22"/>
              </w:rPr>
              <w:t>氮气</w:t>
            </w:r>
          </w:p>
        </w:tc>
        <w:tc>
          <w:tcPr>
            <w:tcW w:w="133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20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7.85</w:t>
            </w:r>
          </w:p>
        </w:tc>
        <w:tc>
          <w:tcPr>
            <w:tcW w:w="148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62800</w:t>
            </w:r>
          </w:p>
        </w:tc>
        <w:tc>
          <w:tcPr>
            <w:tcW w:w="200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0.2</w:t>
            </w:r>
          </w:p>
        </w:tc>
        <w:tc>
          <w:tcPr>
            <w:tcW w:w="209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1.256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仪表空气</w:t>
            </w:r>
          </w:p>
        </w:tc>
        <w:tc>
          <w:tcPr>
            <w:tcW w:w="133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Nm3/a</w:t>
            </w:r>
          </w:p>
        </w:tc>
        <w:tc>
          <w:tcPr>
            <w:tcW w:w="202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48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48000</w:t>
            </w:r>
          </w:p>
        </w:tc>
        <w:tc>
          <w:tcPr>
            <w:tcW w:w="2000"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0.12</w:t>
            </w:r>
          </w:p>
        </w:tc>
        <w:tc>
          <w:tcPr>
            <w:tcW w:w="20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0.576</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2126" w:type="dxa"/>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燃料气</w:t>
            </w:r>
          </w:p>
        </w:tc>
        <w:tc>
          <w:tcPr>
            <w:tcW w:w="133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t/a</w:t>
            </w:r>
          </w:p>
        </w:tc>
        <w:tc>
          <w:tcPr>
            <w:tcW w:w="202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143.946359</w:t>
            </w:r>
          </w:p>
        </w:tc>
        <w:tc>
          <w:tcPr>
            <w:tcW w:w="148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1151570.872</w:t>
            </w:r>
          </w:p>
        </w:tc>
        <w:tc>
          <w:tcPr>
            <w:tcW w:w="2000"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119.58</w:t>
            </w:r>
          </w:p>
        </w:tc>
        <w:tc>
          <w:tcPr>
            <w:tcW w:w="209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137704.8449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8959" w:type="dxa"/>
            <w:gridSpan w:val="5"/>
            <w:shd w:val="clear" w:color="auto" w:fill="D9E2F3" w:themeFill="accent1" w:themeFillTint="33"/>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合计（万元/年）</w:t>
            </w:r>
          </w:p>
        </w:tc>
        <w:tc>
          <w:tcPr>
            <w:tcW w:w="2093" w:type="dxa"/>
            <w:shd w:val="clear" w:color="auto" w:fill="D9E2F3" w:themeFill="accent1" w:themeFillTint="33"/>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273223.1769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0" w:hRule="atLeast"/>
          <w:jc w:val="center"/>
        </w:trPr>
        <w:tc>
          <w:tcPr>
            <w:tcW w:w="8959" w:type="dxa"/>
            <w:gridSpan w:val="5"/>
            <w:noWrap/>
          </w:tcPr>
          <w:p>
            <w:pPr>
              <w:widowControl/>
              <w:autoSpaceDE/>
              <w:autoSpaceDN/>
              <w:spacing w:before="0" w:beforeLines="0" w:after="0" w:afterLines="0"/>
              <w:jc w:val="center"/>
              <w:rPr>
                <w:rFonts w:ascii="等线" w:hAnsi="等线" w:eastAsia="等线" w:cs="宋体"/>
                <w:b/>
                <w:bCs/>
                <w:color w:val="000000"/>
                <w:sz w:val="22"/>
              </w:rPr>
            </w:pPr>
            <w:r>
              <w:rPr>
                <w:rFonts w:hint="eastAsia" w:ascii="等线" w:hAnsi="等线" w:eastAsia="等线" w:cs="宋体"/>
                <w:b/>
                <w:bCs/>
                <w:color w:val="000000"/>
                <w:sz w:val="22"/>
              </w:rPr>
              <w:t>总计直接材料费用（万元/年）</w:t>
            </w:r>
          </w:p>
        </w:tc>
        <w:tc>
          <w:tcPr>
            <w:tcW w:w="2093" w:type="dxa"/>
            <w:noWrap/>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445516.9464</w:t>
            </w:r>
          </w:p>
        </w:tc>
      </w:tr>
    </w:tbl>
    <w:p>
      <w:pPr>
        <w:spacing w:before="156" w:after="156"/>
        <w:ind w:firstLine="361" w:firstLineChars="200"/>
        <w:jc w:val="center"/>
        <w:rPr>
          <w:rFonts w:ascii="Times New Roman" w:hAnsi="Times New Roman" w:cs="Times New Roman"/>
          <w:b/>
          <w:kern w:val="2"/>
          <w:sz w:val="18"/>
          <w:szCs w:val="18"/>
        </w:rPr>
      </w:pPr>
    </w:p>
    <w:p>
      <w:pPr>
        <w:keepNext/>
        <w:keepLines/>
        <w:autoSpaceDE/>
        <w:autoSpaceDN/>
        <w:spacing w:before="0" w:beforeLines="0" w:after="0" w:afterLines="0"/>
        <w:jc w:val="both"/>
        <w:outlineLvl w:val="3"/>
        <w:rPr>
          <w:rFonts w:ascii="Times New Roman" w:hAnsi="Times New Roman" w:cs="Times New Roman"/>
          <w:b/>
          <w:bCs/>
          <w:kern w:val="2"/>
          <w:sz w:val="24"/>
          <w:szCs w:val="21"/>
        </w:rPr>
      </w:pPr>
      <w:r>
        <w:rPr>
          <w:rFonts w:ascii="Times New Roman" w:hAnsi="Times New Roman" w:cs="Times New Roman"/>
          <w:b/>
          <w:bCs/>
          <w:kern w:val="2"/>
          <w:sz w:val="24"/>
          <w:szCs w:val="28"/>
        </w:rPr>
        <w:t>9.1.2.4 其他产品成本费用</w:t>
      </w:r>
    </w:p>
    <w:p>
      <w:pPr>
        <w:spacing w:before="156" w:after="156"/>
        <w:ind w:firstLine="420" w:firstLineChars="200"/>
        <w:rPr>
          <w:rFonts w:ascii="Times New Roman" w:hAnsi="Times New Roman" w:cs="Times New Roman"/>
          <w:kern w:val="2"/>
        </w:rPr>
      </w:pPr>
      <w:r>
        <w:rPr>
          <w:rFonts w:ascii="Times New Roman" w:hAnsi="Times New Roman" w:cs="Times New Roman"/>
          <w:kern w:val="2"/>
        </w:rPr>
        <w:t>产品成本费用还包括职工薪酬及福利、折旧费、摊销费、维修费、管理费、财务费、销售费用和其他费用，均按照一定比例选取</w:t>
      </w:r>
      <w:r>
        <w:rPr>
          <w:rFonts w:hint="eastAsia" w:ascii="Times New Roman" w:hAnsi="Times New Roman" w:cs="Times New Roman"/>
          <w:kern w:val="2"/>
        </w:rPr>
        <w:t>。</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（1）折旧费</w:t>
      </w:r>
    </w:p>
    <w:tbl>
      <w:tblPr>
        <w:tblStyle w:val="23"/>
        <w:tblW w:w="10887" w:type="dxa"/>
        <w:jc w:val="center"/>
        <w:tblLayout w:type="autofit"/>
        <w:tblCellMar>
          <w:top w:w="0" w:type="dxa"/>
          <w:left w:w="108" w:type="dxa"/>
          <w:bottom w:w="0" w:type="dxa"/>
          <w:right w:w="108" w:type="dxa"/>
        </w:tblCellMar>
      </w:tblPr>
      <w:tblGrid>
        <w:gridCol w:w="2427"/>
        <w:gridCol w:w="1760"/>
        <w:gridCol w:w="1740"/>
        <w:gridCol w:w="2740"/>
        <w:gridCol w:w="2220"/>
      </w:tblGrid>
      <w:tr>
        <w:tblPrEx>
          <w:tblCellMar>
            <w:top w:w="0" w:type="dxa"/>
            <w:left w:w="108" w:type="dxa"/>
            <w:bottom w:w="0" w:type="dxa"/>
            <w:right w:w="108" w:type="dxa"/>
          </w:tblCellMar>
        </w:tblPrEx>
        <w:trPr>
          <w:trHeight w:val="280" w:hRule="atLeast"/>
          <w:jc w:val="center"/>
        </w:trPr>
        <w:tc>
          <w:tcPr>
            <w:tcW w:w="2427"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76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原值（万元）</w:t>
            </w:r>
          </w:p>
        </w:tc>
        <w:tc>
          <w:tcPr>
            <w:tcW w:w="17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折旧年限（年）</w:t>
            </w:r>
          </w:p>
        </w:tc>
        <w:tc>
          <w:tcPr>
            <w:tcW w:w="27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年折旧率</w:t>
            </w:r>
          </w:p>
        </w:tc>
        <w:tc>
          <w:tcPr>
            <w:tcW w:w="222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年折旧费（万元/年)</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生产设备</w:t>
            </w:r>
          </w:p>
        </w:tc>
        <w:tc>
          <w:tcPr>
            <w:tcW w:w="176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5348.36 </w:t>
            </w:r>
          </w:p>
        </w:tc>
        <w:tc>
          <w:tcPr>
            <w:tcW w:w="17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10.00 </w:t>
            </w:r>
          </w:p>
        </w:tc>
        <w:tc>
          <w:tcPr>
            <w:tcW w:w="27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0.10 </w:t>
            </w:r>
          </w:p>
        </w:tc>
        <w:tc>
          <w:tcPr>
            <w:tcW w:w="22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508.09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房屋建筑</w:t>
            </w:r>
          </w:p>
        </w:tc>
        <w:tc>
          <w:tcPr>
            <w:tcW w:w="176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7846.04 </w:t>
            </w:r>
          </w:p>
        </w:tc>
        <w:tc>
          <w:tcPr>
            <w:tcW w:w="17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20.00 </w:t>
            </w:r>
          </w:p>
        </w:tc>
        <w:tc>
          <w:tcPr>
            <w:tcW w:w="27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0.05 </w:t>
            </w:r>
          </w:p>
        </w:tc>
        <w:tc>
          <w:tcPr>
            <w:tcW w:w="22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372.69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生产器具、工具、家具</w:t>
            </w:r>
          </w:p>
        </w:tc>
        <w:tc>
          <w:tcPr>
            <w:tcW w:w="176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6016.90 </w:t>
            </w:r>
          </w:p>
        </w:tc>
        <w:tc>
          <w:tcPr>
            <w:tcW w:w="17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5.00 </w:t>
            </w:r>
          </w:p>
        </w:tc>
        <w:tc>
          <w:tcPr>
            <w:tcW w:w="27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0.19 </w:t>
            </w:r>
          </w:p>
        </w:tc>
        <w:tc>
          <w:tcPr>
            <w:tcW w:w="22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1143.21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电气设备</w:t>
            </w:r>
          </w:p>
        </w:tc>
        <w:tc>
          <w:tcPr>
            <w:tcW w:w="176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641.80 </w:t>
            </w:r>
          </w:p>
        </w:tc>
        <w:tc>
          <w:tcPr>
            <w:tcW w:w="17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5.00 </w:t>
            </w:r>
          </w:p>
        </w:tc>
        <w:tc>
          <w:tcPr>
            <w:tcW w:w="274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0.19 </w:t>
            </w:r>
          </w:p>
        </w:tc>
        <w:tc>
          <w:tcPr>
            <w:tcW w:w="22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121.94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车辆</w:t>
            </w:r>
          </w:p>
        </w:tc>
        <w:tc>
          <w:tcPr>
            <w:tcW w:w="176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1069.67 </w:t>
            </w:r>
          </w:p>
        </w:tc>
        <w:tc>
          <w:tcPr>
            <w:tcW w:w="17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5.00 </w:t>
            </w:r>
          </w:p>
        </w:tc>
        <w:tc>
          <w:tcPr>
            <w:tcW w:w="274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0.19 </w:t>
            </w:r>
          </w:p>
        </w:tc>
        <w:tc>
          <w:tcPr>
            <w:tcW w:w="22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203.24 </w:t>
            </w:r>
          </w:p>
        </w:tc>
      </w:tr>
      <w:tr>
        <w:tblPrEx>
          <w:tblCellMar>
            <w:top w:w="0" w:type="dxa"/>
            <w:left w:w="108" w:type="dxa"/>
            <w:bottom w:w="0" w:type="dxa"/>
            <w:right w:w="108" w:type="dxa"/>
          </w:tblCellMar>
        </w:tblPrEx>
        <w:trPr>
          <w:trHeight w:val="280" w:hRule="atLeast"/>
          <w:jc w:val="center"/>
        </w:trPr>
        <w:tc>
          <w:tcPr>
            <w:tcW w:w="8667" w:type="dxa"/>
            <w:gridSpan w:val="4"/>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总计</w:t>
            </w:r>
          </w:p>
        </w:tc>
        <w:tc>
          <w:tcPr>
            <w:tcW w:w="22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xml:space="preserve">2349.17 </w:t>
            </w:r>
          </w:p>
        </w:tc>
      </w:tr>
    </w:tbl>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（2）摊销费</w:t>
      </w:r>
    </w:p>
    <w:tbl>
      <w:tblPr>
        <w:tblStyle w:val="23"/>
        <w:tblW w:w="4040" w:type="dxa"/>
        <w:jc w:val="center"/>
        <w:tblLayout w:type="autofit"/>
        <w:tblCellMar>
          <w:top w:w="0" w:type="dxa"/>
          <w:left w:w="108" w:type="dxa"/>
          <w:bottom w:w="0" w:type="dxa"/>
          <w:right w:w="108" w:type="dxa"/>
        </w:tblCellMar>
      </w:tblPr>
      <w:tblGrid>
        <w:gridCol w:w="2280"/>
        <w:gridCol w:w="1760"/>
      </w:tblGrid>
      <w:tr>
        <w:tblPrEx>
          <w:tblCellMar>
            <w:top w:w="0" w:type="dxa"/>
            <w:left w:w="108" w:type="dxa"/>
            <w:bottom w:w="0" w:type="dxa"/>
            <w:right w:w="108" w:type="dxa"/>
          </w:tblCellMar>
        </w:tblPrEx>
        <w:trPr>
          <w:trHeight w:val="280" w:hRule="atLeast"/>
          <w:jc w:val="center"/>
        </w:trPr>
        <w:tc>
          <w:tcPr>
            <w:tcW w:w="228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名称</w:t>
            </w:r>
          </w:p>
        </w:tc>
        <w:tc>
          <w:tcPr>
            <w:tcW w:w="176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费用（万元）</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无形资产费用</w:t>
            </w:r>
          </w:p>
        </w:tc>
        <w:tc>
          <w:tcPr>
            <w:tcW w:w="176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5911.46875</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递延资产费用</w:t>
            </w:r>
          </w:p>
        </w:tc>
        <w:tc>
          <w:tcPr>
            <w:tcW w:w="176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717.3508766</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总计</w:t>
            </w:r>
          </w:p>
        </w:tc>
        <w:tc>
          <w:tcPr>
            <w:tcW w:w="176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6628.819627</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摊销费</w:t>
            </w:r>
          </w:p>
        </w:tc>
        <w:tc>
          <w:tcPr>
            <w:tcW w:w="176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473.4871162</w:t>
            </w:r>
          </w:p>
        </w:tc>
      </w:tr>
    </w:tbl>
    <w:p>
      <w:pPr>
        <w:spacing w:before="156" w:after="156"/>
        <w:ind w:firstLine="420" w:firstLineChars="200"/>
        <w:rPr>
          <w:rFonts w:ascii="Times New Roman" w:hAnsi="Times New Roman" w:cs="Times New Roman"/>
          <w:kern w:val="2"/>
        </w:rPr>
      </w:pP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（3）修理费</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修理费按设备总投资额的</w:t>
      </w:r>
      <w:r>
        <w:rPr>
          <w:rFonts w:ascii="Times New Roman" w:hAnsi="Times New Roman" w:cs="Times New Roman"/>
          <w:kern w:val="2"/>
        </w:rPr>
        <w:t xml:space="preserve"> 1.2%计提，</w:t>
      </w:r>
      <w:r>
        <w:rPr>
          <w:rFonts w:hint="eastAsia" w:ascii="Times New Roman" w:hAnsi="Times New Roman" w:cs="Times New Roman"/>
          <w:kern w:val="2"/>
        </w:rPr>
        <w:t>则年修理费总额为：</w:t>
      </w:r>
      <w:r>
        <w:rPr>
          <w:rFonts w:ascii="Times New Roman" w:hAnsi="Times New Roman" w:cs="Times New Roman"/>
          <w:kern w:val="2"/>
        </w:rPr>
        <w:t>64.18</w:t>
      </w:r>
      <w:r>
        <w:rPr>
          <w:rFonts w:hint="eastAsia" w:ascii="Times New Roman" w:hAnsi="Times New Roman" w:cs="Times New Roman"/>
          <w:kern w:val="2"/>
        </w:rPr>
        <w:t>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（4）管理费</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本项目中管理费用按直接工资总额的4</w:t>
      </w:r>
      <w:r>
        <w:rPr>
          <w:rFonts w:ascii="Times New Roman" w:hAnsi="Times New Roman" w:cs="Times New Roman"/>
          <w:kern w:val="2"/>
        </w:rPr>
        <w:t>0%</w:t>
      </w:r>
      <w:r>
        <w:rPr>
          <w:rFonts w:hint="eastAsia" w:ascii="Times New Roman" w:hAnsi="Times New Roman" w:cs="Times New Roman"/>
          <w:kern w:val="2"/>
        </w:rPr>
        <w:t>计提，则每年需支付的管理费为：4</w:t>
      </w:r>
      <w:r>
        <w:rPr>
          <w:rFonts w:ascii="Times New Roman" w:hAnsi="Times New Roman" w:cs="Times New Roman"/>
          <w:kern w:val="2"/>
        </w:rPr>
        <w:t>96</w:t>
      </w:r>
      <w:r>
        <w:rPr>
          <w:rFonts w:hint="eastAsia" w:ascii="Times New Roman" w:hAnsi="Times New Roman" w:cs="Times New Roman"/>
          <w:kern w:val="2"/>
        </w:rPr>
        <w:t>ⅹ</w:t>
      </w:r>
      <w:r>
        <w:rPr>
          <w:rFonts w:ascii="Times New Roman" w:hAnsi="Times New Roman" w:cs="Times New Roman"/>
          <w:kern w:val="2"/>
        </w:rPr>
        <w:t>0.4=198.4</w:t>
      </w:r>
      <w:r>
        <w:rPr>
          <w:rFonts w:hint="eastAsia" w:ascii="Times New Roman" w:hAnsi="Times New Roman" w:cs="Times New Roman"/>
          <w:kern w:val="2"/>
        </w:rPr>
        <w:t>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（5）财务费</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根据银行贷款金额，平均每年财务费用为5</w:t>
      </w:r>
      <w:r>
        <w:rPr>
          <w:rFonts w:ascii="Times New Roman" w:hAnsi="Times New Roman" w:cs="Times New Roman"/>
          <w:kern w:val="2"/>
        </w:rPr>
        <w:t>93.75</w:t>
      </w:r>
      <w:r>
        <w:rPr>
          <w:rFonts w:hint="eastAsia" w:ascii="Times New Roman" w:hAnsi="Times New Roman" w:cs="Times New Roman"/>
          <w:kern w:val="2"/>
        </w:rPr>
        <w:t>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（6）销售费用</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本项目按销售收入的1</w:t>
      </w:r>
      <w:r>
        <w:rPr>
          <w:rFonts w:ascii="Times New Roman" w:hAnsi="Times New Roman" w:cs="Times New Roman"/>
          <w:kern w:val="2"/>
        </w:rPr>
        <w:t>%</w:t>
      </w:r>
      <w:r>
        <w:rPr>
          <w:rFonts w:hint="eastAsia" w:ascii="Times New Roman" w:hAnsi="Times New Roman" w:cs="Times New Roman"/>
          <w:kern w:val="2"/>
        </w:rPr>
        <w:t>计算销售费用总额，即为：4</w:t>
      </w:r>
      <w:r>
        <w:rPr>
          <w:rFonts w:ascii="Times New Roman" w:hAnsi="Times New Roman" w:cs="Times New Roman"/>
          <w:kern w:val="2"/>
        </w:rPr>
        <w:t>88257</w:t>
      </w:r>
      <w:r>
        <w:rPr>
          <w:rFonts w:hint="eastAsia" w:ascii="Times New Roman" w:hAnsi="Times New Roman" w:cs="Times New Roman"/>
          <w:kern w:val="2"/>
        </w:rPr>
        <w:t>ⅹ1</w:t>
      </w:r>
      <w:r>
        <w:rPr>
          <w:rFonts w:ascii="Times New Roman" w:hAnsi="Times New Roman" w:cs="Times New Roman"/>
          <w:kern w:val="2"/>
        </w:rPr>
        <w:t>%=5221.27</w:t>
      </w:r>
      <w:r>
        <w:rPr>
          <w:rFonts w:hint="eastAsia" w:ascii="Times New Roman" w:hAnsi="Times New Roman" w:cs="Times New Roman"/>
          <w:kern w:val="2"/>
        </w:rPr>
        <w:t>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（7）三废处理费用</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本项目会产生一定量的三废，本项目废水处理费用为5ⅹ</w:t>
      </w:r>
      <w:r>
        <w:rPr>
          <w:rFonts w:ascii="Times New Roman" w:hAnsi="Times New Roman" w:cs="Times New Roman"/>
          <w:kern w:val="2"/>
        </w:rPr>
        <w:t>12</w:t>
      </w:r>
      <w:r>
        <w:rPr>
          <w:rFonts w:hint="eastAsia" w:ascii="Times New Roman" w:hAnsi="Times New Roman" w:cs="Times New Roman"/>
          <w:kern w:val="2"/>
        </w:rPr>
        <w:t>.</w:t>
      </w:r>
      <w:r>
        <w:rPr>
          <w:rFonts w:ascii="Times New Roman" w:hAnsi="Times New Roman" w:cs="Times New Roman"/>
          <w:kern w:val="2"/>
        </w:rPr>
        <w:t>482952=62.415</w:t>
      </w:r>
      <w:r>
        <w:rPr>
          <w:rFonts w:hint="eastAsia" w:ascii="Times New Roman" w:hAnsi="Times New Roman" w:cs="Times New Roman"/>
          <w:kern w:val="2"/>
        </w:rPr>
        <w:t>万元；本项目废气只涉及精馏塔的驰放气，处理费用为5万元；针对废渣，将其送回厂家回收处理，催化剂废渣处理费用为</w:t>
      </w:r>
      <w:r>
        <w:rPr>
          <w:rFonts w:ascii="Times New Roman" w:hAnsi="Times New Roman" w:cs="Times New Roman"/>
          <w:kern w:val="2"/>
        </w:rPr>
        <w:t>50</w:t>
      </w:r>
      <w:r>
        <w:rPr>
          <w:rFonts w:hint="eastAsia" w:ascii="Times New Roman" w:hAnsi="Times New Roman" w:cs="Times New Roman"/>
          <w:kern w:val="2"/>
        </w:rPr>
        <w:t>万元/年，生产包装物和生活垃圾处理费用为2</w:t>
      </w:r>
      <w:r>
        <w:rPr>
          <w:rFonts w:ascii="Times New Roman" w:hAnsi="Times New Roman" w:cs="Times New Roman"/>
          <w:kern w:val="2"/>
        </w:rPr>
        <w:t>00</w:t>
      </w:r>
      <w:r>
        <w:rPr>
          <w:rFonts w:hint="eastAsia" w:ascii="Times New Roman" w:hAnsi="Times New Roman" w:cs="Times New Roman"/>
          <w:kern w:val="2"/>
        </w:rPr>
        <w:t>万元/年，故本项目三废处理费用总共为3</w:t>
      </w:r>
      <w:r>
        <w:rPr>
          <w:rFonts w:ascii="Times New Roman" w:hAnsi="Times New Roman" w:cs="Times New Roman"/>
          <w:kern w:val="2"/>
        </w:rPr>
        <w:t>17.42</w:t>
      </w:r>
      <w:r>
        <w:rPr>
          <w:rFonts w:hint="eastAsia" w:ascii="Times New Roman" w:hAnsi="Times New Roman" w:cs="Times New Roman"/>
          <w:kern w:val="2"/>
        </w:rPr>
        <w:t>万元。</w:t>
      </w:r>
    </w:p>
    <w:p>
      <w:pPr>
        <w:keepNext/>
        <w:keepLines/>
        <w:autoSpaceDE/>
        <w:autoSpaceDN/>
        <w:spacing w:before="0" w:beforeLines="0" w:after="0" w:afterLines="0"/>
        <w:jc w:val="both"/>
        <w:outlineLvl w:val="3"/>
        <w:rPr>
          <w:rFonts w:ascii="Times New Roman" w:hAnsi="Times New Roman" w:cs="Times New Roman"/>
          <w:b/>
          <w:bCs/>
          <w:kern w:val="2"/>
          <w:sz w:val="24"/>
          <w:szCs w:val="28"/>
        </w:rPr>
      </w:pPr>
      <w:r>
        <w:rPr>
          <w:rFonts w:ascii="Times New Roman" w:hAnsi="Times New Roman" w:cs="Times New Roman"/>
          <w:b/>
          <w:bCs/>
          <w:kern w:val="2"/>
          <w:sz w:val="24"/>
          <w:szCs w:val="28"/>
        </w:rPr>
        <w:t>9.1.2.5 产品成本和费用汇总</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表9</w:t>
      </w:r>
      <w:r>
        <w:rPr>
          <w:rFonts w:ascii="Times New Roman" w:hAnsi="Times New Roman" w:cs="Times New Roman"/>
          <w:b/>
          <w:kern w:val="2"/>
          <w:sz w:val="18"/>
          <w:szCs w:val="18"/>
        </w:rPr>
        <w:t xml:space="preserve">-3 </w:t>
      </w:r>
      <w:r>
        <w:rPr>
          <w:rFonts w:hint="eastAsia" w:ascii="Times New Roman" w:hAnsi="Times New Roman" w:cs="Times New Roman"/>
          <w:b/>
          <w:kern w:val="2"/>
          <w:sz w:val="18"/>
          <w:szCs w:val="18"/>
        </w:rPr>
        <w:t>产品成本和费用估算表</w:t>
      </w:r>
    </w:p>
    <w:tbl>
      <w:tblPr>
        <w:tblStyle w:val="23"/>
        <w:tblW w:w="8520" w:type="dxa"/>
        <w:tblInd w:w="0" w:type="dxa"/>
        <w:tblLayout w:type="autofit"/>
        <w:tblCellMar>
          <w:top w:w="0" w:type="dxa"/>
          <w:left w:w="108" w:type="dxa"/>
          <w:bottom w:w="0" w:type="dxa"/>
          <w:right w:w="108" w:type="dxa"/>
        </w:tblCellMar>
      </w:tblPr>
      <w:tblGrid>
        <w:gridCol w:w="2280"/>
        <w:gridCol w:w="1760"/>
        <w:gridCol w:w="1740"/>
        <w:gridCol w:w="2740"/>
      </w:tblGrid>
      <w:tr>
        <w:tblPrEx>
          <w:tblCellMar>
            <w:top w:w="0" w:type="dxa"/>
            <w:left w:w="108" w:type="dxa"/>
            <w:bottom w:w="0" w:type="dxa"/>
            <w:right w:w="108" w:type="dxa"/>
          </w:tblCellMar>
        </w:tblPrEx>
        <w:trPr>
          <w:trHeight w:val="280" w:hRule="atLeast"/>
        </w:trPr>
        <w:tc>
          <w:tcPr>
            <w:tcW w:w="2280" w:type="dxa"/>
            <w:tcBorders>
              <w:top w:val="single" w:color="B4C6E7" w:sz="4" w:space="0"/>
              <w:left w:val="single" w:color="B4C6E7" w:sz="4" w:space="0"/>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序号</w:t>
            </w:r>
          </w:p>
        </w:tc>
        <w:tc>
          <w:tcPr>
            <w:tcW w:w="1760" w:type="dxa"/>
            <w:tcBorders>
              <w:top w:val="single" w:color="B4C6E7" w:sz="4" w:space="0"/>
              <w:left w:val="nil"/>
              <w:bottom w:val="single" w:color="B4C6E7" w:sz="4" w:space="0"/>
              <w:right w:val="single" w:color="B4C6E7" w:sz="4"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项目</w:t>
            </w:r>
          </w:p>
        </w:tc>
        <w:tc>
          <w:tcPr>
            <w:tcW w:w="17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估算成本（万元）</w:t>
            </w:r>
          </w:p>
        </w:tc>
        <w:tc>
          <w:tcPr>
            <w:tcW w:w="274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占生产成本比例（</w:t>
            </w:r>
            <w:r>
              <w:rPr>
                <w:rFonts w:ascii="Times New Roman" w:hAnsi="Times New Roman" w:cs="Times New Roman"/>
                <w:b/>
                <w:bCs/>
                <w:color w:val="FFFFFF"/>
                <w:szCs w:val="21"/>
              </w:rPr>
              <w:t>%</w:t>
            </w:r>
            <w:r>
              <w:rPr>
                <w:rFonts w:hint="eastAsia" w:ascii="宋体" w:hAnsi="宋体" w:cs="宋体"/>
                <w:b/>
                <w:bCs/>
                <w:color w:val="FFFFFF"/>
                <w:szCs w:val="21"/>
              </w:rPr>
              <w:t>）</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w:t>
            </w:r>
          </w:p>
        </w:tc>
        <w:tc>
          <w:tcPr>
            <w:tcW w:w="1760" w:type="dxa"/>
            <w:tcBorders>
              <w:top w:val="nil"/>
              <w:left w:val="nil"/>
              <w:bottom w:val="single" w:color="B4C6E7" w:sz="4" w:space="0"/>
              <w:right w:val="single" w:color="B4C6E7" w:sz="4" w:space="0"/>
            </w:tcBorders>
            <w:shd w:val="clear" w:color="000000" w:fill="D9E2F3"/>
            <w:noWrap/>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原材料及辅助费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172293.77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37.84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2</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燃料动力费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273223.18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60.00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3</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人工费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638.35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0.14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4</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折旧费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2349.17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0.52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摊销费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473.49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0.10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6</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维修费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64.18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0.01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7</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管理费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198.40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0.04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8</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财务费</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593.75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0.13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9</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销售费</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5221.27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1.15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其他直接支出</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317.41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0.07 </w:t>
            </w:r>
          </w:p>
        </w:tc>
      </w:tr>
      <w:tr>
        <w:tblPrEx>
          <w:tblCellMar>
            <w:top w:w="0" w:type="dxa"/>
            <w:left w:w="108" w:type="dxa"/>
            <w:bottom w:w="0" w:type="dxa"/>
            <w:right w:w="108" w:type="dxa"/>
          </w:tblCellMar>
        </w:tblPrEx>
        <w:trPr>
          <w:trHeight w:val="280" w:hRule="atLeast"/>
        </w:trPr>
        <w:tc>
          <w:tcPr>
            <w:tcW w:w="2280" w:type="dxa"/>
            <w:vMerge w:val="restart"/>
            <w:tcBorders>
              <w:top w:val="nil"/>
              <w:left w:val="single" w:color="B4C6E7" w:sz="4" w:space="0"/>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Cs w:val="21"/>
              </w:rPr>
            </w:pPr>
            <w:r>
              <w:rPr>
                <w:rFonts w:hint="eastAsia" w:ascii="宋体" w:hAnsi="宋体" w:cs="宋体"/>
                <w:color w:val="000000"/>
                <w:szCs w:val="21"/>
              </w:rPr>
              <w:t>总计</w:t>
            </w: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总成本费用</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455372.97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100.00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宋体" w:hAnsi="宋体" w:cs="宋体"/>
                <w:color w:val="000000"/>
                <w:szCs w:val="21"/>
              </w:rPr>
            </w:pP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可变成本</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451055.63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99.05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宋体" w:hAnsi="宋体" w:cs="宋体"/>
                <w:color w:val="000000"/>
                <w:szCs w:val="21"/>
              </w:rPr>
            </w:pPr>
          </w:p>
        </w:tc>
        <w:tc>
          <w:tcPr>
            <w:tcW w:w="176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固定成本</w:t>
            </w:r>
          </w:p>
        </w:tc>
        <w:tc>
          <w:tcPr>
            <w:tcW w:w="1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4317.34 </w:t>
            </w:r>
          </w:p>
        </w:tc>
        <w:tc>
          <w:tcPr>
            <w:tcW w:w="2740" w:type="dxa"/>
            <w:tcBorders>
              <w:top w:val="nil"/>
              <w:left w:val="nil"/>
              <w:bottom w:val="single" w:color="B4C6E7" w:sz="4" w:space="0"/>
              <w:right w:val="single" w:color="B4C6E7" w:sz="4" w:space="0"/>
            </w:tcBorders>
            <w:shd w:val="clear" w:color="000000" w:fill="D9E2F3"/>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0.95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宋体" w:hAnsi="宋体" w:cs="宋体"/>
                <w:color w:val="000000"/>
                <w:szCs w:val="21"/>
              </w:rPr>
            </w:pPr>
          </w:p>
        </w:tc>
        <w:tc>
          <w:tcPr>
            <w:tcW w:w="176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宋体" w:hAnsi="宋体" w:cs="宋体"/>
                <w:color w:val="000000"/>
                <w:sz w:val="22"/>
              </w:rPr>
            </w:pPr>
            <w:r>
              <w:rPr>
                <w:rFonts w:hint="eastAsia" w:ascii="宋体" w:hAnsi="宋体" w:cs="宋体"/>
                <w:color w:val="000000"/>
                <w:sz w:val="22"/>
              </w:rPr>
              <w:t>经营成本</w:t>
            </w:r>
          </w:p>
        </w:tc>
        <w:tc>
          <w:tcPr>
            <w:tcW w:w="1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451892.38 </w:t>
            </w:r>
          </w:p>
        </w:tc>
        <w:tc>
          <w:tcPr>
            <w:tcW w:w="2740" w:type="dxa"/>
            <w:tcBorders>
              <w:top w:val="nil"/>
              <w:left w:val="nil"/>
              <w:bottom w:val="single" w:color="B4C6E7" w:sz="4" w:space="0"/>
              <w:right w:val="single" w:color="B4C6E7" w:sz="4"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 w:val="22"/>
              </w:rPr>
            </w:pPr>
            <w:r>
              <w:rPr>
                <w:rFonts w:ascii="Times New Roman" w:hAnsi="Times New Roman" w:eastAsia="等线" w:cs="Times New Roman"/>
                <w:color w:val="000000"/>
                <w:sz w:val="22"/>
              </w:rPr>
              <w:t xml:space="preserve">99.24 </w:t>
            </w:r>
          </w:p>
        </w:tc>
      </w:tr>
    </w:tbl>
    <w:p>
      <w:pPr>
        <w:spacing w:before="156" w:after="156"/>
        <w:ind w:firstLine="361" w:firstLineChars="200"/>
        <w:jc w:val="center"/>
        <w:rPr>
          <w:rFonts w:ascii="Times New Roman" w:hAnsi="Times New Roman" w:cs="Times New Roman"/>
          <w:b/>
          <w:kern w:val="2"/>
          <w:sz w:val="18"/>
          <w:szCs w:val="18"/>
        </w:rPr>
      </w:pPr>
    </w:p>
    <w:p>
      <w:pPr>
        <w:pStyle w:val="3"/>
        <w:spacing w:before="156" w:after="156"/>
        <w:rPr>
          <w:rFonts w:ascii="Times New Roman" w:hAnsi="Times New Roman" w:eastAsia="宋体" w:cs="Times New Roman"/>
        </w:rPr>
      </w:pPr>
      <w:bookmarkStart w:id="108" w:name="_Toc141670036"/>
      <w:r>
        <w:rPr>
          <w:rFonts w:ascii="Times New Roman" w:hAnsi="Times New Roman" w:eastAsia="宋体" w:cs="Times New Roman"/>
        </w:rPr>
        <w:t>9.2 销售收入和税金估算</w:t>
      </w:r>
      <w:bookmarkEnd w:id="108"/>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09" w:name="_Toc141670037"/>
      <w:r>
        <w:rPr>
          <w:rFonts w:ascii="Times New Roman" w:hAnsi="Times New Roman" w:cs="Times New Roman"/>
          <w:b/>
          <w:bCs/>
          <w:kern w:val="2"/>
          <w:sz w:val="28"/>
          <w:szCs w:val="32"/>
        </w:rPr>
        <w:t xml:space="preserve">9.2.1 </w:t>
      </w:r>
      <w:r>
        <w:rPr>
          <w:rFonts w:hint="eastAsia" w:ascii="Times New Roman" w:hAnsi="Times New Roman" w:cs="Times New Roman"/>
          <w:b/>
          <w:bCs/>
          <w:kern w:val="2"/>
          <w:sz w:val="28"/>
          <w:szCs w:val="32"/>
        </w:rPr>
        <w:t>销售收入</w:t>
      </w:r>
      <w:bookmarkEnd w:id="109"/>
    </w:p>
    <w:p>
      <w:pPr>
        <w:spacing w:before="156" w:after="156"/>
        <w:jc w:val="center"/>
        <w:rPr>
          <w:b/>
          <w:sz w:val="18"/>
          <w:szCs w:val="18"/>
        </w:rPr>
      </w:pPr>
      <w:r>
        <w:rPr>
          <w:rFonts w:hint="eastAsia"/>
          <w:b/>
          <w:sz w:val="18"/>
          <w:szCs w:val="18"/>
        </w:rPr>
        <w:t>表9</w:t>
      </w:r>
      <w:r>
        <w:rPr>
          <w:b/>
          <w:sz w:val="18"/>
          <w:szCs w:val="18"/>
        </w:rPr>
        <w:t xml:space="preserve">-4 </w:t>
      </w:r>
      <w:r>
        <w:rPr>
          <w:rFonts w:hint="eastAsia"/>
          <w:b/>
          <w:sz w:val="18"/>
          <w:szCs w:val="18"/>
        </w:rPr>
        <w:t>产品销售收入表</w:t>
      </w:r>
    </w:p>
    <w:tbl>
      <w:tblPr>
        <w:tblStyle w:val="23"/>
        <w:tblW w:w="10627" w:type="dxa"/>
        <w:jc w:val="center"/>
        <w:tblLayout w:type="autofit"/>
        <w:tblCellMar>
          <w:top w:w="0" w:type="dxa"/>
          <w:left w:w="108" w:type="dxa"/>
          <w:bottom w:w="0" w:type="dxa"/>
          <w:right w:w="108" w:type="dxa"/>
        </w:tblCellMar>
      </w:tblPr>
      <w:tblGrid>
        <w:gridCol w:w="1040"/>
        <w:gridCol w:w="1649"/>
        <w:gridCol w:w="1559"/>
        <w:gridCol w:w="1843"/>
        <w:gridCol w:w="2268"/>
        <w:gridCol w:w="2268"/>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1649"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产品</w:t>
            </w:r>
          </w:p>
        </w:tc>
        <w:tc>
          <w:tcPr>
            <w:tcW w:w="1559"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规格（wt%）</w:t>
            </w:r>
          </w:p>
        </w:tc>
        <w:tc>
          <w:tcPr>
            <w:tcW w:w="1843"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产量（吨/年）</w:t>
            </w:r>
          </w:p>
        </w:tc>
        <w:tc>
          <w:tcPr>
            <w:tcW w:w="2268"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单位售价（元/吨）</w:t>
            </w:r>
          </w:p>
        </w:tc>
        <w:tc>
          <w:tcPr>
            <w:tcW w:w="2268"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总售价（万元/年）</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64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己二腈</w:t>
            </w:r>
          </w:p>
        </w:tc>
        <w:tc>
          <w:tcPr>
            <w:tcW w:w="155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99.99</w:t>
            </w:r>
          </w:p>
        </w:tc>
        <w:tc>
          <w:tcPr>
            <w:tcW w:w="184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107777.8851</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35000</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377222.60</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164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己二腈二聚物</w:t>
            </w:r>
          </w:p>
        </w:tc>
        <w:tc>
          <w:tcPr>
            <w:tcW w:w="155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99</w:t>
            </w:r>
          </w:p>
        </w:tc>
        <w:tc>
          <w:tcPr>
            <w:tcW w:w="184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5120.513694</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10000</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5120.51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164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ICCP</w:t>
            </w:r>
          </w:p>
        </w:tc>
        <w:tc>
          <w:tcPr>
            <w:tcW w:w="155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99.1</w:t>
            </w:r>
          </w:p>
        </w:tc>
        <w:tc>
          <w:tcPr>
            <w:tcW w:w="184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17472.95196</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80000</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139783.62</w:t>
            </w:r>
          </w:p>
        </w:tc>
      </w:tr>
      <w:tr>
        <w:tblPrEx>
          <w:tblCellMar>
            <w:top w:w="0" w:type="dxa"/>
            <w:left w:w="108" w:type="dxa"/>
            <w:bottom w:w="0" w:type="dxa"/>
            <w:right w:w="108" w:type="dxa"/>
          </w:tblCellMar>
        </w:tblPrEx>
        <w:trPr>
          <w:trHeight w:val="280" w:hRule="atLeast"/>
          <w:jc w:val="center"/>
        </w:trPr>
        <w:tc>
          <w:tcPr>
            <w:tcW w:w="8359" w:type="dxa"/>
            <w:gridSpan w:val="5"/>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总计（万元/年）</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522126.7273</w:t>
            </w:r>
          </w:p>
        </w:tc>
      </w:tr>
    </w:tbl>
    <w:p>
      <w:pPr>
        <w:keepLines/>
        <w:autoSpaceDE/>
        <w:autoSpaceDN/>
        <w:spacing w:before="0" w:beforeLines="0" w:after="0" w:afterLines="0"/>
        <w:jc w:val="both"/>
        <w:outlineLvl w:val="2"/>
        <w:rPr>
          <w:rFonts w:ascii="Times New Roman" w:hAnsi="Times New Roman" w:cs="Times New Roman"/>
          <w:b/>
          <w:bCs/>
          <w:kern w:val="2"/>
          <w:sz w:val="28"/>
          <w:szCs w:val="32"/>
        </w:rPr>
      </w:pPr>
      <w:bookmarkStart w:id="110" w:name="_Toc141670038"/>
      <w:r>
        <w:rPr>
          <w:rFonts w:hint="eastAsia" w:ascii="Times New Roman" w:hAnsi="Times New Roman" w:cs="Times New Roman"/>
          <w:b/>
          <w:bCs/>
          <w:kern w:val="2"/>
          <w:sz w:val="28"/>
          <w:szCs w:val="32"/>
        </w:rPr>
        <w:t>9</w:t>
      </w:r>
      <w:r>
        <w:rPr>
          <w:rFonts w:ascii="Times New Roman" w:hAnsi="Times New Roman" w:cs="Times New Roman"/>
          <w:b/>
          <w:bCs/>
          <w:kern w:val="2"/>
          <w:sz w:val="28"/>
          <w:szCs w:val="32"/>
        </w:rPr>
        <w:t>.2.2</w:t>
      </w:r>
      <w:r>
        <w:rPr>
          <w:rFonts w:hint="eastAsia" w:ascii="Times New Roman" w:hAnsi="Times New Roman" w:cs="Times New Roman"/>
          <w:b/>
          <w:bCs/>
          <w:kern w:val="2"/>
          <w:sz w:val="28"/>
          <w:szCs w:val="32"/>
        </w:rPr>
        <w:t>税金估算</w:t>
      </w:r>
      <w:bookmarkEnd w:id="110"/>
    </w:p>
    <w:p>
      <w:pPr>
        <w:spacing w:before="156" w:after="156"/>
      </w:pPr>
      <w:r>
        <w:rPr>
          <w:rFonts w:hint="eastAsia"/>
        </w:rPr>
        <w:t>本项目的应纳税额分为企业所得税、增值税、城市维护建设税、教育附加税。</w:t>
      </w:r>
    </w:p>
    <w:p>
      <w:pPr>
        <w:spacing w:before="156" w:after="156"/>
      </w:pPr>
      <w:r>
        <w:rPr>
          <w:rFonts w:hint="eastAsia"/>
        </w:rPr>
        <w:t>关于增值税的取用：财政部、国家税务总局、海关总署等三部门发布《关于深化增值税改革有关政策的公告》。公告明确，</w:t>
      </w:r>
      <w:r>
        <w:t>2019 年4 月1日起增值税一般纳税人发生增值税应税</w:t>
      </w:r>
      <w:r>
        <w:rPr>
          <w:rFonts w:hint="eastAsia"/>
        </w:rPr>
        <w:t>销售行为或者进口货物，原适用</w:t>
      </w:r>
      <w:r>
        <w:t xml:space="preserve"> 16%税率的，税率调整为 13%；原适用 10%税率的，</w:t>
      </w:r>
      <w:r>
        <w:rPr>
          <w:rFonts w:hint="eastAsia"/>
        </w:rPr>
        <w:t>税率调整为</w:t>
      </w:r>
      <w:r>
        <w:t>9%</w:t>
      </w:r>
      <w:r>
        <w:rPr>
          <w:rFonts w:hint="eastAsia"/>
        </w:rPr>
        <w:t>。</w:t>
      </w:r>
    </w:p>
    <w:p>
      <w:pPr>
        <w:spacing w:before="156" w:after="156"/>
        <w:jc w:val="center"/>
        <w:rPr>
          <w:b/>
          <w:sz w:val="18"/>
          <w:szCs w:val="18"/>
        </w:rPr>
      </w:pPr>
      <w:r>
        <w:rPr>
          <w:rFonts w:hint="eastAsia"/>
          <w:b/>
          <w:sz w:val="18"/>
          <w:szCs w:val="18"/>
        </w:rPr>
        <w:t>表9</w:t>
      </w:r>
      <w:r>
        <w:rPr>
          <w:b/>
          <w:sz w:val="18"/>
          <w:szCs w:val="18"/>
        </w:rPr>
        <w:t xml:space="preserve">-5 </w:t>
      </w:r>
      <w:r>
        <w:rPr>
          <w:rFonts w:hint="eastAsia"/>
          <w:b/>
          <w:sz w:val="18"/>
          <w:szCs w:val="18"/>
        </w:rPr>
        <w:t>税金估算表</w:t>
      </w:r>
    </w:p>
    <w:tbl>
      <w:tblPr>
        <w:tblStyle w:val="23"/>
        <w:tblW w:w="6516" w:type="dxa"/>
        <w:jc w:val="center"/>
        <w:tblLayout w:type="autofit"/>
        <w:tblCellMar>
          <w:top w:w="0" w:type="dxa"/>
          <w:left w:w="108" w:type="dxa"/>
          <w:bottom w:w="0" w:type="dxa"/>
          <w:right w:w="108" w:type="dxa"/>
        </w:tblCellMar>
      </w:tblPr>
      <w:tblGrid>
        <w:gridCol w:w="846"/>
        <w:gridCol w:w="2334"/>
        <w:gridCol w:w="1380"/>
        <w:gridCol w:w="1956"/>
      </w:tblGrid>
      <w:tr>
        <w:tblPrEx>
          <w:tblCellMar>
            <w:top w:w="0" w:type="dxa"/>
            <w:left w:w="108" w:type="dxa"/>
            <w:bottom w:w="0" w:type="dxa"/>
            <w:right w:w="108" w:type="dxa"/>
          </w:tblCellMar>
        </w:tblPrEx>
        <w:trPr>
          <w:trHeight w:val="280" w:hRule="atLeast"/>
          <w:jc w:val="center"/>
        </w:trPr>
        <w:tc>
          <w:tcPr>
            <w:tcW w:w="846"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334"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38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税率（%）</w:t>
            </w:r>
          </w:p>
        </w:tc>
        <w:tc>
          <w:tcPr>
            <w:tcW w:w="1956"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税金（万元）</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33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产品销售收入</w:t>
            </w:r>
          </w:p>
        </w:tc>
        <w:tc>
          <w:tcPr>
            <w:tcW w:w="1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p>
        </w:tc>
        <w:tc>
          <w:tcPr>
            <w:tcW w:w="19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522126.7273</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p>
        </w:tc>
        <w:tc>
          <w:tcPr>
            <w:tcW w:w="233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销项税额</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w:t>
            </w:r>
          </w:p>
        </w:tc>
        <w:tc>
          <w:tcPr>
            <w:tcW w:w="19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60067.67659</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33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产品总成本</w:t>
            </w:r>
          </w:p>
        </w:tc>
        <w:tc>
          <w:tcPr>
            <w:tcW w:w="1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p>
        </w:tc>
        <w:tc>
          <w:tcPr>
            <w:tcW w:w="19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455372.97</w:t>
            </w:r>
          </w:p>
        </w:tc>
      </w:tr>
      <w:tr>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p>
        </w:tc>
        <w:tc>
          <w:tcPr>
            <w:tcW w:w="233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购入原材料和动力费</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p>
        </w:tc>
        <w:tc>
          <w:tcPr>
            <w:tcW w:w="19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445516.9464</w:t>
            </w:r>
          </w:p>
        </w:tc>
      </w:tr>
      <w:tr>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p>
        </w:tc>
        <w:tc>
          <w:tcPr>
            <w:tcW w:w="233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进项税额</w:t>
            </w:r>
          </w:p>
        </w:tc>
        <w:tc>
          <w:tcPr>
            <w:tcW w:w="1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w:t>
            </w:r>
          </w:p>
        </w:tc>
        <w:tc>
          <w:tcPr>
            <w:tcW w:w="19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51254.16198</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p>
        </w:tc>
        <w:tc>
          <w:tcPr>
            <w:tcW w:w="233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增值税</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13</w:t>
            </w:r>
          </w:p>
        </w:tc>
        <w:tc>
          <w:tcPr>
            <w:tcW w:w="19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8813.51462</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p>
        </w:tc>
        <w:tc>
          <w:tcPr>
            <w:tcW w:w="233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城市维护建设费</w:t>
            </w:r>
          </w:p>
        </w:tc>
        <w:tc>
          <w:tcPr>
            <w:tcW w:w="1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w:t>
            </w:r>
          </w:p>
        </w:tc>
        <w:tc>
          <w:tcPr>
            <w:tcW w:w="19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616.9460234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33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教育附加税</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19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264.4054386</w:t>
            </w:r>
          </w:p>
        </w:tc>
      </w:tr>
      <w:tr>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33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138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p>
        </w:tc>
        <w:tc>
          <w:tcPr>
            <w:tcW w:w="195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9694.866081</w:t>
            </w:r>
          </w:p>
        </w:tc>
      </w:tr>
      <w:tr>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33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企业所得税</w:t>
            </w:r>
          </w:p>
        </w:tc>
        <w:tc>
          <w:tcPr>
            <w:tcW w:w="138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25</w:t>
            </w:r>
          </w:p>
        </w:tc>
        <w:tc>
          <w:tcPr>
            <w:tcW w:w="195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ascii="等线" w:hAnsi="等线" w:eastAsia="等线" w:cs="宋体"/>
                <w:color w:val="000000"/>
                <w:sz w:val="22"/>
              </w:rPr>
              <w:t>16688.43932</w:t>
            </w:r>
          </w:p>
        </w:tc>
      </w:tr>
    </w:tbl>
    <w:p>
      <w:pPr>
        <w:pStyle w:val="3"/>
        <w:spacing w:before="156" w:after="156"/>
        <w:rPr>
          <w:rFonts w:ascii="Times New Roman" w:hAnsi="Times New Roman" w:eastAsia="宋体" w:cs="Times New Roman"/>
        </w:rPr>
      </w:pPr>
      <w:bookmarkStart w:id="111" w:name="_Toc141670039"/>
      <w:r>
        <w:rPr>
          <w:rFonts w:ascii="Times New Roman" w:hAnsi="Times New Roman" w:eastAsia="宋体" w:cs="Times New Roman"/>
        </w:rPr>
        <w:t>9.3 财务分析报表</w:t>
      </w:r>
      <w:bookmarkEnd w:id="111"/>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12" w:name="_Toc141670040"/>
      <w:r>
        <w:rPr>
          <w:rFonts w:hint="eastAsia" w:ascii="Times New Roman" w:hAnsi="Times New Roman" w:cs="Times New Roman"/>
          <w:b/>
          <w:bCs/>
          <w:kern w:val="2"/>
          <w:sz w:val="28"/>
          <w:szCs w:val="32"/>
        </w:rPr>
        <w:t>9</w:t>
      </w:r>
      <w:r>
        <w:rPr>
          <w:rFonts w:ascii="Times New Roman" w:hAnsi="Times New Roman" w:cs="Times New Roman"/>
          <w:b/>
          <w:bCs/>
          <w:kern w:val="2"/>
          <w:sz w:val="28"/>
          <w:szCs w:val="32"/>
        </w:rPr>
        <w:t>.3.1</w:t>
      </w:r>
      <w:r>
        <w:rPr>
          <w:rFonts w:hint="eastAsia" w:ascii="Times New Roman" w:hAnsi="Times New Roman" w:cs="Times New Roman"/>
          <w:b/>
          <w:bCs/>
          <w:kern w:val="2"/>
          <w:sz w:val="28"/>
          <w:szCs w:val="32"/>
        </w:rPr>
        <w:t>税后利润估算及利润分配表</w:t>
      </w:r>
      <w:bookmarkEnd w:id="112"/>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由前面的计算结果可得，正常年税前利润总额</w:t>
      </w:r>
      <w:r>
        <w:rPr>
          <w:rFonts w:ascii="Times New Roman" w:hAnsi="Times New Roman" w:cs="Times New Roman"/>
          <w:kern w:val="2"/>
        </w:rPr>
        <w:t>=销售收入-总费用成本-销售税金及附加=</w:t>
      </w:r>
      <w:r>
        <w:t xml:space="preserve"> </w:t>
      </w:r>
      <w:r>
        <w:rPr>
          <w:rFonts w:ascii="Times New Roman" w:hAnsi="Times New Roman" w:cs="Times New Roman"/>
          <w:kern w:val="2"/>
        </w:rPr>
        <w:t>522126.7273-</w:t>
      </w:r>
      <w:r>
        <w:t xml:space="preserve"> </w:t>
      </w:r>
      <w:r>
        <w:rPr>
          <w:rFonts w:ascii="Times New Roman" w:hAnsi="Times New Roman" w:cs="Times New Roman"/>
          <w:kern w:val="2"/>
        </w:rPr>
        <w:t>455372.97-</w:t>
      </w:r>
      <w:r>
        <w:t xml:space="preserve"> </w:t>
      </w:r>
      <w:r>
        <w:rPr>
          <w:rFonts w:ascii="Times New Roman" w:hAnsi="Times New Roman" w:cs="Times New Roman"/>
          <w:kern w:val="2"/>
        </w:rPr>
        <w:t>9694.866081 =</w:t>
      </w:r>
      <w:r>
        <w:t xml:space="preserve"> </w:t>
      </w:r>
      <w:r>
        <w:rPr>
          <w:rFonts w:ascii="Times New Roman" w:hAnsi="Times New Roman" w:cs="Times New Roman"/>
          <w:kern w:val="2"/>
        </w:rPr>
        <w:t>57058.89万元。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按正常年份</w:t>
      </w:r>
      <w:r>
        <w:rPr>
          <w:rFonts w:ascii="Times New Roman" w:hAnsi="Times New Roman" w:cs="Times New Roman"/>
          <w:kern w:val="2"/>
        </w:rPr>
        <w:t>25%的税率缴纳所得税，则所得税=</w:t>
      </w:r>
      <w:r>
        <w:t xml:space="preserve"> </w:t>
      </w:r>
      <w:r>
        <w:rPr>
          <w:rFonts w:ascii="Times New Roman" w:hAnsi="Times New Roman" w:cs="Times New Roman"/>
          <w:kern w:val="2"/>
        </w:rPr>
        <w:t>14264.7228万元，净利</w:t>
      </w:r>
      <w:r>
        <w:rPr>
          <w:rFonts w:hint="eastAsia" w:ascii="Times New Roman" w:hAnsi="Times New Roman" w:cs="Times New Roman"/>
          <w:kern w:val="2"/>
        </w:rPr>
        <w:t>润</w:t>
      </w:r>
      <w:r>
        <w:rPr>
          <w:rFonts w:ascii="Times New Roman" w:hAnsi="Times New Roman" w:cs="Times New Roman"/>
          <w:kern w:val="2"/>
        </w:rPr>
        <w:t>=利润总额-所得税=</w:t>
      </w:r>
      <w:r>
        <w:t xml:space="preserve"> </w:t>
      </w:r>
      <w:r>
        <w:rPr>
          <w:rFonts w:ascii="Times New Roman" w:hAnsi="Times New Roman" w:cs="Times New Roman"/>
          <w:kern w:val="2"/>
        </w:rPr>
        <w:t>42794.16841万元。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税后利润按</w:t>
      </w:r>
      <w:r>
        <w:rPr>
          <w:rFonts w:ascii="Times New Roman" w:hAnsi="Times New Roman" w:cs="Times New Roman"/>
          <w:kern w:val="2"/>
        </w:rPr>
        <w:t xml:space="preserve"> 10%提取法定盈余公积金，5%提取任意盈余公积金，则：</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法定盈余公积金</w:t>
      </w:r>
      <w:r>
        <w:rPr>
          <w:rFonts w:ascii="Times New Roman" w:hAnsi="Times New Roman" w:cs="Times New Roman"/>
          <w:kern w:val="2"/>
        </w:rPr>
        <w:t>=净利润×0.1=</w:t>
      </w:r>
      <w:r>
        <w:t xml:space="preserve"> </w:t>
      </w:r>
      <w:r>
        <w:rPr>
          <w:rFonts w:ascii="Times New Roman" w:hAnsi="Times New Roman" w:cs="Times New Roman"/>
          <w:kern w:val="2"/>
        </w:rPr>
        <w:t>4279.416841万元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任意盈余公积金</w:t>
      </w:r>
      <w:r>
        <w:rPr>
          <w:rFonts w:ascii="Times New Roman" w:hAnsi="Times New Roman" w:cs="Times New Roman"/>
          <w:kern w:val="2"/>
        </w:rPr>
        <w:t>=净利润×0.05=</w:t>
      </w:r>
      <w:r>
        <w:t xml:space="preserve"> </w:t>
      </w:r>
      <w:r>
        <w:rPr>
          <w:rFonts w:ascii="Times New Roman" w:hAnsi="Times New Roman" w:cs="Times New Roman"/>
          <w:kern w:val="2"/>
        </w:rPr>
        <w:t>2139.70842万元</w:t>
      </w:r>
    </w:p>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未分配利润</w:t>
      </w:r>
      <w:r>
        <w:rPr>
          <w:rFonts w:ascii="Times New Roman" w:hAnsi="Times New Roman" w:cs="Times New Roman"/>
          <w:kern w:val="2"/>
        </w:rPr>
        <w:t>=净利润-法定盈余公积金-任意盈余公积金=</w:t>
      </w:r>
      <w:r>
        <w:t xml:space="preserve"> </w:t>
      </w:r>
      <w:r>
        <w:rPr>
          <w:rFonts w:ascii="Times New Roman" w:hAnsi="Times New Roman" w:cs="Times New Roman"/>
          <w:kern w:val="2"/>
        </w:rPr>
        <w:t>36375.04315万元。</w:t>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表9</w:t>
      </w:r>
      <w:r>
        <w:rPr>
          <w:rFonts w:ascii="Times New Roman" w:hAnsi="Times New Roman" w:cs="Times New Roman"/>
          <w:b/>
          <w:kern w:val="2"/>
          <w:sz w:val="18"/>
          <w:szCs w:val="18"/>
        </w:rPr>
        <w:t xml:space="preserve">-6 </w:t>
      </w:r>
      <w:r>
        <w:rPr>
          <w:rFonts w:hint="eastAsia" w:ascii="Times New Roman" w:hAnsi="Times New Roman" w:cs="Times New Roman"/>
          <w:b/>
          <w:kern w:val="2"/>
          <w:sz w:val="18"/>
          <w:szCs w:val="18"/>
        </w:rPr>
        <w:t>利润及利润分配表</w:t>
      </w:r>
    </w:p>
    <w:tbl>
      <w:tblPr>
        <w:tblStyle w:val="23"/>
        <w:tblW w:w="7933" w:type="dxa"/>
        <w:tblInd w:w="0" w:type="dxa"/>
        <w:tblLayout w:type="autofit"/>
        <w:tblCellMar>
          <w:top w:w="0" w:type="dxa"/>
          <w:left w:w="108" w:type="dxa"/>
          <w:bottom w:w="0" w:type="dxa"/>
          <w:right w:w="108" w:type="dxa"/>
        </w:tblCellMar>
      </w:tblPr>
      <w:tblGrid>
        <w:gridCol w:w="1920"/>
        <w:gridCol w:w="2600"/>
        <w:gridCol w:w="1520"/>
        <w:gridCol w:w="1893"/>
      </w:tblGrid>
      <w:tr>
        <w:tblPrEx>
          <w:tblCellMar>
            <w:top w:w="0" w:type="dxa"/>
            <w:left w:w="108" w:type="dxa"/>
            <w:bottom w:w="0" w:type="dxa"/>
            <w:right w:w="108" w:type="dxa"/>
          </w:tblCellMar>
        </w:tblPrEx>
        <w:trPr>
          <w:trHeight w:val="280" w:hRule="atLeast"/>
        </w:trPr>
        <w:tc>
          <w:tcPr>
            <w:tcW w:w="192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60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1520"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金额（万元）</w:t>
            </w:r>
          </w:p>
        </w:tc>
        <w:tc>
          <w:tcPr>
            <w:tcW w:w="1893"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备注</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6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产品销售收入</w:t>
            </w:r>
          </w:p>
        </w:tc>
        <w:tc>
          <w:tcPr>
            <w:tcW w:w="15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522126.7273</w:t>
            </w:r>
          </w:p>
        </w:tc>
        <w:tc>
          <w:tcPr>
            <w:tcW w:w="1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6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总成本费用</w:t>
            </w:r>
          </w:p>
        </w:tc>
        <w:tc>
          <w:tcPr>
            <w:tcW w:w="15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455372.97</w:t>
            </w:r>
          </w:p>
        </w:tc>
        <w:tc>
          <w:tcPr>
            <w:tcW w:w="1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6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15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9694.866081</w:t>
            </w:r>
          </w:p>
        </w:tc>
        <w:tc>
          <w:tcPr>
            <w:tcW w:w="1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6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利润总额</w:t>
            </w:r>
          </w:p>
        </w:tc>
        <w:tc>
          <w:tcPr>
            <w:tcW w:w="15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57058.89121</w:t>
            </w:r>
          </w:p>
        </w:tc>
        <w:tc>
          <w:tcPr>
            <w:tcW w:w="1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=1-2-3</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6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w:t>
            </w:r>
          </w:p>
        </w:tc>
        <w:tc>
          <w:tcPr>
            <w:tcW w:w="15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14264.7228</w:t>
            </w:r>
          </w:p>
        </w:tc>
        <w:tc>
          <w:tcPr>
            <w:tcW w:w="1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利润总额25%</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6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净利润</w:t>
            </w:r>
          </w:p>
        </w:tc>
        <w:tc>
          <w:tcPr>
            <w:tcW w:w="15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42794.16841</w:t>
            </w:r>
          </w:p>
        </w:tc>
        <w:tc>
          <w:tcPr>
            <w:tcW w:w="1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=4-5</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w:t>
            </w:r>
          </w:p>
        </w:tc>
        <w:tc>
          <w:tcPr>
            <w:tcW w:w="26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法定盈余公积金</w:t>
            </w:r>
          </w:p>
        </w:tc>
        <w:tc>
          <w:tcPr>
            <w:tcW w:w="15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4279.416841</w:t>
            </w:r>
          </w:p>
        </w:tc>
        <w:tc>
          <w:tcPr>
            <w:tcW w:w="1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净利润10%</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w:t>
            </w:r>
          </w:p>
        </w:tc>
        <w:tc>
          <w:tcPr>
            <w:tcW w:w="260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任意盈余公积金</w:t>
            </w:r>
          </w:p>
        </w:tc>
        <w:tc>
          <w:tcPr>
            <w:tcW w:w="1520"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2139.70842</w:t>
            </w:r>
          </w:p>
        </w:tc>
        <w:tc>
          <w:tcPr>
            <w:tcW w:w="18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净利润5%</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w:t>
            </w:r>
          </w:p>
        </w:tc>
        <w:tc>
          <w:tcPr>
            <w:tcW w:w="260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未分配利润</w:t>
            </w:r>
          </w:p>
        </w:tc>
        <w:tc>
          <w:tcPr>
            <w:tcW w:w="1520"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36375.04315</w:t>
            </w:r>
          </w:p>
        </w:tc>
        <w:tc>
          <w:tcPr>
            <w:tcW w:w="18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=6-7-8</w:t>
            </w:r>
          </w:p>
        </w:tc>
      </w:tr>
    </w:tbl>
    <w:p>
      <w:pPr>
        <w:spacing w:before="156" w:after="156"/>
        <w:ind w:firstLine="361" w:firstLineChars="200"/>
        <w:jc w:val="center"/>
        <w:rPr>
          <w:rFonts w:ascii="Times New Roman" w:hAnsi="Times New Roman" w:cs="Times New Roman"/>
          <w:b/>
          <w:kern w:val="2"/>
          <w:sz w:val="18"/>
          <w:szCs w:val="18"/>
        </w:rPr>
      </w:pP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13" w:name="_Toc141670041"/>
      <w:r>
        <w:rPr>
          <w:rFonts w:hint="eastAsia" w:ascii="Times New Roman" w:hAnsi="Times New Roman" w:cs="Times New Roman"/>
          <w:b/>
          <w:bCs/>
          <w:kern w:val="2"/>
          <w:sz w:val="28"/>
          <w:szCs w:val="32"/>
        </w:rPr>
        <w:t>9</w:t>
      </w:r>
      <w:r>
        <w:rPr>
          <w:rFonts w:ascii="Times New Roman" w:hAnsi="Times New Roman" w:cs="Times New Roman"/>
          <w:b/>
          <w:bCs/>
          <w:kern w:val="2"/>
          <w:sz w:val="28"/>
          <w:szCs w:val="32"/>
        </w:rPr>
        <w:t>.3</w:t>
      </w:r>
      <w:r>
        <w:rPr>
          <w:rFonts w:hint="eastAsia" w:ascii="Times New Roman" w:hAnsi="Times New Roman" w:cs="Times New Roman"/>
          <w:b/>
          <w:bCs/>
          <w:kern w:val="2"/>
          <w:sz w:val="28"/>
          <w:szCs w:val="32"/>
        </w:rPr>
        <w:t>.</w:t>
      </w:r>
      <w:r>
        <w:rPr>
          <w:rFonts w:ascii="Times New Roman" w:hAnsi="Times New Roman" w:cs="Times New Roman"/>
          <w:b/>
          <w:bCs/>
          <w:kern w:val="2"/>
          <w:sz w:val="28"/>
          <w:szCs w:val="32"/>
        </w:rPr>
        <w:t xml:space="preserve">2 </w:t>
      </w:r>
      <w:r>
        <w:rPr>
          <w:rFonts w:hint="eastAsia" w:ascii="Times New Roman" w:hAnsi="Times New Roman" w:cs="Times New Roman"/>
          <w:b/>
          <w:bCs/>
          <w:kern w:val="2"/>
          <w:sz w:val="28"/>
          <w:szCs w:val="32"/>
        </w:rPr>
        <w:t>财务现金流量表</w:t>
      </w:r>
      <w:bookmarkEnd w:id="113"/>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表9</w:t>
      </w:r>
      <w:r>
        <w:rPr>
          <w:rFonts w:ascii="Times New Roman" w:hAnsi="Times New Roman" w:cs="Times New Roman"/>
          <w:b/>
          <w:kern w:val="2"/>
          <w:sz w:val="18"/>
          <w:szCs w:val="18"/>
        </w:rPr>
        <w:t xml:space="preserve">-7 </w:t>
      </w:r>
      <w:r>
        <w:rPr>
          <w:rFonts w:hint="eastAsia" w:ascii="Times New Roman" w:hAnsi="Times New Roman" w:cs="Times New Roman"/>
          <w:b/>
          <w:kern w:val="2"/>
          <w:sz w:val="18"/>
          <w:szCs w:val="18"/>
        </w:rPr>
        <w:t>财务现金流量表（一）</w:t>
      </w:r>
    </w:p>
    <w:tbl>
      <w:tblPr>
        <w:tblStyle w:val="23"/>
        <w:tblW w:w="10885" w:type="dxa"/>
        <w:jc w:val="center"/>
        <w:tblLayout w:type="autofit"/>
        <w:tblCellMar>
          <w:top w:w="0" w:type="dxa"/>
          <w:left w:w="108" w:type="dxa"/>
          <w:bottom w:w="0" w:type="dxa"/>
          <w:right w:w="108" w:type="dxa"/>
        </w:tblCellMar>
      </w:tblPr>
      <w:tblGrid>
        <w:gridCol w:w="1129"/>
        <w:gridCol w:w="2835"/>
        <w:gridCol w:w="888"/>
        <w:gridCol w:w="1958"/>
        <w:gridCol w:w="1593"/>
        <w:gridCol w:w="1406"/>
        <w:gridCol w:w="1076"/>
      </w:tblGrid>
      <w:tr>
        <w:tblPrEx>
          <w:tblCellMar>
            <w:top w:w="0" w:type="dxa"/>
            <w:left w:w="108" w:type="dxa"/>
            <w:bottom w:w="0" w:type="dxa"/>
            <w:right w:w="108" w:type="dxa"/>
          </w:tblCellMar>
        </w:tblPrEx>
        <w:trPr>
          <w:trHeight w:val="280" w:hRule="atLeast"/>
          <w:jc w:val="center"/>
        </w:trPr>
        <w:tc>
          <w:tcPr>
            <w:tcW w:w="1129"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835"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5845" w:type="dxa"/>
            <w:gridSpan w:val="4"/>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投产期</w:t>
            </w:r>
          </w:p>
        </w:tc>
        <w:tc>
          <w:tcPr>
            <w:tcW w:w="1076" w:type="dxa"/>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rPr>
                <w:rFonts w:ascii="等线" w:hAnsi="等线" w:eastAsia="等线" w:cs="宋体"/>
                <w:color w:val="FFFFFF"/>
                <w:sz w:val="22"/>
              </w:rPr>
            </w:pPr>
            <w:r>
              <w:rPr>
                <w:rFonts w:hint="eastAsia" w:ascii="等线" w:hAnsi="等线" w:eastAsia="等线" w:cs="宋体"/>
                <w:color w:val="FFFFFF"/>
                <w:sz w:val="22"/>
              </w:rPr>
              <w:t>达产期</w:t>
            </w:r>
          </w:p>
        </w:tc>
      </w:tr>
      <w:tr>
        <w:tblPrEx>
          <w:tblCellMar>
            <w:top w:w="0" w:type="dxa"/>
            <w:left w:w="108" w:type="dxa"/>
            <w:bottom w:w="0" w:type="dxa"/>
            <w:right w:w="108" w:type="dxa"/>
          </w:tblCellMar>
        </w:tblPrEx>
        <w:trPr>
          <w:trHeight w:val="280" w:hRule="atLeast"/>
          <w:jc w:val="center"/>
        </w:trPr>
        <w:tc>
          <w:tcPr>
            <w:tcW w:w="1129"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2835"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888"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0</w:t>
            </w:r>
          </w:p>
        </w:tc>
        <w:tc>
          <w:tcPr>
            <w:tcW w:w="1958"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p>
        </w:tc>
        <w:tc>
          <w:tcPr>
            <w:tcW w:w="1593"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2</w:t>
            </w:r>
          </w:p>
        </w:tc>
        <w:tc>
          <w:tcPr>
            <w:tcW w:w="140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3</w:t>
            </w:r>
          </w:p>
        </w:tc>
        <w:tc>
          <w:tcPr>
            <w:tcW w:w="107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4</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一</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现金流入</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销售收入</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365488.71</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469914.1</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522126.7</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回收固定资产余值</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回收流动资金</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365488.71</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469914.1</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522126.7</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二</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现金流出</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建设期投资</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35738.45</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5360.76749</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经营成本</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316324.67</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406703.1</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451892.4</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6786.4063</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8725.379</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9694.866</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偿还本息</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2000</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2000</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2000</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41099.2174</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325111.07</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417428.5</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463587.2</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所得税前现金流量</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-41099.2174</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40377.637</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52485.53</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58539.48</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四</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累计所得税前净现金流量</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-41099.2174</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-721.5809</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51763.95</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110303.4</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五</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9985.306</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12838.25</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14264.72</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六</w:t>
            </w:r>
          </w:p>
        </w:tc>
        <w:tc>
          <w:tcPr>
            <w:tcW w:w="2835"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所得税后净现金流量</w:t>
            </w:r>
          </w:p>
        </w:tc>
        <w:tc>
          <w:tcPr>
            <w:tcW w:w="88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-41099.2174</w:t>
            </w:r>
          </w:p>
        </w:tc>
        <w:tc>
          <w:tcPr>
            <w:tcW w:w="15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30392.331</w:t>
            </w:r>
          </w:p>
        </w:tc>
        <w:tc>
          <w:tcPr>
            <w:tcW w:w="140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39647.28</w:t>
            </w:r>
          </w:p>
        </w:tc>
        <w:tc>
          <w:tcPr>
            <w:tcW w:w="1076"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44274.76</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七</w:t>
            </w:r>
          </w:p>
        </w:tc>
        <w:tc>
          <w:tcPr>
            <w:tcW w:w="2835"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累计所得税后净现金流量</w:t>
            </w:r>
          </w:p>
        </w:tc>
        <w:tc>
          <w:tcPr>
            <w:tcW w:w="88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w:t>
            </w:r>
          </w:p>
        </w:tc>
        <w:tc>
          <w:tcPr>
            <w:tcW w:w="195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-41099.2174</w:t>
            </w:r>
          </w:p>
        </w:tc>
        <w:tc>
          <w:tcPr>
            <w:tcW w:w="15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-10706.89</w:t>
            </w:r>
          </w:p>
        </w:tc>
        <w:tc>
          <w:tcPr>
            <w:tcW w:w="140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28940.4</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73215.15</w:t>
            </w:r>
          </w:p>
        </w:tc>
      </w:tr>
    </w:tbl>
    <w:p>
      <w:pPr>
        <w:spacing w:before="156" w:after="156"/>
        <w:ind w:firstLine="361" w:firstLineChars="200"/>
        <w:jc w:val="center"/>
        <w:rPr>
          <w:rFonts w:ascii="Times New Roman" w:hAnsi="Times New Roman" w:cs="Times New Roman"/>
          <w:b/>
          <w:kern w:val="2"/>
          <w:sz w:val="18"/>
          <w:szCs w:val="18"/>
        </w:rPr>
      </w:pP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表9</w:t>
      </w:r>
      <w:r>
        <w:rPr>
          <w:rFonts w:ascii="Times New Roman" w:hAnsi="Times New Roman" w:cs="Times New Roman"/>
          <w:b/>
          <w:kern w:val="2"/>
          <w:sz w:val="18"/>
          <w:szCs w:val="18"/>
        </w:rPr>
        <w:t xml:space="preserve">-8 </w:t>
      </w:r>
      <w:r>
        <w:rPr>
          <w:rFonts w:hint="eastAsia" w:ascii="Times New Roman" w:hAnsi="Times New Roman" w:cs="Times New Roman"/>
          <w:b/>
          <w:kern w:val="2"/>
          <w:sz w:val="18"/>
          <w:szCs w:val="18"/>
        </w:rPr>
        <w:t>财务现金流量表（二）</w:t>
      </w:r>
    </w:p>
    <w:tbl>
      <w:tblPr>
        <w:tblStyle w:val="23"/>
        <w:tblW w:w="11426" w:type="dxa"/>
        <w:jc w:val="center"/>
        <w:tblLayout w:type="autofit"/>
        <w:tblCellMar>
          <w:top w:w="0" w:type="dxa"/>
          <w:left w:w="108" w:type="dxa"/>
          <w:bottom w:w="0" w:type="dxa"/>
          <w:right w:w="108" w:type="dxa"/>
        </w:tblCellMar>
      </w:tblPr>
      <w:tblGrid>
        <w:gridCol w:w="562"/>
        <w:gridCol w:w="2268"/>
        <w:gridCol w:w="1287"/>
        <w:gridCol w:w="1444"/>
        <w:gridCol w:w="1593"/>
        <w:gridCol w:w="1424"/>
        <w:gridCol w:w="1424"/>
        <w:gridCol w:w="1424"/>
      </w:tblGrid>
      <w:tr>
        <w:tblPrEx>
          <w:tblCellMar>
            <w:top w:w="0" w:type="dxa"/>
            <w:left w:w="108" w:type="dxa"/>
            <w:bottom w:w="0" w:type="dxa"/>
            <w:right w:w="108" w:type="dxa"/>
          </w:tblCellMar>
        </w:tblPrEx>
        <w:trPr>
          <w:trHeight w:val="280" w:hRule="atLeast"/>
          <w:jc w:val="center"/>
        </w:trPr>
        <w:tc>
          <w:tcPr>
            <w:tcW w:w="562"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序号</w:t>
            </w:r>
          </w:p>
        </w:tc>
        <w:tc>
          <w:tcPr>
            <w:tcW w:w="2268"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项目</w:t>
            </w:r>
          </w:p>
        </w:tc>
        <w:tc>
          <w:tcPr>
            <w:tcW w:w="8596" w:type="dxa"/>
            <w:gridSpan w:val="6"/>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达产期</w:t>
            </w:r>
          </w:p>
        </w:tc>
      </w:tr>
      <w:tr>
        <w:tblPrEx>
          <w:tblCellMar>
            <w:top w:w="0" w:type="dxa"/>
            <w:left w:w="108" w:type="dxa"/>
            <w:bottom w:w="0" w:type="dxa"/>
            <w:right w:w="108" w:type="dxa"/>
          </w:tblCellMar>
        </w:tblPrEx>
        <w:trPr>
          <w:trHeight w:val="280" w:hRule="atLeast"/>
          <w:jc w:val="center"/>
        </w:trPr>
        <w:tc>
          <w:tcPr>
            <w:tcW w:w="562"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2268"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等线" w:hAnsi="等线" w:eastAsia="等线" w:cs="宋体"/>
                <w:color w:val="FFFFFF"/>
                <w:sz w:val="18"/>
                <w:szCs w:val="18"/>
              </w:rPr>
            </w:pPr>
          </w:p>
        </w:tc>
        <w:tc>
          <w:tcPr>
            <w:tcW w:w="1287"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5</w:t>
            </w:r>
          </w:p>
        </w:tc>
        <w:tc>
          <w:tcPr>
            <w:tcW w:w="144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6</w:t>
            </w:r>
          </w:p>
        </w:tc>
        <w:tc>
          <w:tcPr>
            <w:tcW w:w="1593"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7</w:t>
            </w:r>
          </w:p>
        </w:tc>
        <w:tc>
          <w:tcPr>
            <w:tcW w:w="142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8</w:t>
            </w:r>
          </w:p>
        </w:tc>
        <w:tc>
          <w:tcPr>
            <w:tcW w:w="142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9</w:t>
            </w:r>
          </w:p>
        </w:tc>
        <w:tc>
          <w:tcPr>
            <w:tcW w:w="142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18"/>
                <w:szCs w:val="18"/>
              </w:rPr>
            </w:pPr>
            <w:r>
              <w:rPr>
                <w:rFonts w:hint="eastAsia" w:ascii="等线" w:hAnsi="等线" w:eastAsia="等线" w:cs="宋体"/>
                <w:color w:val="FFFFFF"/>
                <w:sz w:val="18"/>
                <w:szCs w:val="18"/>
              </w:rPr>
              <w:t>1</w:t>
            </w:r>
            <w:r>
              <w:rPr>
                <w:rFonts w:ascii="等线" w:hAnsi="等线" w:eastAsia="等线" w:cs="宋体"/>
                <w:color w:val="FFFFFF"/>
                <w:sz w:val="18"/>
                <w:szCs w:val="18"/>
              </w:rPr>
              <w:t>0</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一</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现金流入</w:t>
            </w:r>
          </w:p>
        </w:tc>
        <w:tc>
          <w:tcPr>
            <w:tcW w:w="1287"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olor w:val="000000"/>
                <w:sz w:val="18"/>
                <w:szCs w:val="18"/>
              </w:rPr>
              <w:t>　</w:t>
            </w:r>
          </w:p>
        </w:tc>
        <w:tc>
          <w:tcPr>
            <w:tcW w:w="144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18"/>
                <w:szCs w:val="18"/>
              </w:rPr>
            </w:pPr>
            <w:r>
              <w:rPr>
                <w:rFonts w:hint="eastAsia" w:ascii="等线" w:hAnsi="等线" w:eastAsia="等线"/>
                <w:color w:val="000000"/>
                <w:sz w:val="18"/>
                <w:szCs w:val="18"/>
              </w:rPr>
              <w:t>　</w:t>
            </w:r>
          </w:p>
        </w:tc>
        <w:tc>
          <w:tcPr>
            <w:tcW w:w="1593"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18"/>
                <w:szCs w:val="18"/>
              </w:rPr>
            </w:pPr>
            <w:r>
              <w:rPr>
                <w:rFonts w:hint="eastAsia" w:ascii="等线" w:hAnsi="等线" w:eastAsia="等线"/>
                <w:color w:val="000000"/>
                <w:sz w:val="18"/>
                <w:szCs w:val="18"/>
              </w:rPr>
              <w:t>　</w:t>
            </w:r>
          </w:p>
        </w:tc>
        <w:tc>
          <w:tcPr>
            <w:tcW w:w="142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18"/>
                <w:szCs w:val="18"/>
              </w:rPr>
            </w:pPr>
            <w:r>
              <w:rPr>
                <w:rFonts w:hint="eastAsia" w:ascii="等线" w:hAnsi="等线" w:eastAsia="等线"/>
                <w:color w:val="000000"/>
                <w:sz w:val="18"/>
                <w:szCs w:val="18"/>
              </w:rPr>
              <w:t>　</w:t>
            </w:r>
          </w:p>
        </w:tc>
        <w:tc>
          <w:tcPr>
            <w:tcW w:w="142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18"/>
                <w:szCs w:val="18"/>
              </w:rPr>
            </w:pPr>
            <w:r>
              <w:rPr>
                <w:rFonts w:hint="eastAsia" w:ascii="等线" w:hAnsi="等线" w:eastAsia="等线"/>
                <w:color w:val="000000"/>
                <w:sz w:val="18"/>
                <w:szCs w:val="18"/>
              </w:rPr>
              <w:t>　</w:t>
            </w:r>
          </w:p>
        </w:tc>
        <w:tc>
          <w:tcPr>
            <w:tcW w:w="142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18"/>
                <w:szCs w:val="18"/>
              </w:rPr>
            </w:pPr>
            <w:r>
              <w:rPr>
                <w:rFonts w:hint="eastAsia" w:ascii="等线" w:hAnsi="等线" w:eastAsia="等线"/>
                <w:color w:val="000000"/>
                <w:sz w:val="18"/>
                <w:szCs w:val="18"/>
              </w:rPr>
              <w:t>　</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销售收入</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回收固定资产余值</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回收流动资金</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4</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小计</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522126.7273</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二</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现金流出</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1</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建设期投资</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2</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流动资金及建设期利息</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3</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经营成本</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451892.3804</w:t>
            </w: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451892.3804</w:t>
            </w: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451892.3804</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451892.3804</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451892.3804</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451892.3804</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4</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销售税金及附加</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9694.866081</w:t>
            </w: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9694.866081</w:t>
            </w: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9694.866081</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9694.866081</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9694.866081</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9694.866081</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5</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偿还本息</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2000</w:t>
            </w: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2000</w:t>
            </w: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2081.374154</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6</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小计</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463587.2465</w:t>
            </w: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463587.2465</w:t>
            </w: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463668.6207</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461587.2465</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461587.2465</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461587.2465</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三</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所得税前现金流量</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58539.48081</w:t>
            </w: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58539.48081</w:t>
            </w: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58458.10665</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60539.48081</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60539.48081</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60539.48081</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四</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累计所得税前净现金流量</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168842.9135</w:t>
            </w: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227382.3943</w:t>
            </w: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285840.5009</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346379.9817</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406919.4625</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467458.9434</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五</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所得税</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14264.7228</w:t>
            </w: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14264.7228</w:t>
            </w: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14264.7228</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14264.7228</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14264.7228</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14264.7228</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六</w:t>
            </w:r>
          </w:p>
        </w:tc>
        <w:tc>
          <w:tcPr>
            <w:tcW w:w="2268"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所得税后净现金流量</w:t>
            </w:r>
          </w:p>
        </w:tc>
        <w:tc>
          <w:tcPr>
            <w:tcW w:w="1287"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44274.75801</w:t>
            </w:r>
          </w:p>
        </w:tc>
        <w:tc>
          <w:tcPr>
            <w:tcW w:w="144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44274.75801</w:t>
            </w:r>
          </w:p>
        </w:tc>
        <w:tc>
          <w:tcPr>
            <w:tcW w:w="1593"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44193.38385</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46274.75801</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46274.75801</w:t>
            </w:r>
          </w:p>
        </w:tc>
        <w:tc>
          <w:tcPr>
            <w:tcW w:w="1424" w:type="dxa"/>
            <w:tcBorders>
              <w:top w:val="nil"/>
              <w:left w:val="nil"/>
              <w:bottom w:val="single" w:color="B4C6E7" w:sz="4" w:space="0"/>
              <w:right w:val="single" w:color="B4C6E7" w:sz="4" w:space="0"/>
            </w:tcBorders>
            <w:shd w:val="clear" w:color="000000" w:fill="D9E1F2"/>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46274.75801</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七</w:t>
            </w:r>
          </w:p>
        </w:tc>
        <w:tc>
          <w:tcPr>
            <w:tcW w:w="2268"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18"/>
                <w:szCs w:val="18"/>
              </w:rPr>
            </w:pPr>
            <w:r>
              <w:rPr>
                <w:rFonts w:hint="eastAsia" w:ascii="等线" w:hAnsi="等线" w:eastAsia="等线" w:cs="宋体"/>
                <w:color w:val="000000"/>
                <w:sz w:val="18"/>
                <w:szCs w:val="18"/>
              </w:rPr>
              <w:t>累计所得税后净现金流量</w:t>
            </w:r>
          </w:p>
        </w:tc>
        <w:tc>
          <w:tcPr>
            <w:tcW w:w="1287"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117489.9114</w:t>
            </w:r>
          </w:p>
        </w:tc>
        <w:tc>
          <w:tcPr>
            <w:tcW w:w="144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161764.6694</w:t>
            </w:r>
          </w:p>
        </w:tc>
        <w:tc>
          <w:tcPr>
            <w:tcW w:w="1593"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205958.0532</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252232.8112</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298507.5692</w:t>
            </w:r>
          </w:p>
        </w:tc>
        <w:tc>
          <w:tcPr>
            <w:tcW w:w="1424" w:type="dxa"/>
            <w:tcBorders>
              <w:top w:val="nil"/>
              <w:left w:val="nil"/>
              <w:bottom w:val="single" w:color="B4C6E7" w:sz="4" w:space="0"/>
              <w:right w:val="single" w:color="B4C6E7" w:sz="4" w:space="0"/>
            </w:tcBorders>
            <w:shd w:val="clear" w:color="auto" w:fill="auto"/>
            <w:noWrap/>
          </w:tcPr>
          <w:p>
            <w:pPr>
              <w:widowControl/>
              <w:autoSpaceDE/>
              <w:autoSpaceDN/>
              <w:spacing w:before="0" w:beforeLines="0" w:after="0" w:afterLines="0"/>
              <w:jc w:val="center"/>
              <w:rPr>
                <w:rFonts w:ascii="等线" w:hAnsi="等线" w:eastAsia="等线" w:cs="宋体"/>
                <w:color w:val="000000"/>
                <w:sz w:val="18"/>
                <w:szCs w:val="18"/>
              </w:rPr>
            </w:pPr>
            <w:r>
              <w:rPr>
                <w:rFonts w:ascii="等线" w:hAnsi="等线" w:eastAsia="等线" w:cs="宋体"/>
                <w:color w:val="000000"/>
                <w:sz w:val="18"/>
                <w:szCs w:val="18"/>
              </w:rPr>
              <w:t>344782.3273</w:t>
            </w:r>
          </w:p>
        </w:tc>
      </w:tr>
    </w:tbl>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表9</w:t>
      </w:r>
      <w:r>
        <w:rPr>
          <w:rFonts w:ascii="Times New Roman" w:hAnsi="Times New Roman" w:cs="Times New Roman"/>
          <w:b/>
          <w:kern w:val="2"/>
          <w:sz w:val="18"/>
          <w:szCs w:val="18"/>
        </w:rPr>
        <w:t xml:space="preserve">-9 </w:t>
      </w:r>
      <w:r>
        <w:rPr>
          <w:rFonts w:hint="eastAsia" w:ascii="Times New Roman" w:hAnsi="Times New Roman" w:cs="Times New Roman"/>
          <w:b/>
          <w:kern w:val="2"/>
          <w:sz w:val="18"/>
          <w:szCs w:val="18"/>
        </w:rPr>
        <w:t>财务现金流量表（三）</w:t>
      </w:r>
    </w:p>
    <w:tbl>
      <w:tblPr>
        <w:tblStyle w:val="23"/>
        <w:tblW w:w="10192" w:type="dxa"/>
        <w:jc w:val="center"/>
        <w:tblLayout w:type="autofit"/>
        <w:tblCellMar>
          <w:top w:w="0" w:type="dxa"/>
          <w:left w:w="108" w:type="dxa"/>
          <w:bottom w:w="0" w:type="dxa"/>
          <w:right w:w="108" w:type="dxa"/>
        </w:tblCellMar>
      </w:tblPr>
      <w:tblGrid>
        <w:gridCol w:w="846"/>
        <w:gridCol w:w="2693"/>
        <w:gridCol w:w="1424"/>
        <w:gridCol w:w="1444"/>
        <w:gridCol w:w="1593"/>
        <w:gridCol w:w="1424"/>
        <w:gridCol w:w="1424"/>
      </w:tblGrid>
      <w:tr>
        <w:tblPrEx>
          <w:tblCellMar>
            <w:top w:w="0" w:type="dxa"/>
            <w:left w:w="108" w:type="dxa"/>
            <w:bottom w:w="0" w:type="dxa"/>
            <w:right w:w="108" w:type="dxa"/>
          </w:tblCellMar>
        </w:tblPrEx>
        <w:trPr>
          <w:trHeight w:val="280" w:hRule="atLeast"/>
          <w:jc w:val="center"/>
        </w:trPr>
        <w:tc>
          <w:tcPr>
            <w:tcW w:w="84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序号</w:t>
            </w:r>
          </w:p>
        </w:tc>
        <w:tc>
          <w:tcPr>
            <w:tcW w:w="2693"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项目</w:t>
            </w:r>
          </w:p>
        </w:tc>
        <w:tc>
          <w:tcPr>
            <w:tcW w:w="6653" w:type="dxa"/>
            <w:gridSpan w:val="5"/>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达产期</w:t>
            </w:r>
          </w:p>
        </w:tc>
      </w:tr>
      <w:tr>
        <w:tblPrEx>
          <w:tblCellMar>
            <w:top w:w="0" w:type="dxa"/>
            <w:left w:w="108" w:type="dxa"/>
            <w:bottom w:w="0" w:type="dxa"/>
            <w:right w:w="108" w:type="dxa"/>
          </w:tblCellMar>
        </w:tblPrEx>
        <w:trPr>
          <w:trHeight w:val="280" w:hRule="atLeast"/>
          <w:jc w:val="center"/>
        </w:trPr>
        <w:tc>
          <w:tcPr>
            <w:tcW w:w="846"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等线" w:hAnsi="等线" w:eastAsia="等线" w:cs="宋体"/>
                <w:color w:val="000000"/>
                <w:sz w:val="22"/>
              </w:rPr>
            </w:pPr>
          </w:p>
        </w:tc>
        <w:tc>
          <w:tcPr>
            <w:tcW w:w="2693"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jc w:val="center"/>
              <w:rPr>
                <w:rFonts w:ascii="等线" w:hAnsi="等线" w:eastAsia="等线" w:cs="宋体"/>
                <w:color w:val="000000"/>
                <w:sz w:val="22"/>
              </w:rPr>
            </w:pPr>
          </w:p>
        </w:tc>
        <w:tc>
          <w:tcPr>
            <w:tcW w:w="113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r>
              <w:rPr>
                <w:rFonts w:ascii="等线" w:hAnsi="等线" w:eastAsia="等线" w:cs="宋体"/>
                <w:color w:val="000000"/>
                <w:sz w:val="22"/>
              </w:rPr>
              <w:t>1</w:t>
            </w:r>
          </w:p>
        </w:tc>
        <w:tc>
          <w:tcPr>
            <w:tcW w:w="144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r>
              <w:rPr>
                <w:rFonts w:ascii="等线" w:hAnsi="等线" w:eastAsia="等线" w:cs="宋体"/>
                <w:color w:val="000000"/>
                <w:sz w:val="22"/>
              </w:rPr>
              <w:t>2</w:t>
            </w:r>
          </w:p>
        </w:tc>
        <w:tc>
          <w:tcPr>
            <w:tcW w:w="1593"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r>
              <w:rPr>
                <w:rFonts w:ascii="等线" w:hAnsi="等线" w:eastAsia="等线" w:cs="宋体"/>
                <w:color w:val="000000"/>
                <w:sz w:val="22"/>
              </w:rPr>
              <w:t>3</w:t>
            </w:r>
          </w:p>
        </w:tc>
        <w:tc>
          <w:tcPr>
            <w:tcW w:w="140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r>
              <w:rPr>
                <w:rFonts w:ascii="等线" w:hAnsi="等线" w:eastAsia="等线" w:cs="宋体"/>
                <w:color w:val="000000"/>
                <w:sz w:val="22"/>
              </w:rPr>
              <w:t>4</w:t>
            </w:r>
          </w:p>
        </w:tc>
        <w:tc>
          <w:tcPr>
            <w:tcW w:w="107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r>
              <w:rPr>
                <w:rFonts w:ascii="等线" w:hAnsi="等线" w:eastAsia="等线" w:cs="宋体"/>
                <w:color w:val="000000"/>
                <w:sz w:val="22"/>
              </w:rPr>
              <w:t>5</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一</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现金流入</w:t>
            </w:r>
          </w:p>
        </w:tc>
        <w:tc>
          <w:tcPr>
            <w:tcW w:w="113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4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销售收入</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回收固定资产余值</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回收流动资金</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r>
      <w:tr>
        <w:tblPrEx>
          <w:tblCellMar>
            <w:top w:w="0" w:type="dxa"/>
            <w:left w:w="108" w:type="dxa"/>
            <w:bottom w:w="0" w:type="dxa"/>
            <w:right w:w="108" w:type="dxa"/>
          </w:tblCellMar>
        </w:tblPrEx>
        <w:trPr>
          <w:trHeight w:val="67"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522126.7273</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二</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现金流出</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建设期投资</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流动资金及建设期利息</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经营成本</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451892.3804</w:t>
            </w: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451892.3804</w:t>
            </w: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451892.3804</w:t>
            </w: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451892.3804</w:t>
            </w: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451892.3804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9694.866081</w:t>
            </w: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9694.866081</w:t>
            </w: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9694.866081</w:t>
            </w: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9694.866081</w:t>
            </w: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9694.866081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偿还本息</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461587.2465</w:t>
            </w: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461587.2465</w:t>
            </w: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461587.2465</w:t>
            </w: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461587.2465</w:t>
            </w: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461587.2465</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所得税前现金流量</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60539.48081</w:t>
            </w: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60539.48081</w:t>
            </w: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60539.48081</w:t>
            </w: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60539.48081</w:t>
            </w: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60539.48081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四</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累计所得税前净现金流量</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527998.4242</w:t>
            </w: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588537.905</w:t>
            </w: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649077.3858</w:t>
            </w: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709616.8666</w:t>
            </w: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770156.3474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五</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14264.7228</w:t>
            </w: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14264.7228</w:t>
            </w: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14264.7228</w:t>
            </w: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14264.7228</w:t>
            </w: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14264.7228</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六</w:t>
            </w:r>
          </w:p>
        </w:tc>
        <w:tc>
          <w:tcPr>
            <w:tcW w:w="269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所得税后净现金流量</w:t>
            </w:r>
          </w:p>
        </w:tc>
        <w:tc>
          <w:tcPr>
            <w:tcW w:w="113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46274.75801</w:t>
            </w:r>
          </w:p>
        </w:tc>
        <w:tc>
          <w:tcPr>
            <w:tcW w:w="1444"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46274.75801</w:t>
            </w:r>
          </w:p>
        </w:tc>
        <w:tc>
          <w:tcPr>
            <w:tcW w:w="1593"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46274.75801</w:t>
            </w:r>
          </w:p>
        </w:tc>
        <w:tc>
          <w:tcPr>
            <w:tcW w:w="140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46274.75801</w:t>
            </w:r>
          </w:p>
        </w:tc>
        <w:tc>
          <w:tcPr>
            <w:tcW w:w="1076" w:type="dxa"/>
            <w:tcBorders>
              <w:top w:val="nil"/>
              <w:left w:val="nil"/>
              <w:bottom w:val="single" w:color="B4C6E7" w:sz="4" w:space="0"/>
              <w:right w:val="single" w:color="B4C6E7" w:sz="4" w:space="0"/>
            </w:tcBorders>
            <w:shd w:val="clear" w:color="000000" w:fill="D9E1F2"/>
            <w:noWrap/>
          </w:tcPr>
          <w:p>
            <w:pPr>
              <w:spacing w:before="0" w:beforeLines="0" w:after="0" w:afterLines="0"/>
              <w:rPr>
                <w:rFonts w:ascii="等线" w:hAnsi="等线" w:eastAsia="等线" w:cs="宋体"/>
                <w:color w:val="000000"/>
                <w:sz w:val="22"/>
              </w:rPr>
            </w:pPr>
            <w:r>
              <w:rPr>
                <w:rFonts w:ascii="等线" w:hAnsi="等线" w:eastAsia="等线" w:cs="宋体"/>
                <w:color w:val="000000"/>
                <w:sz w:val="22"/>
              </w:rPr>
              <w:t>46274.75801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七</w:t>
            </w:r>
          </w:p>
        </w:tc>
        <w:tc>
          <w:tcPr>
            <w:tcW w:w="269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累计所得税后净现金流量</w:t>
            </w:r>
          </w:p>
        </w:tc>
        <w:tc>
          <w:tcPr>
            <w:tcW w:w="1134" w:type="dxa"/>
            <w:tcBorders>
              <w:top w:val="nil"/>
              <w:left w:val="nil"/>
              <w:bottom w:val="single" w:color="B4C6E7" w:sz="4" w:space="0"/>
              <w:right w:val="single" w:color="B4C6E7" w:sz="4" w:space="0"/>
            </w:tcBorders>
            <w:shd w:val="clear" w:color="auto" w:fill="auto"/>
            <w:noWrap/>
          </w:tcPr>
          <w:p>
            <w:pPr>
              <w:spacing w:before="0" w:beforeLines="0" w:after="0" w:afterLines="0"/>
            </w:pPr>
            <w:r>
              <w:t>391057.0853</w:t>
            </w:r>
          </w:p>
        </w:tc>
        <w:tc>
          <w:tcPr>
            <w:tcW w:w="1444" w:type="dxa"/>
            <w:tcBorders>
              <w:top w:val="nil"/>
              <w:left w:val="nil"/>
              <w:bottom w:val="single" w:color="B4C6E7" w:sz="4" w:space="0"/>
              <w:right w:val="single" w:color="B4C6E7" w:sz="4" w:space="0"/>
            </w:tcBorders>
            <w:shd w:val="clear" w:color="auto" w:fill="auto"/>
            <w:noWrap/>
          </w:tcPr>
          <w:p>
            <w:pPr>
              <w:spacing w:before="0" w:beforeLines="0" w:after="0" w:afterLines="0"/>
            </w:pPr>
            <w:r>
              <w:t>437331.8433</w:t>
            </w:r>
          </w:p>
        </w:tc>
        <w:tc>
          <w:tcPr>
            <w:tcW w:w="1593" w:type="dxa"/>
            <w:tcBorders>
              <w:top w:val="nil"/>
              <w:left w:val="nil"/>
              <w:bottom w:val="single" w:color="B4C6E7" w:sz="4" w:space="0"/>
              <w:right w:val="single" w:color="B4C6E7" w:sz="4" w:space="0"/>
            </w:tcBorders>
            <w:shd w:val="clear" w:color="auto" w:fill="auto"/>
            <w:noWrap/>
          </w:tcPr>
          <w:p>
            <w:pPr>
              <w:spacing w:before="0" w:beforeLines="0" w:after="0" w:afterLines="0"/>
            </w:pPr>
            <w:r>
              <w:t>483606.6013</w:t>
            </w:r>
          </w:p>
        </w:tc>
        <w:tc>
          <w:tcPr>
            <w:tcW w:w="1406" w:type="dxa"/>
            <w:tcBorders>
              <w:top w:val="nil"/>
              <w:left w:val="nil"/>
              <w:bottom w:val="single" w:color="B4C6E7" w:sz="4" w:space="0"/>
              <w:right w:val="single" w:color="B4C6E7" w:sz="4" w:space="0"/>
            </w:tcBorders>
            <w:shd w:val="clear" w:color="auto" w:fill="auto"/>
            <w:noWrap/>
          </w:tcPr>
          <w:p>
            <w:pPr>
              <w:spacing w:before="0" w:beforeLines="0" w:after="0" w:afterLines="0"/>
            </w:pPr>
            <w:r>
              <w:t>529881.3593</w:t>
            </w:r>
          </w:p>
        </w:tc>
        <w:tc>
          <w:tcPr>
            <w:tcW w:w="1076" w:type="dxa"/>
            <w:tcBorders>
              <w:top w:val="nil"/>
              <w:left w:val="nil"/>
              <w:bottom w:val="single" w:color="B4C6E7" w:sz="4" w:space="0"/>
              <w:right w:val="single" w:color="B4C6E7" w:sz="4" w:space="0"/>
            </w:tcBorders>
            <w:shd w:val="clear" w:color="auto" w:fill="auto"/>
            <w:noWrap/>
          </w:tcPr>
          <w:p>
            <w:pPr>
              <w:spacing w:before="0" w:beforeLines="0" w:after="0" w:afterLines="0"/>
            </w:pPr>
            <w:r>
              <w:t>576156.1173</w:t>
            </w:r>
          </w:p>
        </w:tc>
      </w:tr>
    </w:tbl>
    <w:p>
      <w:pPr>
        <w:spacing w:before="156" w:after="156"/>
        <w:ind w:firstLine="420" w:firstLineChars="200"/>
        <w:rPr>
          <w:rFonts w:ascii="Times New Roman" w:hAnsi="Times New Roman" w:cs="Times New Roman"/>
          <w:kern w:val="2"/>
        </w:rPr>
      </w:pPr>
      <w:r>
        <w:rPr>
          <w:rFonts w:hint="eastAsia" w:ascii="Times New Roman" w:hAnsi="Times New Roman" w:cs="Times New Roman"/>
          <w:kern w:val="2"/>
        </w:rPr>
        <w:t>根据以上现金流量表绘制出累计现金流量图如下：</w:t>
      </w:r>
    </w:p>
    <w:p>
      <w:pPr>
        <w:spacing w:before="156" w:after="156"/>
        <w:ind w:firstLine="420" w:firstLineChars="200"/>
        <w:jc w:val="center"/>
        <w:rPr>
          <w:rFonts w:ascii="Times New Roman" w:hAnsi="Times New Roman" w:cs="Times New Roman"/>
          <w:kern w:val="2"/>
        </w:rPr>
      </w:pPr>
      <w:r>
        <w:rPr>
          <w:rFonts w:ascii="Times New Roman" w:hAnsi="Times New Roman" w:cs="Times New Roman"/>
          <w:kern w:val="2"/>
        </w:rPr>
        <w:drawing>
          <wp:inline distT="0" distB="0" distL="0" distR="0">
            <wp:extent cx="3884930" cy="209804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3885417" cy="2098040"/>
                    </a:xfrm>
                    <a:prstGeom prst="rect">
                      <a:avLst/>
                    </a:prstGeom>
                    <a:noFill/>
                    <a:ln>
                      <a:noFill/>
                    </a:ln>
                  </pic:spPr>
                </pic:pic>
              </a:graphicData>
            </a:graphic>
          </wp:inline>
        </w:drawing>
      </w: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图9</w:t>
      </w:r>
      <w:r>
        <w:rPr>
          <w:rFonts w:ascii="Times New Roman" w:hAnsi="Times New Roman" w:cs="Times New Roman"/>
          <w:b/>
          <w:kern w:val="2"/>
          <w:sz w:val="18"/>
          <w:szCs w:val="18"/>
        </w:rPr>
        <w:t xml:space="preserve">-1 </w:t>
      </w:r>
      <w:r>
        <w:rPr>
          <w:rFonts w:hint="eastAsia" w:ascii="Times New Roman" w:hAnsi="Times New Roman" w:cs="Times New Roman"/>
          <w:b/>
          <w:kern w:val="2"/>
          <w:sz w:val="18"/>
          <w:szCs w:val="18"/>
        </w:rPr>
        <w:t>累计现金流量与年限图</w:t>
      </w: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14" w:name="_Toc141670042"/>
      <w:r>
        <w:rPr>
          <w:rFonts w:hint="eastAsia" w:ascii="Times New Roman" w:hAnsi="Times New Roman" w:cs="Times New Roman"/>
          <w:b/>
          <w:bCs/>
          <w:kern w:val="2"/>
          <w:sz w:val="28"/>
          <w:szCs w:val="32"/>
        </w:rPr>
        <w:t>9</w:t>
      </w:r>
      <w:r>
        <w:rPr>
          <w:rFonts w:ascii="Times New Roman" w:hAnsi="Times New Roman" w:cs="Times New Roman"/>
          <w:b/>
          <w:bCs/>
          <w:kern w:val="2"/>
          <w:sz w:val="28"/>
          <w:szCs w:val="32"/>
        </w:rPr>
        <w:t xml:space="preserve">.3.3 </w:t>
      </w:r>
      <w:r>
        <w:rPr>
          <w:rFonts w:hint="eastAsia" w:ascii="Times New Roman" w:hAnsi="Times New Roman" w:cs="Times New Roman"/>
          <w:b/>
          <w:bCs/>
          <w:kern w:val="2"/>
          <w:sz w:val="28"/>
          <w:szCs w:val="32"/>
        </w:rPr>
        <w:t>权益投资财务现金流量表</w:t>
      </w:r>
      <w:bookmarkEnd w:id="114"/>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 xml:space="preserve">表 </w:t>
      </w:r>
      <w:r>
        <w:rPr>
          <w:rFonts w:ascii="Times New Roman" w:hAnsi="Times New Roman" w:cs="Times New Roman"/>
          <w:b/>
          <w:kern w:val="2"/>
          <w:sz w:val="18"/>
          <w:szCs w:val="18"/>
        </w:rPr>
        <w:t xml:space="preserve">9-10 </w:t>
      </w:r>
      <w:r>
        <w:rPr>
          <w:rFonts w:hint="eastAsia" w:ascii="Times New Roman" w:hAnsi="Times New Roman" w:cs="Times New Roman"/>
          <w:b/>
          <w:kern w:val="2"/>
          <w:sz w:val="18"/>
          <w:szCs w:val="18"/>
        </w:rPr>
        <w:t>权益投资财务现金流量表（一）</w:t>
      </w:r>
    </w:p>
    <w:tbl>
      <w:tblPr>
        <w:tblStyle w:val="23"/>
        <w:tblW w:w="10768" w:type="dxa"/>
        <w:jc w:val="center"/>
        <w:tblLayout w:type="autofit"/>
        <w:tblCellMar>
          <w:top w:w="0" w:type="dxa"/>
          <w:left w:w="108" w:type="dxa"/>
          <w:bottom w:w="0" w:type="dxa"/>
          <w:right w:w="108" w:type="dxa"/>
        </w:tblCellMar>
      </w:tblPr>
      <w:tblGrid>
        <w:gridCol w:w="436"/>
        <w:gridCol w:w="2539"/>
        <w:gridCol w:w="863"/>
        <w:gridCol w:w="1559"/>
        <w:gridCol w:w="1424"/>
        <w:gridCol w:w="1424"/>
        <w:gridCol w:w="1424"/>
        <w:gridCol w:w="1424"/>
      </w:tblGrid>
      <w:tr>
        <w:tblPrEx>
          <w:tblCellMar>
            <w:top w:w="0" w:type="dxa"/>
            <w:left w:w="108" w:type="dxa"/>
            <w:bottom w:w="0" w:type="dxa"/>
            <w:right w:w="108" w:type="dxa"/>
          </w:tblCellMar>
        </w:tblPrEx>
        <w:trPr>
          <w:trHeight w:val="280" w:hRule="atLeast"/>
          <w:jc w:val="center"/>
        </w:trPr>
        <w:tc>
          <w:tcPr>
            <w:tcW w:w="43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539"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2422"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建设期</w:t>
            </w:r>
          </w:p>
        </w:tc>
        <w:tc>
          <w:tcPr>
            <w:tcW w:w="2848"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投产期</w:t>
            </w:r>
          </w:p>
        </w:tc>
        <w:tc>
          <w:tcPr>
            <w:tcW w:w="2523"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达产期</w:t>
            </w:r>
          </w:p>
        </w:tc>
      </w:tr>
      <w:tr>
        <w:tblPrEx>
          <w:tblCellMar>
            <w:top w:w="0" w:type="dxa"/>
            <w:left w:w="108" w:type="dxa"/>
            <w:bottom w:w="0" w:type="dxa"/>
            <w:right w:w="108" w:type="dxa"/>
          </w:tblCellMar>
        </w:tblPrEx>
        <w:trPr>
          <w:trHeight w:val="280" w:hRule="atLeast"/>
          <w:jc w:val="center"/>
        </w:trPr>
        <w:tc>
          <w:tcPr>
            <w:tcW w:w="436"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2539"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863"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0</w:t>
            </w:r>
          </w:p>
        </w:tc>
        <w:tc>
          <w:tcPr>
            <w:tcW w:w="1559"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p>
        </w:tc>
        <w:tc>
          <w:tcPr>
            <w:tcW w:w="142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2</w:t>
            </w:r>
          </w:p>
        </w:tc>
        <w:tc>
          <w:tcPr>
            <w:tcW w:w="142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3</w:t>
            </w:r>
          </w:p>
        </w:tc>
        <w:tc>
          <w:tcPr>
            <w:tcW w:w="142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4</w:t>
            </w:r>
          </w:p>
        </w:tc>
        <w:tc>
          <w:tcPr>
            <w:tcW w:w="1099"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5</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一</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现金流入</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2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2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42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09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销售收入</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0</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365488.7091</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469914.0546</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09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回收固定资产余值</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09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回收流动资金</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09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365488.7091</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469914.0546</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09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二</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现金流出</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09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建设期投资</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35738.44995</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09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偿还本息</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2000</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2000</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2000</w:t>
            </w:r>
          </w:p>
        </w:tc>
        <w:tc>
          <w:tcPr>
            <w:tcW w:w="109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2000</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经营成本</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316324.6663</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406703.1424</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451892.3804</w:t>
            </w:r>
          </w:p>
        </w:tc>
        <w:tc>
          <w:tcPr>
            <w:tcW w:w="109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451892.3804</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6786.406257</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8725.379473</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9694.866081</w:t>
            </w:r>
          </w:p>
        </w:tc>
        <w:tc>
          <w:tcPr>
            <w:tcW w:w="109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9694.866081</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9985.305962</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12838.25052</w:t>
            </w:r>
          </w:p>
        </w:tc>
        <w:tc>
          <w:tcPr>
            <w:tcW w:w="142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14264.7228</w:t>
            </w:r>
          </w:p>
        </w:tc>
        <w:tc>
          <w:tcPr>
            <w:tcW w:w="109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14264.7228</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35738.44995</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335096.3785</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430266.7724</w:t>
            </w:r>
          </w:p>
        </w:tc>
        <w:tc>
          <w:tcPr>
            <w:tcW w:w="142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477851.9693</w:t>
            </w:r>
          </w:p>
        </w:tc>
        <w:tc>
          <w:tcPr>
            <w:tcW w:w="109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477851.9693</w:t>
            </w:r>
          </w:p>
        </w:tc>
      </w:tr>
      <w:tr>
        <w:tblPrEx>
          <w:tblCellMar>
            <w:top w:w="0" w:type="dxa"/>
            <w:left w:w="108" w:type="dxa"/>
            <w:bottom w:w="0" w:type="dxa"/>
            <w:right w:w="108" w:type="dxa"/>
          </w:tblCellMar>
        </w:tblPrEx>
        <w:trPr>
          <w:trHeight w:val="30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w:t>
            </w:r>
          </w:p>
        </w:tc>
        <w:tc>
          <w:tcPr>
            <w:tcW w:w="253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净现金流量</w:t>
            </w:r>
          </w:p>
        </w:tc>
        <w:tc>
          <w:tcPr>
            <w:tcW w:w="863"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　</w:t>
            </w:r>
          </w:p>
        </w:tc>
        <w:tc>
          <w:tcPr>
            <w:tcW w:w="1559"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-35738.44995</w:t>
            </w:r>
          </w:p>
        </w:tc>
        <w:tc>
          <w:tcPr>
            <w:tcW w:w="1424" w:type="dxa"/>
            <w:tcBorders>
              <w:top w:val="nil"/>
              <w:left w:val="nil"/>
              <w:bottom w:val="nil"/>
              <w:right w:val="nil"/>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30392.3306</w:t>
            </w:r>
          </w:p>
        </w:tc>
        <w:tc>
          <w:tcPr>
            <w:tcW w:w="1424" w:type="dxa"/>
            <w:tcBorders>
              <w:top w:val="nil"/>
              <w:left w:val="nil"/>
              <w:bottom w:val="nil"/>
              <w:right w:val="nil"/>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39647.2822</w:t>
            </w:r>
          </w:p>
        </w:tc>
        <w:tc>
          <w:tcPr>
            <w:tcW w:w="1424" w:type="dxa"/>
            <w:tcBorders>
              <w:top w:val="nil"/>
              <w:left w:val="nil"/>
              <w:bottom w:val="nil"/>
              <w:right w:val="nil"/>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44274.75801</w:t>
            </w:r>
          </w:p>
        </w:tc>
        <w:tc>
          <w:tcPr>
            <w:tcW w:w="1099" w:type="dxa"/>
            <w:tcBorders>
              <w:top w:val="nil"/>
              <w:left w:val="nil"/>
              <w:bottom w:val="nil"/>
              <w:right w:val="nil"/>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44274.75801</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四</w:t>
            </w:r>
          </w:p>
        </w:tc>
        <w:tc>
          <w:tcPr>
            <w:tcW w:w="253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累计现金流量</w:t>
            </w:r>
          </w:p>
        </w:tc>
        <w:tc>
          <w:tcPr>
            <w:tcW w:w="863"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w:t>
            </w:r>
          </w:p>
        </w:tc>
        <w:tc>
          <w:tcPr>
            <w:tcW w:w="1559"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-35738.44995</w:t>
            </w:r>
          </w:p>
        </w:tc>
        <w:tc>
          <w:tcPr>
            <w:tcW w:w="1424" w:type="dxa"/>
            <w:tcBorders>
              <w:top w:val="single" w:color="B4C6E7" w:sz="4" w:space="0"/>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-5346.11934</w:t>
            </w:r>
          </w:p>
        </w:tc>
        <w:tc>
          <w:tcPr>
            <w:tcW w:w="1424" w:type="dxa"/>
            <w:tcBorders>
              <w:top w:val="single" w:color="B4C6E7" w:sz="4" w:space="0"/>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34301.16286</w:t>
            </w:r>
          </w:p>
        </w:tc>
        <w:tc>
          <w:tcPr>
            <w:tcW w:w="1424" w:type="dxa"/>
            <w:tcBorders>
              <w:top w:val="single" w:color="B4C6E7" w:sz="4" w:space="0"/>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78575.92086</w:t>
            </w:r>
          </w:p>
        </w:tc>
        <w:tc>
          <w:tcPr>
            <w:tcW w:w="1099" w:type="dxa"/>
            <w:tcBorders>
              <w:top w:val="single" w:color="B4C6E7" w:sz="4" w:space="0"/>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122850.6789</w:t>
            </w:r>
          </w:p>
        </w:tc>
      </w:tr>
    </w:tbl>
    <w:p>
      <w:pPr>
        <w:spacing w:before="156" w:after="156"/>
        <w:ind w:firstLine="361" w:firstLineChars="200"/>
        <w:jc w:val="center"/>
        <w:rPr>
          <w:rFonts w:ascii="Times New Roman" w:hAnsi="Times New Roman" w:cs="Times New Roman"/>
          <w:b/>
          <w:kern w:val="2"/>
          <w:sz w:val="18"/>
          <w:szCs w:val="18"/>
        </w:rPr>
      </w:pPr>
    </w:p>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 xml:space="preserve">表 </w:t>
      </w:r>
      <w:r>
        <w:rPr>
          <w:rFonts w:ascii="Times New Roman" w:hAnsi="Times New Roman" w:cs="Times New Roman"/>
          <w:b/>
          <w:kern w:val="2"/>
          <w:sz w:val="18"/>
          <w:szCs w:val="18"/>
        </w:rPr>
        <w:t xml:space="preserve">9-11 </w:t>
      </w:r>
      <w:r>
        <w:rPr>
          <w:rFonts w:hint="eastAsia" w:ascii="Times New Roman" w:hAnsi="Times New Roman" w:cs="Times New Roman"/>
          <w:b/>
          <w:kern w:val="2"/>
          <w:sz w:val="18"/>
          <w:szCs w:val="18"/>
        </w:rPr>
        <w:t>权益投资财务现金流量表（二）</w:t>
      </w:r>
    </w:p>
    <w:tbl>
      <w:tblPr>
        <w:tblStyle w:val="23"/>
        <w:tblW w:w="10015" w:type="dxa"/>
        <w:jc w:val="center"/>
        <w:tblLayout w:type="autofit"/>
        <w:tblCellMar>
          <w:top w:w="0" w:type="dxa"/>
          <w:left w:w="108" w:type="dxa"/>
          <w:bottom w:w="0" w:type="dxa"/>
          <w:right w:w="108" w:type="dxa"/>
        </w:tblCellMar>
      </w:tblPr>
      <w:tblGrid>
        <w:gridCol w:w="846"/>
        <w:gridCol w:w="2114"/>
        <w:gridCol w:w="1076"/>
        <w:gridCol w:w="1559"/>
        <w:gridCol w:w="1192"/>
        <w:gridCol w:w="1076"/>
        <w:gridCol w:w="1076"/>
        <w:gridCol w:w="1076"/>
      </w:tblGrid>
      <w:tr>
        <w:tblPrEx>
          <w:tblCellMar>
            <w:top w:w="0" w:type="dxa"/>
            <w:left w:w="108" w:type="dxa"/>
            <w:bottom w:w="0" w:type="dxa"/>
            <w:right w:w="108" w:type="dxa"/>
          </w:tblCellMar>
        </w:tblPrEx>
        <w:trPr>
          <w:trHeight w:val="280" w:hRule="atLeast"/>
          <w:jc w:val="center"/>
        </w:trPr>
        <w:tc>
          <w:tcPr>
            <w:tcW w:w="84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2114"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7055" w:type="dxa"/>
            <w:gridSpan w:val="6"/>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达产期</w:t>
            </w:r>
          </w:p>
        </w:tc>
      </w:tr>
      <w:tr>
        <w:tblPrEx>
          <w:tblCellMar>
            <w:top w:w="0" w:type="dxa"/>
            <w:left w:w="108" w:type="dxa"/>
            <w:bottom w:w="0" w:type="dxa"/>
            <w:right w:w="108" w:type="dxa"/>
          </w:tblCellMar>
        </w:tblPrEx>
        <w:trPr>
          <w:trHeight w:val="280" w:hRule="atLeast"/>
          <w:jc w:val="center"/>
        </w:trPr>
        <w:tc>
          <w:tcPr>
            <w:tcW w:w="846"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2114"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07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6</w:t>
            </w:r>
          </w:p>
        </w:tc>
        <w:tc>
          <w:tcPr>
            <w:tcW w:w="1559"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7</w:t>
            </w:r>
          </w:p>
        </w:tc>
        <w:tc>
          <w:tcPr>
            <w:tcW w:w="1192"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8</w:t>
            </w:r>
          </w:p>
        </w:tc>
        <w:tc>
          <w:tcPr>
            <w:tcW w:w="107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9</w:t>
            </w:r>
          </w:p>
        </w:tc>
        <w:tc>
          <w:tcPr>
            <w:tcW w:w="107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r>
              <w:rPr>
                <w:rFonts w:ascii="等线" w:hAnsi="等线" w:eastAsia="等线" w:cs="宋体"/>
                <w:color w:val="FFFFFF"/>
                <w:sz w:val="22"/>
              </w:rPr>
              <w:t>0</w:t>
            </w:r>
          </w:p>
        </w:tc>
        <w:tc>
          <w:tcPr>
            <w:tcW w:w="1076"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r>
              <w:rPr>
                <w:rFonts w:ascii="等线" w:hAnsi="等线" w:eastAsia="等线" w:cs="宋体"/>
                <w:color w:val="FFFFFF"/>
                <w:sz w:val="22"/>
              </w:rPr>
              <w:t>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一</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现金流入</w:t>
            </w:r>
          </w:p>
        </w:tc>
        <w:tc>
          <w:tcPr>
            <w:tcW w:w="1076"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olor w:val="00000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192"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销售收入</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c>
          <w:tcPr>
            <w:tcW w:w="1559" w:type="dxa"/>
            <w:tcBorders>
              <w:top w:val="nil"/>
              <w:left w:val="nil"/>
              <w:bottom w:val="single" w:color="B4C6E7" w:sz="4" w:space="0"/>
              <w:right w:val="single" w:color="B4C6E7" w:sz="4" w:space="0"/>
            </w:tcBorders>
            <w:shd w:val="clear" w:color="000000" w:fill="D9E1F2"/>
            <w:noWrap/>
            <w:vAlign w:val="center"/>
          </w:tcPr>
          <w:p>
            <w:pPr>
              <w:spacing w:before="156" w:after="156"/>
              <w:jc w:val="center"/>
              <w:rPr>
                <w:rFonts w:ascii="等线" w:hAnsi="等线" w:eastAsia="等线"/>
                <w:color w:val="000000"/>
                <w:sz w:val="22"/>
              </w:rPr>
            </w:pPr>
            <w:r>
              <w:rPr>
                <w:rFonts w:hint="eastAsia" w:ascii="等线" w:hAnsi="等线" w:eastAsia="等线"/>
                <w:color w:val="000000"/>
                <w:sz w:val="22"/>
              </w:rPr>
              <w:t>522126.7</w:t>
            </w:r>
          </w:p>
        </w:tc>
        <w:tc>
          <w:tcPr>
            <w:tcW w:w="1192" w:type="dxa"/>
            <w:tcBorders>
              <w:top w:val="nil"/>
              <w:left w:val="nil"/>
              <w:bottom w:val="single" w:color="B4C6E7" w:sz="4" w:space="0"/>
              <w:right w:val="single" w:color="B4C6E7" w:sz="4" w:space="0"/>
            </w:tcBorders>
            <w:shd w:val="clear" w:color="000000" w:fill="D9E1F2"/>
            <w:noWrap/>
            <w:vAlign w:val="center"/>
          </w:tcPr>
          <w:p>
            <w:pPr>
              <w:spacing w:before="156" w:after="156"/>
              <w:jc w:val="center"/>
              <w:rPr>
                <w:rFonts w:ascii="等线" w:hAnsi="等线" w:eastAsia="等线"/>
                <w:color w:val="000000"/>
                <w:sz w:val="22"/>
              </w:rPr>
            </w:pPr>
            <w:r>
              <w:rPr>
                <w:rFonts w:hint="eastAsia" w:ascii="等线" w:hAnsi="等线" w:eastAsia="等线"/>
                <w:color w:val="000000"/>
                <w:sz w:val="22"/>
              </w:rPr>
              <w:t>522126.7</w:t>
            </w:r>
          </w:p>
        </w:tc>
        <w:tc>
          <w:tcPr>
            <w:tcW w:w="1076" w:type="dxa"/>
            <w:tcBorders>
              <w:top w:val="nil"/>
              <w:left w:val="nil"/>
              <w:bottom w:val="single" w:color="B4C6E7" w:sz="4" w:space="0"/>
              <w:right w:val="single" w:color="B4C6E7" w:sz="4" w:space="0"/>
            </w:tcBorders>
            <w:shd w:val="clear" w:color="000000" w:fill="D9E1F2"/>
            <w:noWrap/>
            <w:vAlign w:val="center"/>
          </w:tcPr>
          <w:p>
            <w:pPr>
              <w:spacing w:before="156" w:after="156"/>
              <w:jc w:val="center"/>
              <w:rPr>
                <w:rFonts w:ascii="等线" w:hAnsi="等线" w:eastAsia="等线"/>
                <w:color w:val="000000"/>
                <w:sz w:val="22"/>
              </w:rPr>
            </w:pPr>
            <w:r>
              <w:rPr>
                <w:rFonts w:hint="eastAsia" w:ascii="等线" w:hAnsi="等线" w:eastAsia="等线"/>
                <w:color w:val="000000"/>
                <w:sz w:val="22"/>
              </w:rPr>
              <w:t>522126.7</w:t>
            </w:r>
          </w:p>
        </w:tc>
        <w:tc>
          <w:tcPr>
            <w:tcW w:w="1076" w:type="dxa"/>
            <w:tcBorders>
              <w:top w:val="nil"/>
              <w:left w:val="nil"/>
              <w:bottom w:val="single" w:color="B4C6E7" w:sz="4" w:space="0"/>
              <w:right w:val="single" w:color="B4C6E7" w:sz="4" w:space="0"/>
            </w:tcBorders>
            <w:shd w:val="clear" w:color="000000" w:fill="D9E1F2"/>
            <w:noWrap/>
            <w:vAlign w:val="center"/>
          </w:tcPr>
          <w:p>
            <w:pPr>
              <w:spacing w:before="156" w:after="156"/>
              <w:jc w:val="center"/>
              <w:rPr>
                <w:rFonts w:ascii="等线" w:hAnsi="等线" w:eastAsia="等线"/>
                <w:color w:val="000000"/>
                <w:sz w:val="22"/>
              </w:rPr>
            </w:pPr>
            <w:r>
              <w:rPr>
                <w:rFonts w:hint="eastAsia" w:ascii="等线" w:hAnsi="等线" w:eastAsia="等线"/>
                <w:color w:val="000000"/>
                <w:sz w:val="22"/>
              </w:rPr>
              <w:t>522126.7</w:t>
            </w:r>
          </w:p>
        </w:tc>
        <w:tc>
          <w:tcPr>
            <w:tcW w:w="1076" w:type="dxa"/>
            <w:tcBorders>
              <w:top w:val="nil"/>
              <w:left w:val="nil"/>
              <w:bottom w:val="single" w:color="B4C6E7" w:sz="4" w:space="0"/>
              <w:right w:val="single" w:color="B4C6E7" w:sz="4" w:space="0"/>
            </w:tcBorders>
            <w:shd w:val="clear" w:color="000000" w:fill="D9E1F2"/>
            <w:noWrap/>
            <w:vAlign w:val="center"/>
          </w:tcPr>
          <w:p>
            <w:pPr>
              <w:spacing w:before="156" w:after="156"/>
              <w:jc w:val="center"/>
              <w:rPr>
                <w:rFonts w:ascii="等线" w:hAnsi="等线" w:eastAsia="等线"/>
                <w:color w:val="000000"/>
                <w:sz w:val="22"/>
              </w:rPr>
            </w:pPr>
            <w:r>
              <w:rPr>
                <w:rFonts w:hint="eastAsia" w:ascii="等线" w:hAnsi="等线" w:eastAsia="等线"/>
                <w:color w:val="000000"/>
                <w:sz w:val="22"/>
              </w:rPr>
              <w:t>522126.7</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回收固定资产余值</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192"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回收流动资金</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559"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192"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c>
          <w:tcPr>
            <w:tcW w:w="1192"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522126.7</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二</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现金流出</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559"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192"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建设期投资</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192"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偿还本息</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2000</w:t>
            </w:r>
          </w:p>
        </w:tc>
        <w:tc>
          <w:tcPr>
            <w:tcW w:w="1559"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2081.374</w:t>
            </w:r>
          </w:p>
        </w:tc>
        <w:tc>
          <w:tcPr>
            <w:tcW w:w="1192"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经营成本</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451892.4</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451892.4</w:t>
            </w:r>
          </w:p>
        </w:tc>
        <w:tc>
          <w:tcPr>
            <w:tcW w:w="1192"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451892.4</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451892.4</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451892.4</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451892.4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9694.866</w:t>
            </w:r>
          </w:p>
        </w:tc>
        <w:tc>
          <w:tcPr>
            <w:tcW w:w="1559"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9694.866</w:t>
            </w:r>
          </w:p>
        </w:tc>
        <w:tc>
          <w:tcPr>
            <w:tcW w:w="1192"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9694.866</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9694.866</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9694.866</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9694.866</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14264.72</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14264.72</w:t>
            </w:r>
          </w:p>
        </w:tc>
        <w:tc>
          <w:tcPr>
            <w:tcW w:w="1192"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14264.72</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14264.72</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14264.72</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14264.72</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477852</w:t>
            </w:r>
          </w:p>
        </w:tc>
        <w:tc>
          <w:tcPr>
            <w:tcW w:w="1559"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477933.3</w:t>
            </w:r>
          </w:p>
        </w:tc>
        <w:tc>
          <w:tcPr>
            <w:tcW w:w="1192"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475852</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475852</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475852</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475852</w:t>
            </w:r>
          </w:p>
        </w:tc>
      </w:tr>
      <w:tr>
        <w:tblPrEx>
          <w:tblCellMar>
            <w:top w:w="0" w:type="dxa"/>
            <w:left w:w="108" w:type="dxa"/>
            <w:bottom w:w="0" w:type="dxa"/>
            <w:right w:w="108" w:type="dxa"/>
          </w:tblCellMar>
        </w:tblPrEx>
        <w:trPr>
          <w:trHeight w:val="30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w:t>
            </w:r>
          </w:p>
        </w:tc>
        <w:tc>
          <w:tcPr>
            <w:tcW w:w="211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净现金流量</w:t>
            </w:r>
          </w:p>
        </w:tc>
        <w:tc>
          <w:tcPr>
            <w:tcW w:w="1076"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44274.76</w:t>
            </w:r>
          </w:p>
        </w:tc>
        <w:tc>
          <w:tcPr>
            <w:tcW w:w="1559"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44193.38</w:t>
            </w:r>
          </w:p>
        </w:tc>
        <w:tc>
          <w:tcPr>
            <w:tcW w:w="1192" w:type="dxa"/>
            <w:tcBorders>
              <w:top w:val="nil"/>
              <w:left w:val="nil"/>
              <w:bottom w:val="nil"/>
              <w:right w:val="nil"/>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46274.76</w:t>
            </w:r>
          </w:p>
        </w:tc>
        <w:tc>
          <w:tcPr>
            <w:tcW w:w="1076" w:type="dxa"/>
            <w:tcBorders>
              <w:top w:val="nil"/>
              <w:left w:val="nil"/>
              <w:bottom w:val="nil"/>
              <w:right w:val="nil"/>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46274.76</w:t>
            </w:r>
          </w:p>
        </w:tc>
        <w:tc>
          <w:tcPr>
            <w:tcW w:w="1076" w:type="dxa"/>
            <w:tcBorders>
              <w:top w:val="nil"/>
              <w:left w:val="nil"/>
              <w:bottom w:val="nil"/>
              <w:right w:val="nil"/>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46274.76</w:t>
            </w:r>
          </w:p>
        </w:tc>
        <w:tc>
          <w:tcPr>
            <w:tcW w:w="1076" w:type="dxa"/>
            <w:tcBorders>
              <w:top w:val="nil"/>
              <w:left w:val="nil"/>
              <w:bottom w:val="nil"/>
              <w:right w:val="nil"/>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46274.76</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四</w:t>
            </w:r>
          </w:p>
        </w:tc>
        <w:tc>
          <w:tcPr>
            <w:tcW w:w="2114"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累计现金流量</w:t>
            </w:r>
          </w:p>
        </w:tc>
        <w:tc>
          <w:tcPr>
            <w:tcW w:w="1076"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167125.4</w:t>
            </w:r>
          </w:p>
        </w:tc>
        <w:tc>
          <w:tcPr>
            <w:tcW w:w="1559" w:type="dxa"/>
            <w:tcBorders>
              <w:top w:val="nil"/>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211318.8</w:t>
            </w:r>
          </w:p>
        </w:tc>
        <w:tc>
          <w:tcPr>
            <w:tcW w:w="1192" w:type="dxa"/>
            <w:tcBorders>
              <w:top w:val="single" w:color="B4C6E7" w:sz="4" w:space="0"/>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257593.6</w:t>
            </w:r>
          </w:p>
        </w:tc>
        <w:tc>
          <w:tcPr>
            <w:tcW w:w="1076" w:type="dxa"/>
            <w:tcBorders>
              <w:top w:val="single" w:color="B4C6E7" w:sz="4" w:space="0"/>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303868.3</w:t>
            </w:r>
          </w:p>
        </w:tc>
        <w:tc>
          <w:tcPr>
            <w:tcW w:w="1076" w:type="dxa"/>
            <w:tcBorders>
              <w:top w:val="single" w:color="B4C6E7" w:sz="4" w:space="0"/>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350143.1</w:t>
            </w:r>
          </w:p>
        </w:tc>
        <w:tc>
          <w:tcPr>
            <w:tcW w:w="1076" w:type="dxa"/>
            <w:tcBorders>
              <w:top w:val="single" w:color="B4C6E7" w:sz="4" w:space="0"/>
              <w:left w:val="nil"/>
              <w:bottom w:val="single" w:color="B4C6E7" w:sz="4" w:space="0"/>
              <w:right w:val="single" w:color="B4C6E7" w:sz="4" w:space="0"/>
            </w:tcBorders>
            <w:shd w:val="clear" w:color="000000" w:fill="D9E1F2"/>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396417.9</w:t>
            </w:r>
          </w:p>
        </w:tc>
      </w:tr>
    </w:tbl>
    <w:p>
      <w:pPr>
        <w:spacing w:before="156" w:after="156"/>
        <w:ind w:firstLine="361" w:firstLineChars="200"/>
        <w:jc w:val="center"/>
        <w:rPr>
          <w:rFonts w:ascii="Times New Roman" w:hAnsi="Times New Roman" w:cs="Times New Roman"/>
          <w:b/>
          <w:kern w:val="2"/>
          <w:sz w:val="18"/>
          <w:szCs w:val="18"/>
        </w:rPr>
      </w:pPr>
      <w:r>
        <w:rPr>
          <w:rFonts w:hint="eastAsia" w:ascii="Times New Roman" w:hAnsi="Times New Roman" w:cs="Times New Roman"/>
          <w:b/>
          <w:kern w:val="2"/>
          <w:sz w:val="18"/>
          <w:szCs w:val="18"/>
        </w:rPr>
        <w:t xml:space="preserve">表 </w:t>
      </w:r>
      <w:r>
        <w:rPr>
          <w:rFonts w:ascii="Times New Roman" w:hAnsi="Times New Roman" w:cs="Times New Roman"/>
          <w:b/>
          <w:kern w:val="2"/>
          <w:sz w:val="18"/>
          <w:szCs w:val="18"/>
        </w:rPr>
        <w:t xml:space="preserve">9-12 </w:t>
      </w:r>
      <w:r>
        <w:rPr>
          <w:rFonts w:hint="eastAsia" w:ascii="Times New Roman" w:hAnsi="Times New Roman" w:cs="Times New Roman"/>
          <w:b/>
          <w:kern w:val="2"/>
          <w:sz w:val="18"/>
          <w:szCs w:val="18"/>
        </w:rPr>
        <w:t>权益投资财务现金流量表（三）</w:t>
      </w:r>
    </w:p>
    <w:tbl>
      <w:tblPr>
        <w:tblStyle w:val="23"/>
        <w:tblW w:w="9435" w:type="dxa"/>
        <w:jc w:val="center"/>
        <w:tblLayout w:type="autofit"/>
        <w:tblCellMar>
          <w:top w:w="0" w:type="dxa"/>
          <w:left w:w="108" w:type="dxa"/>
          <w:bottom w:w="0" w:type="dxa"/>
          <w:right w:w="108" w:type="dxa"/>
        </w:tblCellMar>
      </w:tblPr>
      <w:tblGrid>
        <w:gridCol w:w="1944"/>
        <w:gridCol w:w="1989"/>
        <w:gridCol w:w="1424"/>
        <w:gridCol w:w="1470"/>
        <w:gridCol w:w="1424"/>
        <w:gridCol w:w="1424"/>
      </w:tblGrid>
      <w:tr>
        <w:tblPrEx>
          <w:tblCellMar>
            <w:top w:w="0" w:type="dxa"/>
            <w:left w:w="108" w:type="dxa"/>
            <w:bottom w:w="0" w:type="dxa"/>
            <w:right w:w="108" w:type="dxa"/>
          </w:tblCellMar>
        </w:tblPrEx>
        <w:trPr>
          <w:trHeight w:val="280" w:hRule="atLeast"/>
          <w:jc w:val="center"/>
        </w:trPr>
        <w:tc>
          <w:tcPr>
            <w:tcW w:w="1944"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序号</w:t>
            </w:r>
          </w:p>
        </w:tc>
        <w:tc>
          <w:tcPr>
            <w:tcW w:w="1989"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项目</w:t>
            </w:r>
          </w:p>
        </w:tc>
        <w:tc>
          <w:tcPr>
            <w:tcW w:w="5502" w:type="dxa"/>
            <w:gridSpan w:val="4"/>
            <w:tcBorders>
              <w:top w:val="single" w:color="B4C6E7" w:sz="4" w:space="0"/>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达产期</w:t>
            </w:r>
          </w:p>
        </w:tc>
      </w:tr>
      <w:tr>
        <w:trPr>
          <w:trHeight w:val="280" w:hRule="atLeast"/>
          <w:jc w:val="center"/>
        </w:trPr>
        <w:tc>
          <w:tcPr>
            <w:tcW w:w="1944"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989" w:type="dxa"/>
            <w:vMerge w:val="continue"/>
            <w:tcBorders>
              <w:top w:val="single" w:color="B4C6E7" w:sz="4" w:space="0"/>
              <w:left w:val="single" w:color="B4C6E7" w:sz="4" w:space="0"/>
              <w:bottom w:val="single" w:color="B4C6E7" w:sz="4" w:space="0"/>
              <w:right w:val="single" w:color="B4C6E7" w:sz="4" w:space="0"/>
            </w:tcBorders>
            <w:vAlign w:val="center"/>
          </w:tcPr>
          <w:p>
            <w:pPr>
              <w:widowControl/>
              <w:autoSpaceDE/>
              <w:autoSpaceDN/>
              <w:spacing w:before="0" w:beforeLines="0" w:after="0" w:afterLines="0"/>
              <w:rPr>
                <w:rFonts w:ascii="等线" w:hAnsi="等线" w:eastAsia="等线" w:cs="宋体"/>
                <w:color w:val="FFFFFF"/>
                <w:sz w:val="22"/>
              </w:rPr>
            </w:pPr>
          </w:p>
        </w:tc>
        <w:tc>
          <w:tcPr>
            <w:tcW w:w="134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r>
              <w:rPr>
                <w:rFonts w:ascii="等线" w:hAnsi="等线" w:eastAsia="等线" w:cs="宋体"/>
                <w:color w:val="FFFFFF"/>
                <w:sz w:val="22"/>
              </w:rPr>
              <w:t>2</w:t>
            </w:r>
          </w:p>
        </w:tc>
        <w:tc>
          <w:tcPr>
            <w:tcW w:w="1470"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r>
              <w:rPr>
                <w:rFonts w:ascii="等线" w:hAnsi="等线" w:eastAsia="等线" w:cs="宋体"/>
                <w:color w:val="FFFFFF"/>
                <w:sz w:val="22"/>
              </w:rPr>
              <w:t>3</w:t>
            </w:r>
          </w:p>
        </w:tc>
        <w:tc>
          <w:tcPr>
            <w:tcW w:w="134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r>
              <w:rPr>
                <w:rFonts w:ascii="等线" w:hAnsi="等线" w:eastAsia="等线" w:cs="宋体"/>
                <w:color w:val="FFFFFF"/>
                <w:sz w:val="22"/>
              </w:rPr>
              <w:t>4</w:t>
            </w:r>
          </w:p>
        </w:tc>
        <w:tc>
          <w:tcPr>
            <w:tcW w:w="1344" w:type="dxa"/>
            <w:tcBorders>
              <w:top w:val="nil"/>
              <w:left w:val="nil"/>
              <w:bottom w:val="single" w:color="B4C6E7" w:sz="4" w:space="0"/>
              <w:right w:val="single" w:color="B4C6E7" w:sz="4" w:space="0"/>
            </w:tcBorders>
            <w:shd w:val="clear" w:color="000000" w:fill="4472C4"/>
            <w:noWrap/>
            <w:vAlign w:val="center"/>
          </w:tcPr>
          <w:p>
            <w:pPr>
              <w:widowControl/>
              <w:autoSpaceDE/>
              <w:autoSpaceDN/>
              <w:spacing w:before="0" w:beforeLines="0" w:after="0" w:afterLines="0"/>
              <w:jc w:val="center"/>
              <w:rPr>
                <w:rFonts w:ascii="等线" w:hAnsi="等线" w:eastAsia="等线" w:cs="宋体"/>
                <w:color w:val="FFFFFF"/>
                <w:sz w:val="22"/>
              </w:rPr>
            </w:pPr>
            <w:r>
              <w:rPr>
                <w:rFonts w:hint="eastAsia" w:ascii="等线" w:hAnsi="等线" w:eastAsia="等线" w:cs="宋体"/>
                <w:color w:val="FFFFFF"/>
                <w:sz w:val="22"/>
              </w:rPr>
              <w:t>1</w:t>
            </w:r>
            <w:r>
              <w:rPr>
                <w:rFonts w:ascii="等线" w:hAnsi="等线" w:eastAsia="等线" w:cs="宋体"/>
                <w:color w:val="FFFFFF"/>
                <w:sz w:val="22"/>
              </w:rPr>
              <w:t>5</w:t>
            </w:r>
          </w:p>
        </w:tc>
      </w:tr>
      <w:tr>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一</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现金流入</w:t>
            </w:r>
          </w:p>
        </w:tc>
        <w:tc>
          <w:tcPr>
            <w:tcW w:w="1344"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olor w:val="000000"/>
                <w:sz w:val="22"/>
              </w:rPr>
              <w:t>　</w:t>
            </w:r>
          </w:p>
        </w:tc>
        <w:tc>
          <w:tcPr>
            <w:tcW w:w="1470"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34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c>
          <w:tcPr>
            <w:tcW w:w="1344" w:type="dxa"/>
            <w:tcBorders>
              <w:top w:val="nil"/>
              <w:left w:val="nil"/>
              <w:bottom w:val="single" w:color="B4C6E7" w:sz="4" w:space="0"/>
              <w:right w:val="single" w:color="B4C6E7" w:sz="4" w:space="0"/>
            </w:tcBorders>
            <w:shd w:val="clear" w:color="auto" w:fill="auto"/>
            <w:noWrap/>
            <w:vAlign w:val="center"/>
          </w:tcPr>
          <w:p>
            <w:pPr>
              <w:spacing w:before="0" w:beforeLines="0" w:after="0" w:afterLines="0"/>
              <w:jc w:val="center"/>
              <w:rPr>
                <w:rFonts w:ascii="等线" w:hAnsi="等线" w:eastAsia="等线"/>
                <w:color w:val="000000"/>
                <w:sz w:val="22"/>
              </w:rPr>
            </w:pPr>
            <w:r>
              <w:rPr>
                <w:rFonts w:hint="eastAsia" w:ascii="等线" w:hAnsi="等线" w:eastAsia="等线"/>
                <w:color w:val="000000"/>
                <w:sz w:val="22"/>
              </w:rPr>
              <w:t>　</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销售收入</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r>
      <w:tr>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回收固定资产余值</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70"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回收流动资金</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470"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522126.7273</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二</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现金流出</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建设期投资</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470"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p>
        </w:tc>
      </w:tr>
      <w:tr>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偿还本息</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p>
        </w:tc>
      </w:tr>
      <w:tr>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3</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经营成本</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451892.3804</w:t>
            </w:r>
          </w:p>
        </w:tc>
        <w:tc>
          <w:tcPr>
            <w:tcW w:w="1470"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451892.3804</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451892.3804</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451892.3804</w:t>
            </w:r>
          </w:p>
        </w:tc>
      </w:tr>
      <w:tr>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销售税金及附加</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9694.866081</w:t>
            </w: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9694.866081</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9694.866081</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9694.866081</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5</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所得税</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14264.7228</w:t>
            </w:r>
          </w:p>
        </w:tc>
        <w:tc>
          <w:tcPr>
            <w:tcW w:w="1470"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14264.7228</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14264.7228</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14264.7228</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小计</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475851.9693</w:t>
            </w: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475851.9693</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475851.9693</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475851.9693</w:t>
            </w:r>
          </w:p>
        </w:tc>
      </w:tr>
      <w:tr>
        <w:tblPrEx>
          <w:tblCellMar>
            <w:top w:w="0" w:type="dxa"/>
            <w:left w:w="108" w:type="dxa"/>
            <w:bottom w:w="0" w:type="dxa"/>
            <w:right w:w="108" w:type="dxa"/>
          </w:tblCellMar>
        </w:tblPrEx>
        <w:trPr>
          <w:trHeight w:val="30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三</w:t>
            </w:r>
          </w:p>
        </w:tc>
        <w:tc>
          <w:tcPr>
            <w:tcW w:w="1989" w:type="dxa"/>
            <w:tcBorders>
              <w:top w:val="nil"/>
              <w:left w:val="nil"/>
              <w:bottom w:val="single" w:color="B4C6E7" w:sz="4" w:space="0"/>
              <w:right w:val="single" w:color="B4C6E7" w:sz="4" w:space="0"/>
            </w:tcBorders>
            <w:shd w:val="clear" w:color="auto" w:fill="auto"/>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净现金流量</w:t>
            </w:r>
          </w:p>
        </w:tc>
        <w:tc>
          <w:tcPr>
            <w:tcW w:w="1344"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46274.75801</w:t>
            </w:r>
          </w:p>
        </w:tc>
        <w:tc>
          <w:tcPr>
            <w:tcW w:w="1470" w:type="dxa"/>
            <w:tcBorders>
              <w:top w:val="nil"/>
              <w:left w:val="nil"/>
              <w:bottom w:val="single" w:color="B4C6E7" w:sz="4" w:space="0"/>
              <w:right w:val="single" w:color="B4C6E7" w:sz="4" w:space="0"/>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46274.75801</w:t>
            </w:r>
          </w:p>
        </w:tc>
        <w:tc>
          <w:tcPr>
            <w:tcW w:w="1344" w:type="dxa"/>
            <w:tcBorders>
              <w:top w:val="nil"/>
              <w:left w:val="nil"/>
              <w:bottom w:val="nil"/>
              <w:right w:val="nil"/>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46274.75801</w:t>
            </w:r>
          </w:p>
        </w:tc>
        <w:tc>
          <w:tcPr>
            <w:tcW w:w="1344" w:type="dxa"/>
            <w:tcBorders>
              <w:top w:val="nil"/>
              <w:left w:val="nil"/>
              <w:bottom w:val="nil"/>
              <w:right w:val="nil"/>
            </w:tcBorders>
            <w:shd w:val="clear" w:color="auto" w:fill="auto"/>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46274.75801</w:t>
            </w:r>
          </w:p>
        </w:tc>
      </w:tr>
      <w:tr>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四</w:t>
            </w:r>
          </w:p>
        </w:tc>
        <w:tc>
          <w:tcPr>
            <w:tcW w:w="1989" w:type="dxa"/>
            <w:tcBorders>
              <w:top w:val="nil"/>
              <w:left w:val="nil"/>
              <w:bottom w:val="single" w:color="B4C6E7" w:sz="4" w:space="0"/>
              <w:right w:val="single" w:color="B4C6E7" w:sz="4" w:space="0"/>
            </w:tcBorders>
            <w:shd w:val="clear" w:color="000000" w:fill="D9E1F2"/>
            <w:noWrap/>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累计现金流量</w:t>
            </w:r>
          </w:p>
        </w:tc>
        <w:tc>
          <w:tcPr>
            <w:tcW w:w="1344"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442692.6108</w:t>
            </w:r>
          </w:p>
        </w:tc>
        <w:tc>
          <w:tcPr>
            <w:tcW w:w="1470" w:type="dxa"/>
            <w:tcBorders>
              <w:top w:val="nil"/>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488967.3688</w:t>
            </w:r>
          </w:p>
        </w:tc>
        <w:tc>
          <w:tcPr>
            <w:tcW w:w="1344" w:type="dxa"/>
            <w:tcBorders>
              <w:top w:val="single" w:color="B4C6E7" w:sz="4" w:space="0"/>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535242.1268</w:t>
            </w:r>
          </w:p>
        </w:tc>
        <w:tc>
          <w:tcPr>
            <w:tcW w:w="1344" w:type="dxa"/>
            <w:tcBorders>
              <w:top w:val="single" w:color="B4C6E7" w:sz="4" w:space="0"/>
              <w:left w:val="nil"/>
              <w:bottom w:val="single" w:color="B4C6E7" w:sz="4" w:space="0"/>
              <w:right w:val="single" w:color="B4C6E7" w:sz="4" w:space="0"/>
            </w:tcBorders>
            <w:shd w:val="clear" w:color="000000" w:fill="D9E1F2"/>
            <w:noWrap/>
          </w:tcPr>
          <w:p>
            <w:pPr>
              <w:spacing w:before="0" w:beforeLines="0" w:after="0" w:afterLines="0"/>
              <w:jc w:val="center"/>
              <w:rPr>
                <w:rFonts w:ascii="等线" w:hAnsi="等线" w:eastAsia="等线"/>
                <w:color w:val="000000"/>
                <w:sz w:val="22"/>
              </w:rPr>
            </w:pPr>
            <w:r>
              <w:rPr>
                <w:rFonts w:ascii="等线" w:hAnsi="等线" w:eastAsia="等线"/>
                <w:color w:val="000000"/>
                <w:sz w:val="22"/>
              </w:rPr>
              <w:t>581516.8848</w:t>
            </w:r>
          </w:p>
        </w:tc>
      </w:tr>
    </w:tbl>
    <w:p>
      <w:pPr>
        <w:pStyle w:val="3"/>
        <w:spacing w:before="156" w:after="156"/>
        <w:rPr>
          <w:rFonts w:ascii="Times New Roman" w:hAnsi="Times New Roman" w:eastAsia="宋体" w:cs="Times New Roman"/>
        </w:rPr>
      </w:pPr>
      <w:bookmarkStart w:id="115" w:name="_Toc141670043"/>
      <w:r>
        <w:rPr>
          <w:rFonts w:ascii="Times New Roman" w:hAnsi="Times New Roman" w:eastAsia="宋体" w:cs="Times New Roman"/>
        </w:rPr>
        <w:t>9.4 财务分析指标</w:t>
      </w:r>
      <w:bookmarkEnd w:id="115"/>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16" w:name="_Toc141670044"/>
      <w:r>
        <w:rPr>
          <w:rFonts w:ascii="Times New Roman" w:hAnsi="Times New Roman" w:cs="Times New Roman"/>
          <w:b/>
          <w:bCs/>
          <w:kern w:val="2"/>
          <w:sz w:val="28"/>
          <w:szCs w:val="32"/>
        </w:rPr>
        <w:t xml:space="preserve">9.4.1. </w:t>
      </w:r>
      <w:r>
        <w:rPr>
          <w:rFonts w:hint="eastAsia" w:ascii="Times New Roman" w:hAnsi="Times New Roman" w:cs="Times New Roman"/>
          <w:b/>
          <w:bCs/>
          <w:kern w:val="2"/>
          <w:sz w:val="28"/>
          <w:szCs w:val="32"/>
        </w:rPr>
        <w:t>静态指标</w:t>
      </w:r>
      <w:bookmarkEnd w:id="116"/>
      <w:r>
        <w:rPr>
          <w:rFonts w:hint="eastAsia" w:ascii="Times New Roman" w:hAnsi="Times New Roman" w:cs="Times New Roman"/>
          <w:b/>
          <w:bCs/>
          <w:kern w:val="2"/>
          <w:sz w:val="28"/>
          <w:szCs w:val="32"/>
        </w:rPr>
        <w:t xml:space="preserve"> </w:t>
      </w:r>
    </w:p>
    <w:p>
      <w:pPr>
        <w:widowControl/>
        <w:autoSpaceDE/>
        <w:autoSpaceDN/>
        <w:spacing w:before="0" w:beforeLines="0" w:after="0" w:afterLines="0"/>
        <w:rPr>
          <w:rFonts w:ascii="宋体" w:hAnsi="宋体" w:cs="宋体"/>
          <w:sz w:val="24"/>
          <w:szCs w:val="24"/>
        </w:rPr>
      </w:pPr>
      <w:r>
        <w:rPr>
          <w:rFonts w:hint="eastAsia" w:ascii="宋体" w:hAnsi="宋体" w:cs="宋体"/>
          <w:b/>
          <w:bCs/>
          <w:color w:val="000000"/>
          <w:szCs w:val="21"/>
        </w:rPr>
        <w:t>（</w:t>
      </w:r>
      <w:r>
        <w:rPr>
          <w:rFonts w:ascii="宋体" w:hAnsi="宋体" w:cs="宋体"/>
          <w:b/>
          <w:bCs/>
          <w:color w:val="000000"/>
          <w:szCs w:val="21"/>
        </w:rPr>
        <w:t>1</w:t>
      </w:r>
      <w:r>
        <w:rPr>
          <w:rFonts w:hint="eastAsia" w:ascii="宋体" w:hAnsi="宋体" w:cs="宋体"/>
          <w:b/>
          <w:bCs/>
          <w:color w:val="000000"/>
          <w:szCs w:val="21"/>
        </w:rPr>
        <w:t xml:space="preserve">）静态投资回收期 </w:t>
      </w:r>
    </w:p>
    <w:p>
      <w:pPr>
        <w:autoSpaceDE/>
        <w:autoSpaceDN/>
        <w:spacing w:before="0" w:beforeLines="0" w:after="0" w:afterLines="0"/>
        <w:ind w:firstLine="420" w:firstLineChars="200"/>
        <w:jc w:val="both"/>
        <w:rPr>
          <w:rFonts w:ascii="Times New Roman" w:hAnsi="Times New Roman" w:cs="Times New Roman"/>
          <w:szCs w:val="21"/>
        </w:rPr>
      </w:pPr>
      <w:r>
        <w:rPr>
          <w:rFonts w:hint="eastAsia" w:ascii="Times New Roman" w:hAnsi="Times New Roman" w:cs="Times New Roman"/>
          <w:szCs w:val="21"/>
        </w:rPr>
        <w:t xml:space="preserve">项目投资现金流量表中累计净现金流量由负值变为零的时点，即为项目的静态投资回收 </w:t>
      </w:r>
    </w:p>
    <w:p>
      <w:pPr>
        <w:autoSpaceDE/>
        <w:autoSpaceDN/>
        <w:spacing w:before="0" w:beforeLines="0" w:after="0" w:afterLines="0"/>
        <w:ind w:firstLine="420" w:firstLineChars="200"/>
        <w:jc w:val="both"/>
        <w:rPr>
          <w:rFonts w:eastAsia="仿宋" w:cs="宋体"/>
          <w:color w:val="000000"/>
          <w:szCs w:val="21"/>
        </w:rPr>
      </w:pPr>
      <w:r>
        <w:rPr>
          <w:rFonts w:hint="eastAsia" w:ascii="Times New Roman" w:hAnsi="Times New Roman" w:cs="Times New Roman"/>
          <w:szCs w:val="21"/>
        </w:rPr>
        <w:t>期。应按下式计算：</w:t>
      </w:r>
      <w:r>
        <w:rPr>
          <w:rFonts w:hint="eastAsia" w:eastAsia="仿宋" w:cs="宋体"/>
          <w:color w:val="000000"/>
          <w:szCs w:val="21"/>
        </w:rPr>
        <w:t xml:space="preserve"> </w:t>
      </w:r>
    </w:p>
    <w:p>
      <w:pPr>
        <w:autoSpaceDE/>
        <w:autoSpaceDN/>
        <w:spacing w:before="0" w:beforeLines="0" w:after="0" w:afterLines="0"/>
        <w:jc w:val="center"/>
        <w:rPr>
          <w:rFonts w:ascii="Times New Roman" w:hAnsi="Times New Roman" w:cs="Times New Roman"/>
          <w:szCs w:val="21"/>
        </w:rPr>
      </w:pPr>
      <m:oMathPara>
        <m:oMath>
          <m:sSub>
            <m:sSubPr>
              <m:ctrlPr>
                <w:rPr>
                  <w:rFonts w:ascii="Cambria Math" w:hAnsi="Cambria Math" w:cs="Times New Roman"/>
                  <w:i/>
                  <w:szCs w:val="21"/>
                </w:rPr>
              </m:ctrlPr>
            </m:sSubPr>
            <m:e>
              <m:r>
                <m:rPr/>
                <w:rPr>
                  <w:rFonts w:ascii="Cambria Math" w:hAnsi="Cambria Math" w:cs="Times New Roman"/>
                  <w:szCs w:val="21"/>
                </w:rPr>
                <m:t>P</m:t>
              </m:r>
              <m:ctrlPr>
                <w:rPr>
                  <w:rFonts w:ascii="Cambria Math" w:hAnsi="Cambria Math" w:cs="Times New Roman"/>
                  <w:i/>
                  <w:szCs w:val="21"/>
                </w:rPr>
              </m:ctrlPr>
            </m:e>
            <m:sub>
              <m:r>
                <m:rPr/>
                <w:rPr>
                  <w:rFonts w:ascii="Cambria Math" w:hAnsi="Cambria Math" w:cs="Times New Roman"/>
                  <w:szCs w:val="21"/>
                </w:rPr>
                <m:t>t</m:t>
              </m:r>
              <m:ctrlPr>
                <w:rPr>
                  <w:rFonts w:ascii="Cambria Math" w:hAnsi="Cambria Math" w:cs="Times New Roman"/>
                  <w:i/>
                  <w:szCs w:val="21"/>
                </w:rPr>
              </m:ctrlPr>
            </m:sub>
          </m:sSub>
          <m:r>
            <m:rPr/>
            <w:rPr>
              <w:rFonts w:ascii="Cambria Math" w:hAnsi="Cambria Math" w:cs="Times New Roman"/>
              <w:szCs w:val="21"/>
            </w:rPr>
            <m:t>=T−1+</m:t>
          </m:r>
          <m:f>
            <m:fPr>
              <m:ctrlPr>
                <w:rPr>
                  <w:rFonts w:ascii="Cambria Math" w:hAnsi="Cambria Math" w:cs="Times New Roman"/>
                  <w:i/>
                  <w:szCs w:val="21"/>
                </w:rPr>
              </m:ctrlPr>
            </m:fPr>
            <m:num>
              <m:d>
                <m:dPr>
                  <m:begChr m:val="|"/>
                  <m:endChr m:val="|"/>
                  <m:ctrlPr>
                    <w:rPr>
                      <w:rFonts w:ascii="Cambria Math" w:hAnsi="Cambria Math" w:cs="Times New Roman"/>
                      <w:i/>
                      <w:szCs w:val="21"/>
                    </w:rPr>
                  </m:ctrlPr>
                </m:dPr>
                <m:e>
                  <m:nary>
                    <m:naryPr>
                      <m:chr m:val="∑"/>
                      <m:ctrlPr>
                        <w:rPr>
                          <w:rFonts w:ascii="Cambria Math" w:hAnsi="Cambria Math" w:cs="Times New Roman"/>
                          <w:i/>
                          <w:szCs w:val="21"/>
                        </w:rPr>
                      </m:ctrlPr>
                    </m:naryPr>
                    <m:sub>
                      <m:r>
                        <m:rPr/>
                        <w:rPr>
                          <w:rFonts w:ascii="Cambria Math" w:hAnsi="Cambria Math" w:cs="Times New Roman"/>
                          <w:szCs w:val="21"/>
                        </w:rPr>
                        <m:t>i=1</m:t>
                      </m:r>
                      <m:ctrlPr>
                        <w:rPr>
                          <w:rFonts w:ascii="Cambria Math" w:hAnsi="Cambria Math" w:cs="Times New Roman"/>
                          <w:i/>
                          <w:szCs w:val="21"/>
                        </w:rPr>
                      </m:ctrlPr>
                    </m:sub>
                    <m:sup>
                      <m:r>
                        <m:rPr/>
                        <w:rPr>
                          <w:rFonts w:ascii="Cambria Math" w:hAnsi="Cambria Math" w:cs="Times New Roman"/>
                          <w:szCs w:val="21"/>
                        </w:rPr>
                        <m:t>T−1</m:t>
                      </m:r>
                      <m:ctrlPr>
                        <w:rPr>
                          <w:rFonts w:ascii="Cambria Math" w:hAnsi="Cambria Math" w:cs="Times New Roman"/>
                          <w:i/>
                          <w:szCs w:val="21"/>
                        </w:rPr>
                      </m:ctrlPr>
                    </m:sup>
                    <m:e>
                      <m:sSub>
                        <m:sSubPr>
                          <m:ctrlPr>
                            <w:rPr>
                              <w:rFonts w:ascii="Cambria Math" w:hAnsi="Cambria Math" w:cs="Times New Roman"/>
                              <w:i/>
                              <w:szCs w:val="21"/>
                            </w:rPr>
                          </m:ctrlPr>
                        </m:sSubPr>
                        <m:e>
                          <m:d>
                            <m:dPr>
                              <m:ctrlPr>
                                <w:rPr>
                                  <w:rFonts w:ascii="Cambria Math" w:hAnsi="Cambria Math" w:cs="Times New Roman"/>
                                  <w:i/>
                                  <w:szCs w:val="21"/>
                                </w:rPr>
                              </m:ctrlPr>
                            </m:dPr>
                            <m:e>
                              <m:r>
                                <m:rPr/>
                                <w:rPr>
                                  <w:rFonts w:ascii="Cambria Math" w:hAnsi="Cambria Math" w:cs="Times New Roman"/>
                                  <w:szCs w:val="21"/>
                                </w:rPr>
                                <m:t>CI−CO</m:t>
                              </m:r>
                              <m:ctrlPr>
                                <w:rPr>
                                  <w:rFonts w:ascii="Cambria Math" w:hAnsi="Cambria Math" w:cs="Times New Roman"/>
                                  <w:i/>
                                  <w:szCs w:val="21"/>
                                </w:rPr>
                              </m:ctrlPr>
                            </m:e>
                          </m:d>
                          <m:ctrlPr>
                            <w:rPr>
                              <w:rFonts w:ascii="Cambria Math" w:hAnsi="Cambria Math" w:cs="Times New Roman"/>
                              <w:i/>
                              <w:szCs w:val="21"/>
                            </w:rPr>
                          </m:ctrlPr>
                        </m:e>
                        <m:sub>
                          <m:r>
                            <m:rPr/>
                            <w:rPr>
                              <w:rFonts w:ascii="Cambria Math" w:hAnsi="Cambria Math" w:cs="Times New Roman"/>
                              <w:szCs w:val="21"/>
                            </w:rPr>
                            <m:t>i</m:t>
                          </m:r>
                          <m:ctrlPr>
                            <w:rPr>
                              <w:rFonts w:ascii="Cambria Math" w:hAnsi="Cambria Math" w:cs="Times New Roman"/>
                              <w:i/>
                              <w:szCs w:val="21"/>
                            </w:rPr>
                          </m:ctrlPr>
                        </m:sub>
                      </m:sSub>
                      <m:ctrlPr>
                        <w:rPr>
                          <w:rFonts w:ascii="Cambria Math" w:hAnsi="Cambria Math" w:cs="Times New Roman"/>
                          <w:i/>
                          <w:szCs w:val="21"/>
                        </w:rPr>
                      </m:ctrlPr>
                    </m:e>
                  </m:nary>
                  <m:ctrlPr>
                    <w:rPr>
                      <w:rFonts w:ascii="Cambria Math" w:hAnsi="Cambria Math" w:cs="Times New Roman"/>
                      <w:i/>
                      <w:szCs w:val="21"/>
                    </w:rPr>
                  </m:ctrlPr>
                </m:e>
              </m:d>
              <m:ctrlPr>
                <w:rPr>
                  <w:rFonts w:ascii="Cambria Math" w:hAnsi="Cambria Math" w:cs="Times New Roman"/>
                  <w:i/>
                  <w:szCs w:val="21"/>
                </w:rPr>
              </m:ctrlPr>
            </m:num>
            <m:den>
              <m:sSub>
                <m:sSubPr>
                  <m:ctrlPr>
                    <w:rPr>
                      <w:rFonts w:ascii="Cambria Math" w:hAnsi="Cambria Math" w:cs="Times New Roman"/>
                      <w:i/>
                      <w:szCs w:val="21"/>
                    </w:rPr>
                  </m:ctrlPr>
                </m:sSubPr>
                <m:e>
                  <m:d>
                    <m:dPr>
                      <m:ctrlPr>
                        <w:rPr>
                          <w:rFonts w:ascii="Cambria Math" w:hAnsi="Cambria Math" w:cs="Times New Roman"/>
                          <w:i/>
                          <w:szCs w:val="21"/>
                        </w:rPr>
                      </m:ctrlPr>
                    </m:dPr>
                    <m:e>
                      <m:r>
                        <m:rPr/>
                        <w:rPr>
                          <w:rFonts w:ascii="Cambria Math" w:hAnsi="Cambria Math" w:cs="Times New Roman"/>
                          <w:szCs w:val="21"/>
                        </w:rPr>
                        <m:t>CI−CO</m:t>
                      </m:r>
                      <m:ctrlPr>
                        <w:rPr>
                          <w:rFonts w:ascii="Cambria Math" w:hAnsi="Cambria Math" w:cs="Times New Roman"/>
                          <w:i/>
                          <w:szCs w:val="21"/>
                        </w:rPr>
                      </m:ctrlPr>
                    </m:e>
                  </m:d>
                  <m:ctrlPr>
                    <w:rPr>
                      <w:rFonts w:ascii="Cambria Math" w:hAnsi="Cambria Math" w:cs="Times New Roman"/>
                      <w:i/>
                      <w:szCs w:val="21"/>
                    </w:rPr>
                  </m:ctrlPr>
                </m:e>
                <m:sub>
                  <m:r>
                    <m:rPr/>
                    <w:rPr>
                      <w:rFonts w:ascii="Cambria Math" w:hAnsi="Cambria Math" w:cs="Times New Roman"/>
                      <w:szCs w:val="21"/>
                    </w:rPr>
                    <m:t>T</m:t>
                  </m:r>
                  <m:ctrlPr>
                    <w:rPr>
                      <w:rFonts w:ascii="Cambria Math" w:hAnsi="Cambria Math" w:cs="Times New Roman"/>
                      <w:i/>
                      <w:szCs w:val="21"/>
                    </w:rPr>
                  </m:ctrlPr>
                </m:sub>
              </m:sSub>
              <m:ctrlPr>
                <w:rPr>
                  <w:rFonts w:ascii="Cambria Math" w:hAnsi="Cambria Math" w:cs="Times New Roman"/>
                  <w:i/>
                  <w:szCs w:val="21"/>
                </w:rPr>
              </m:ctrlPr>
            </m:den>
          </m:f>
        </m:oMath>
      </m:oMathPara>
    </w:p>
    <w:p>
      <w:pPr>
        <w:autoSpaceDE/>
        <w:autoSpaceDN/>
        <w:spacing w:before="0" w:beforeLines="0" w:after="0" w:afterLines="0"/>
        <w:ind w:firstLine="420" w:firstLineChars="200"/>
        <w:jc w:val="both"/>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position w:val="-4"/>
          <w:szCs w:val="21"/>
        </w:rPr>
        <w:object>
          <v:shape id="_x0000_i1025" o:spt="75" type="#_x0000_t75" style="height:14.25pt;width:22.1pt;" o:ole="t" filled="f" o:preferrelative="t" stroked="f" coordsize="21600,21600">
            <v:path/>
            <v:fill on="f" focussize="0,0"/>
            <v:stroke on="f" joinstyle="miter"/>
            <v:imagedata r:id="rId31" o:title=""/>
            <o:lock v:ext="edit" aspectratio="t"/>
            <w10:wrap type="none"/>
            <w10:anchorlock/>
          </v:shape>
          <o:OLEObject Type="Embed" ProgID="Equation.DSMT4" ShapeID="_x0000_i1025" DrawAspect="Content" ObjectID="_1468075725" r:id="rId30">
            <o:LockedField>false</o:LockedField>
          </o:OLEObject>
        </w:object>
      </w:r>
      <w:r>
        <w:rPr>
          <w:rFonts w:ascii="Times New Roman" w:hAnsi="Times New Roman" w:cs="Times New Roman"/>
          <w:szCs w:val="21"/>
        </w:rPr>
        <w:t>各年累计净现金流量首次为正值或零的年数。</w:t>
      </w:r>
    </w:p>
    <w:p>
      <w:pPr>
        <w:autoSpaceDE/>
        <w:autoSpaceDN/>
        <w:spacing w:before="0" w:beforeLines="0" w:after="0" w:afterLines="0"/>
        <w:ind w:firstLine="420" w:firstLineChars="200"/>
        <w:jc w:val="both"/>
        <w:rPr>
          <w:rFonts w:ascii="Times New Roman" w:hAnsi="Times New Roman" w:cs="Times New Roman"/>
          <w:szCs w:val="21"/>
        </w:rPr>
      </w:pPr>
      <w:r>
        <w:rPr>
          <w:rFonts w:ascii="Times New Roman" w:hAnsi="Times New Roman" w:cs="Times New Roman"/>
          <w:szCs w:val="21"/>
        </w:rPr>
        <w:t>静态投资回收期（税后）</w:t>
      </w:r>
      <w:bookmarkStart w:id="117" w:name="_Hlk46949362"/>
      <w:r>
        <w:rPr>
          <w:rFonts w:ascii="Times New Roman" w:hAnsi="Times New Roman" w:cs="Times New Roman"/>
          <w:szCs w:val="21"/>
        </w:rPr>
        <w:t>P</w:t>
      </w:r>
      <w:bookmarkStart w:id="118" w:name="_Hlk48206819"/>
      <w:r>
        <w:rPr>
          <w:rFonts w:ascii="Times New Roman" w:hAnsi="Times New Roman" w:cs="Times New Roman"/>
          <w:szCs w:val="21"/>
        </w:rPr>
        <w:t>=</w:t>
      </w:r>
      <w:bookmarkEnd w:id="117"/>
      <w:bookmarkEnd w:id="118"/>
      <w:bookmarkStart w:id="119" w:name="_Hlk46152970"/>
      <w:r>
        <w:rPr>
          <w:rFonts w:ascii="Times New Roman" w:hAnsi="Times New Roman" w:cs="Times New Roman"/>
          <w:szCs w:val="21"/>
        </w:rPr>
        <w:t>3-1+10706.887/28940.4 =</w:t>
      </w:r>
      <w:bookmarkEnd w:id="119"/>
      <w:r>
        <w:rPr>
          <w:rFonts w:ascii="Times New Roman" w:hAnsi="Times New Roman" w:cs="Times New Roman"/>
          <w:szCs w:val="21"/>
        </w:rPr>
        <w:t>2.37年，小于化工企业标准的14年。</w:t>
      </w:r>
    </w:p>
    <w:p>
      <w:pPr>
        <w:widowControl/>
        <w:autoSpaceDE/>
        <w:autoSpaceDN/>
        <w:spacing w:before="0" w:beforeLines="0" w:after="0" w:afterLines="0"/>
        <w:rPr>
          <w:rFonts w:ascii="宋体" w:hAnsi="宋体" w:cs="宋体"/>
          <w:sz w:val="24"/>
          <w:szCs w:val="24"/>
        </w:rPr>
      </w:pPr>
      <w:r>
        <w:rPr>
          <w:rFonts w:hint="eastAsia" w:ascii="宋体" w:hAnsi="宋体" w:cs="宋体"/>
          <w:b/>
          <w:bCs/>
          <w:color w:val="000000"/>
          <w:szCs w:val="21"/>
        </w:rPr>
        <w:t>（</w:t>
      </w:r>
      <w:r>
        <w:rPr>
          <w:rFonts w:ascii="宋体" w:hAnsi="宋体" w:cs="宋体"/>
          <w:b/>
          <w:bCs/>
          <w:color w:val="000000"/>
          <w:szCs w:val="21"/>
        </w:rPr>
        <w:t>2</w:t>
      </w:r>
      <w:r>
        <w:rPr>
          <w:rFonts w:hint="eastAsia" w:ascii="宋体" w:hAnsi="宋体" w:cs="宋体"/>
          <w:b/>
          <w:bCs/>
          <w:color w:val="000000"/>
          <w:szCs w:val="21"/>
        </w:rPr>
        <w:t>）投资利润率</w:t>
      </w:r>
      <w:r>
        <w:rPr>
          <w:rFonts w:hint="eastAsia" w:eastAsia="仿宋" w:cs="宋体"/>
          <w:b/>
          <w:bCs/>
          <w:color w:val="000000"/>
          <w:szCs w:val="21"/>
        </w:rPr>
        <w:t xml:space="preserve"> </w:t>
      </w:r>
    </w:p>
    <w:p>
      <w:pPr>
        <w:autoSpaceDE/>
        <w:autoSpaceDN/>
        <w:spacing w:before="0" w:beforeLines="0" w:after="0" w:afterLines="0"/>
        <w:ind w:firstLine="420" w:firstLineChars="200"/>
        <w:jc w:val="both"/>
        <w:rPr>
          <w:rFonts w:ascii="Times New Roman" w:hAnsi="Times New Roman" w:cs="Times New Roman"/>
          <w:position w:val="-4"/>
          <w:szCs w:val="21"/>
        </w:rPr>
      </w:pPr>
      <w:r>
        <w:rPr>
          <w:rFonts w:hint="eastAsia" w:ascii="Times New Roman" w:hAnsi="Times New Roman" w:cs="Times New Roman"/>
          <w:position w:val="-4"/>
          <w:szCs w:val="21"/>
        </w:rPr>
        <w:t>投资利润率</w:t>
      </w:r>
      <w:r>
        <w:rPr>
          <w:rFonts w:ascii="Times New Roman" w:hAnsi="Times New Roman" w:cs="Times New Roman"/>
          <w:position w:val="-4"/>
          <w:szCs w:val="21"/>
        </w:rPr>
        <w:t>=</w:t>
      </w:r>
      <w:r>
        <w:rPr>
          <w:rFonts w:hint="eastAsia" w:ascii="Times New Roman" w:hAnsi="Times New Roman" w:cs="Times New Roman"/>
          <w:position w:val="-4"/>
          <w:szCs w:val="21"/>
        </w:rPr>
        <w:t>年利润总额</w:t>
      </w:r>
      <w:r>
        <w:rPr>
          <w:rFonts w:ascii="Times New Roman" w:hAnsi="Times New Roman" w:cs="Times New Roman"/>
          <w:position w:val="-4"/>
          <w:szCs w:val="21"/>
        </w:rPr>
        <w:t>/</w:t>
      </w:r>
      <w:r>
        <w:rPr>
          <w:rFonts w:hint="eastAsia" w:ascii="Times New Roman" w:hAnsi="Times New Roman" w:cs="Times New Roman"/>
          <w:position w:val="-4"/>
          <w:szCs w:val="21"/>
        </w:rPr>
        <w:t>总投资额×</w:t>
      </w:r>
      <w:r>
        <w:rPr>
          <w:rFonts w:ascii="Times New Roman" w:hAnsi="Times New Roman" w:cs="Times New Roman"/>
          <w:position w:val="-4"/>
          <w:szCs w:val="21"/>
        </w:rPr>
        <w:t>100%=133.01</w:t>
      </w:r>
      <w:r>
        <w:rPr>
          <w:rFonts w:hint="eastAsia" w:ascii="Times New Roman" w:hAnsi="Times New Roman" w:cs="Times New Roman"/>
          <w:position w:val="-4"/>
          <w:szCs w:val="21"/>
        </w:rPr>
        <w:t>＞</w:t>
      </w:r>
      <w:r>
        <w:rPr>
          <w:rFonts w:ascii="Times New Roman" w:hAnsi="Times New Roman" w:cs="Times New Roman"/>
          <w:position w:val="-4"/>
          <w:szCs w:val="21"/>
        </w:rPr>
        <w:t>26%</w:t>
      </w:r>
      <w:r>
        <w:rPr>
          <w:rFonts w:hint="eastAsia" w:ascii="Times New Roman" w:hAnsi="Times New Roman" w:cs="Times New Roman"/>
          <w:position w:val="-4"/>
          <w:szCs w:val="21"/>
        </w:rPr>
        <w:t xml:space="preserve">，项目可取。 </w:t>
      </w:r>
    </w:p>
    <w:p>
      <w:pPr>
        <w:widowControl/>
        <w:autoSpaceDE/>
        <w:autoSpaceDN/>
        <w:spacing w:before="0" w:beforeLines="0" w:after="0" w:afterLines="0"/>
        <w:rPr>
          <w:rFonts w:ascii="宋体" w:hAnsi="宋体" w:cs="宋体"/>
          <w:b/>
          <w:bCs/>
          <w:color w:val="000000"/>
          <w:szCs w:val="21"/>
        </w:rPr>
      </w:pPr>
      <w:r>
        <w:rPr>
          <w:rFonts w:hint="eastAsia" w:ascii="宋体" w:hAnsi="宋体" w:cs="宋体"/>
          <w:b/>
          <w:bCs/>
          <w:color w:val="000000"/>
          <w:szCs w:val="21"/>
        </w:rPr>
        <w:t>（</w:t>
      </w:r>
      <w:r>
        <w:rPr>
          <w:rFonts w:ascii="宋体" w:hAnsi="宋体" w:cs="宋体"/>
          <w:b/>
          <w:bCs/>
          <w:color w:val="000000"/>
          <w:szCs w:val="21"/>
        </w:rPr>
        <w:t>3</w:t>
      </w:r>
      <w:r>
        <w:rPr>
          <w:rFonts w:hint="eastAsia" w:ascii="宋体" w:hAnsi="宋体" w:cs="宋体"/>
          <w:b/>
          <w:bCs/>
          <w:color w:val="000000"/>
          <w:szCs w:val="21"/>
        </w:rPr>
        <w:t xml:space="preserve">）投资利税率 </w:t>
      </w:r>
    </w:p>
    <w:p>
      <w:pPr>
        <w:autoSpaceDE/>
        <w:autoSpaceDN/>
        <w:spacing w:before="0" w:beforeLines="0" w:after="0" w:afterLines="0"/>
        <w:ind w:firstLine="420" w:firstLineChars="200"/>
        <w:jc w:val="both"/>
        <w:rPr>
          <w:rFonts w:ascii="Times New Roman" w:hAnsi="Times New Roman" w:cs="Times New Roman"/>
          <w:position w:val="-4"/>
          <w:szCs w:val="21"/>
        </w:rPr>
      </w:pPr>
      <w:r>
        <w:rPr>
          <w:rFonts w:hint="eastAsia" w:ascii="Times New Roman" w:hAnsi="Times New Roman" w:cs="Times New Roman"/>
          <w:position w:val="-4"/>
          <w:szCs w:val="21"/>
        </w:rPr>
        <w:t>投资利税率</w:t>
      </w:r>
      <w:r>
        <w:rPr>
          <w:rFonts w:ascii="Times New Roman" w:hAnsi="Times New Roman" w:cs="Times New Roman"/>
          <w:position w:val="-4"/>
          <w:szCs w:val="21"/>
        </w:rPr>
        <w:t>=</w:t>
      </w:r>
      <w:r>
        <w:rPr>
          <w:rFonts w:hint="eastAsia" w:ascii="Times New Roman" w:hAnsi="Times New Roman" w:cs="Times New Roman"/>
          <w:position w:val="-4"/>
          <w:szCs w:val="21"/>
        </w:rPr>
        <w:t>年利税总额</w:t>
      </w:r>
      <w:r>
        <w:rPr>
          <w:rFonts w:ascii="Times New Roman" w:hAnsi="Times New Roman" w:cs="Times New Roman"/>
          <w:position w:val="-4"/>
          <w:szCs w:val="21"/>
        </w:rPr>
        <w:t>/</w:t>
      </w:r>
      <w:r>
        <w:rPr>
          <w:rFonts w:hint="eastAsia" w:ascii="Times New Roman" w:hAnsi="Times New Roman" w:cs="Times New Roman"/>
          <w:position w:val="-4"/>
          <w:szCs w:val="21"/>
        </w:rPr>
        <w:t>总投资额×</w:t>
      </w:r>
      <w:r>
        <w:rPr>
          <w:rFonts w:ascii="Times New Roman" w:hAnsi="Times New Roman" w:cs="Times New Roman"/>
          <w:position w:val="-4"/>
          <w:szCs w:val="21"/>
        </w:rPr>
        <w:t>100%=</w:t>
      </w:r>
      <w:r>
        <w:rPr>
          <w:rFonts w:hint="eastAsia" w:ascii="Times New Roman" w:hAnsi="Times New Roman" w:cs="Times New Roman"/>
          <w:position w:val="-4"/>
          <w:szCs w:val="21"/>
        </w:rPr>
        <w:t>（年利润总额</w:t>
      </w:r>
      <w:r>
        <w:rPr>
          <w:rFonts w:ascii="Times New Roman" w:hAnsi="Times New Roman" w:cs="Times New Roman"/>
          <w:position w:val="-4"/>
          <w:szCs w:val="21"/>
        </w:rPr>
        <w:t>+</w:t>
      </w:r>
      <w:r>
        <w:rPr>
          <w:rFonts w:hint="eastAsia" w:ascii="Times New Roman" w:hAnsi="Times New Roman" w:cs="Times New Roman"/>
          <w:position w:val="-4"/>
          <w:szCs w:val="21"/>
        </w:rPr>
        <w:t>年销售税金及附加）</w:t>
      </w:r>
      <w:r>
        <w:rPr>
          <w:rFonts w:ascii="Times New Roman" w:hAnsi="Times New Roman" w:cs="Times New Roman"/>
          <w:position w:val="-4"/>
          <w:szCs w:val="21"/>
        </w:rPr>
        <w:t>/</w:t>
      </w:r>
      <w:r>
        <w:rPr>
          <w:rFonts w:hint="eastAsia" w:ascii="Times New Roman" w:hAnsi="Times New Roman" w:cs="Times New Roman"/>
          <w:position w:val="-4"/>
          <w:szCs w:val="21"/>
        </w:rPr>
        <w:t xml:space="preserve">总投资 </w:t>
      </w:r>
    </w:p>
    <w:p>
      <w:pPr>
        <w:autoSpaceDE/>
        <w:autoSpaceDN/>
        <w:spacing w:before="0" w:beforeLines="0" w:after="0" w:afterLines="0"/>
        <w:ind w:firstLine="420" w:firstLineChars="200"/>
        <w:jc w:val="both"/>
        <w:rPr>
          <w:rFonts w:ascii="Times New Roman" w:hAnsi="Times New Roman" w:cs="Times New Roman"/>
          <w:position w:val="-4"/>
          <w:szCs w:val="21"/>
        </w:rPr>
      </w:pPr>
      <w:r>
        <w:rPr>
          <w:rFonts w:hint="eastAsia" w:ascii="Times New Roman" w:hAnsi="Times New Roman" w:cs="Times New Roman"/>
          <w:position w:val="-4"/>
          <w:szCs w:val="21"/>
        </w:rPr>
        <w:t>额</w:t>
      </w:r>
      <w:r>
        <w:rPr>
          <w:rFonts w:ascii="Times New Roman" w:hAnsi="Times New Roman" w:cs="Times New Roman"/>
          <w:position w:val="-4"/>
          <w:szCs w:val="21"/>
        </w:rPr>
        <w:t>=155.61&gt;38%</w:t>
      </w:r>
      <w:r>
        <w:rPr>
          <w:rFonts w:hint="eastAsia" w:ascii="Times New Roman" w:hAnsi="Times New Roman" w:cs="Times New Roman"/>
          <w:position w:val="-4"/>
          <w:szCs w:val="21"/>
        </w:rPr>
        <w:t xml:space="preserve">，初步判断项目可行。 </w:t>
      </w:r>
    </w:p>
    <w:p>
      <w:pPr>
        <w:widowControl/>
        <w:autoSpaceDE/>
        <w:autoSpaceDN/>
        <w:spacing w:before="0" w:beforeLines="0" w:after="0" w:afterLines="0"/>
        <w:rPr>
          <w:rFonts w:ascii="宋体" w:hAnsi="宋体" w:cs="宋体"/>
          <w:sz w:val="24"/>
          <w:szCs w:val="24"/>
        </w:rPr>
      </w:pPr>
      <w:r>
        <w:rPr>
          <w:rFonts w:hint="eastAsia" w:ascii="宋体" w:hAnsi="宋体" w:cs="宋体"/>
          <w:b/>
          <w:bCs/>
          <w:color w:val="000000"/>
          <w:szCs w:val="21"/>
        </w:rPr>
        <w:t>（</w:t>
      </w:r>
      <w:r>
        <w:rPr>
          <w:rFonts w:ascii="宋体" w:hAnsi="宋体" w:cs="宋体"/>
          <w:b/>
          <w:bCs/>
          <w:color w:val="000000"/>
          <w:szCs w:val="21"/>
        </w:rPr>
        <w:t>4</w:t>
      </w:r>
      <w:r>
        <w:rPr>
          <w:rFonts w:hint="eastAsia" w:ascii="宋体" w:hAnsi="宋体" w:cs="宋体"/>
          <w:b/>
          <w:bCs/>
          <w:color w:val="000000"/>
          <w:szCs w:val="21"/>
        </w:rPr>
        <w:t>）资本金净利润率</w:t>
      </w:r>
      <w:r>
        <w:rPr>
          <w:rFonts w:hint="eastAsia" w:eastAsia="仿宋" w:cs="宋体"/>
          <w:b/>
          <w:bCs/>
          <w:color w:val="000000"/>
          <w:szCs w:val="21"/>
        </w:rPr>
        <w:t xml:space="preserve"> </w:t>
      </w:r>
    </w:p>
    <w:p>
      <w:pPr>
        <w:widowControl/>
        <w:autoSpaceDE/>
        <w:autoSpaceDN/>
        <w:spacing w:before="0" w:beforeLines="0" w:after="0" w:afterLines="0"/>
        <w:rPr>
          <w:rFonts w:ascii="宋体" w:hAnsi="宋体" w:cs="宋体"/>
          <w:sz w:val="24"/>
          <w:szCs w:val="24"/>
        </w:rPr>
      </w:pPr>
      <w:r>
        <w:rPr>
          <w:rFonts w:hint="eastAsia" w:ascii="宋体" w:hAnsi="宋体" w:cs="宋体"/>
          <w:color w:val="000000"/>
          <w:szCs w:val="21"/>
        </w:rPr>
        <w:t>资本金净利润率</w:t>
      </w:r>
      <w:r>
        <w:rPr>
          <w:rFonts w:ascii="宋体" w:hAnsi="宋体" w:cs="Times New Roman"/>
          <w:color w:val="000000"/>
          <w:szCs w:val="21"/>
        </w:rPr>
        <w:t>=</w:t>
      </w:r>
      <w:r>
        <w:rPr>
          <w:rFonts w:hint="eastAsia" w:ascii="宋体" w:hAnsi="宋体" w:cs="宋体"/>
          <w:color w:val="000000"/>
          <w:szCs w:val="21"/>
        </w:rPr>
        <w:t>年净利润</w:t>
      </w:r>
      <w:r>
        <w:rPr>
          <w:rFonts w:ascii="宋体" w:hAnsi="宋体" w:cs="Times New Roman"/>
          <w:color w:val="000000"/>
          <w:szCs w:val="21"/>
        </w:rPr>
        <w:t>/</w:t>
      </w:r>
      <w:r>
        <w:rPr>
          <w:rFonts w:hint="eastAsia" w:ascii="宋体" w:hAnsi="宋体" w:cs="宋体"/>
          <w:color w:val="000000"/>
          <w:szCs w:val="21"/>
        </w:rPr>
        <w:t>项目资本金×</w:t>
      </w:r>
      <w:r>
        <w:rPr>
          <w:rFonts w:ascii="宋体" w:hAnsi="宋体" w:cs="Times New Roman"/>
          <w:color w:val="000000"/>
          <w:szCs w:val="21"/>
        </w:rPr>
        <w:t>100%=119.74%&gt;25%</w:t>
      </w:r>
      <w:r>
        <w:rPr>
          <w:rFonts w:hint="eastAsia" w:ascii="宋体" w:hAnsi="宋体" w:cs="宋体"/>
          <w:color w:val="000000"/>
          <w:szCs w:val="21"/>
        </w:rPr>
        <w:t xml:space="preserve">（化工行业标准资本金净利润率）。 </w:t>
      </w: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20" w:name="_Toc141670045"/>
      <w:r>
        <w:rPr>
          <w:rFonts w:ascii="Times New Roman" w:hAnsi="Times New Roman" w:cs="Times New Roman"/>
          <w:b/>
          <w:bCs/>
          <w:kern w:val="2"/>
          <w:sz w:val="28"/>
          <w:szCs w:val="32"/>
        </w:rPr>
        <w:t xml:space="preserve">9.4.2. </w:t>
      </w:r>
      <w:r>
        <w:rPr>
          <w:rFonts w:hint="eastAsia" w:ascii="Times New Roman" w:hAnsi="Times New Roman" w:cs="Times New Roman"/>
          <w:b/>
          <w:bCs/>
          <w:kern w:val="2"/>
          <w:sz w:val="28"/>
          <w:szCs w:val="32"/>
        </w:rPr>
        <w:t>动态指标</w:t>
      </w:r>
      <w:bookmarkEnd w:id="120"/>
      <w:r>
        <w:rPr>
          <w:rFonts w:hint="eastAsia" w:ascii="Times New Roman" w:hAnsi="Times New Roman" w:cs="Times New Roman"/>
          <w:b/>
          <w:bCs/>
          <w:kern w:val="2"/>
          <w:sz w:val="28"/>
          <w:szCs w:val="32"/>
        </w:rPr>
        <w:t xml:space="preserve"> </w:t>
      </w:r>
    </w:p>
    <w:p>
      <w:pPr>
        <w:widowControl/>
        <w:autoSpaceDE/>
        <w:autoSpaceDN/>
        <w:spacing w:before="0" w:beforeLines="0" w:after="0" w:afterLines="0"/>
        <w:rPr>
          <w:rFonts w:ascii="宋体" w:hAnsi="宋体" w:cs="宋体"/>
          <w:sz w:val="24"/>
          <w:szCs w:val="24"/>
        </w:rPr>
      </w:pPr>
      <w:r>
        <w:rPr>
          <w:rFonts w:hint="eastAsia" w:ascii="宋体" w:hAnsi="宋体" w:cs="宋体"/>
          <w:b/>
          <w:bCs/>
          <w:color w:val="000000"/>
          <w:szCs w:val="21"/>
        </w:rPr>
        <w:t>（</w:t>
      </w:r>
      <w:r>
        <w:rPr>
          <w:rFonts w:ascii="宋体" w:hAnsi="宋体" w:cs="宋体"/>
          <w:b/>
          <w:bCs/>
          <w:color w:val="000000"/>
          <w:szCs w:val="21"/>
        </w:rPr>
        <w:t>1</w:t>
      </w:r>
      <w:r>
        <w:rPr>
          <w:rFonts w:hint="eastAsia" w:ascii="宋体" w:hAnsi="宋体" w:cs="宋体"/>
          <w:b/>
          <w:bCs/>
          <w:color w:val="000000"/>
          <w:szCs w:val="21"/>
        </w:rPr>
        <w:t>）财务净现值（</w:t>
      </w:r>
      <w:r>
        <w:rPr>
          <w:rFonts w:ascii="宋体" w:hAnsi="宋体" w:cs="宋体"/>
          <w:b/>
          <w:bCs/>
          <w:color w:val="000000"/>
          <w:szCs w:val="21"/>
        </w:rPr>
        <w:t>FNPV</w:t>
      </w:r>
      <w:r>
        <w:rPr>
          <w:rFonts w:hint="eastAsia" w:ascii="宋体" w:hAnsi="宋体" w:cs="宋体"/>
          <w:b/>
          <w:bCs/>
          <w:color w:val="000000"/>
          <w:szCs w:val="21"/>
        </w:rPr>
        <w:t>）</w:t>
      </w:r>
      <w:r>
        <w:rPr>
          <w:rFonts w:hint="eastAsia" w:eastAsia="仿宋" w:cs="宋体"/>
          <w:b/>
          <w:bCs/>
          <w:color w:val="000000"/>
          <w:szCs w:val="21"/>
        </w:rPr>
        <w:t xml:space="preserve"> </w:t>
      </w:r>
    </w:p>
    <w:p>
      <w:pPr>
        <w:widowControl/>
        <w:autoSpaceDE/>
        <w:autoSpaceDN/>
        <w:spacing w:before="0" w:beforeLines="0" w:after="0" w:afterLines="0"/>
        <w:rPr>
          <w:rFonts w:eastAsia="仿宋" w:cs="宋体"/>
          <w:color w:val="000000"/>
          <w:szCs w:val="21"/>
        </w:rPr>
      </w:pPr>
      <w:r>
        <w:rPr>
          <w:rFonts w:hint="eastAsia" w:eastAsia="仿宋" w:cs="宋体"/>
          <w:color w:val="000000"/>
          <w:szCs w:val="21"/>
        </w:rPr>
        <w:t xml:space="preserve">系指按规定的折现率计算的项目计算期内净现金流量的现值之和，可按下式计算： </w:t>
      </w:r>
    </w:p>
    <w:p>
      <w:pPr>
        <w:widowControl/>
        <w:autoSpaceDE/>
        <w:autoSpaceDN/>
        <w:spacing w:before="0" w:beforeLines="0" w:after="0" w:afterLines="0"/>
        <w:jc w:val="center"/>
        <w:rPr>
          <w:rFonts w:ascii="宋体" w:hAnsi="宋体" w:cs="宋体"/>
          <w:sz w:val="24"/>
          <w:szCs w:val="24"/>
        </w:rPr>
      </w:pPr>
      <w:r>
        <w:rPr>
          <w:rFonts w:ascii="Times New Roman" w:hAnsi="Times New Roman" w:cs="Times New Roman"/>
          <w:szCs w:val="21"/>
        </w:rPr>
        <w:drawing>
          <wp:inline distT="0" distB="0" distL="0" distR="0">
            <wp:extent cx="2078355" cy="374015"/>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2078355" cy="374015"/>
                    </a:xfrm>
                    <a:prstGeom prst="rect">
                      <a:avLst/>
                    </a:prstGeom>
                    <a:noFill/>
                    <a:ln>
                      <a:noFill/>
                    </a:ln>
                  </pic:spPr>
                </pic:pic>
              </a:graphicData>
            </a:graphic>
          </wp:inline>
        </w:drawing>
      </w:r>
    </w:p>
    <w:p>
      <w:pPr>
        <w:topLinePunct/>
        <w:autoSpaceDE/>
        <w:autoSpaceDN/>
        <w:spacing w:before="0" w:beforeLines="0" w:after="0" w:afterLines="0"/>
        <w:ind w:firstLine="420"/>
        <w:jc w:val="both"/>
        <w:rPr>
          <w:rFonts w:ascii="Times New Roman" w:hAnsi="Times New Roman" w:cs="Times New Roman"/>
          <w:kern w:val="2"/>
          <w:szCs w:val="21"/>
        </w:rPr>
      </w:pPr>
      <w:r>
        <w:rPr>
          <w:rFonts w:ascii="Times New Roman" w:hAnsi="Times New Roman" w:cs="Times New Roman"/>
          <w:kern w:val="2"/>
          <w:szCs w:val="21"/>
        </w:rPr>
        <w:t xml:space="preserve">其中： </w:t>
      </w:r>
      <w:r>
        <w:rPr>
          <w:rFonts w:hint="eastAsia" w:ascii="Times New Roman" w:hAnsi="Times New Roman" w:cs="Times New Roman"/>
          <w:kern w:val="2"/>
          <w:szCs w:val="21"/>
        </w:rPr>
        <w:t>F</w:t>
      </w:r>
      <w:r>
        <w:rPr>
          <w:rFonts w:ascii="Times New Roman" w:hAnsi="Times New Roman" w:cs="Times New Roman"/>
          <w:kern w:val="2"/>
          <w:szCs w:val="21"/>
        </w:rPr>
        <w:t>NPV——净现值； i</w:t>
      </w:r>
      <w:r>
        <w:rPr>
          <w:rFonts w:ascii="Times New Roman" w:hAnsi="Times New Roman" w:cs="Times New Roman"/>
          <w:kern w:val="2"/>
          <w:szCs w:val="21"/>
          <w:vertAlign w:val="subscript"/>
        </w:rPr>
        <w:t>0</w:t>
      </w:r>
      <w:r>
        <w:rPr>
          <w:rFonts w:ascii="Times New Roman" w:hAnsi="Times New Roman" w:cs="Times New Roman"/>
          <w:kern w:val="2"/>
          <w:szCs w:val="21"/>
        </w:rPr>
        <w:t>——项目投资基准折现率（这里取13%）； CI——现金流入； CO——现金流出； CF——净现金流量； n——项目方案的寿命期。</w:t>
      </w:r>
    </w:p>
    <w:p>
      <w:pPr>
        <w:topLinePunct/>
        <w:autoSpaceDE/>
        <w:autoSpaceDN/>
        <w:spacing w:before="0" w:beforeLines="0" w:after="0" w:afterLines="0"/>
        <w:ind w:firstLine="420"/>
        <w:jc w:val="both"/>
        <w:rPr>
          <w:rFonts w:ascii="Times New Roman" w:hAnsi="Times New Roman" w:cs="Times New Roman"/>
          <w:kern w:val="2"/>
          <w:szCs w:val="21"/>
        </w:rPr>
      </w:pPr>
      <w:r>
        <w:rPr>
          <w:rFonts w:ascii="Times New Roman" w:hAnsi="Times New Roman" w:cs="Times New Roman"/>
          <w:kern w:val="2"/>
          <w:szCs w:val="21"/>
        </w:rPr>
        <w:t>计算得</w:t>
      </w:r>
      <w:r>
        <w:rPr>
          <w:rFonts w:hint="eastAsia" w:ascii="Times New Roman" w:hAnsi="Times New Roman" w:cs="Times New Roman"/>
          <w:kern w:val="2"/>
          <w:szCs w:val="21"/>
        </w:rPr>
        <w:t>F</w:t>
      </w:r>
      <w:r>
        <w:rPr>
          <w:rFonts w:ascii="Times New Roman" w:hAnsi="Times New Roman" w:cs="Times New Roman"/>
          <w:kern w:val="2"/>
          <w:szCs w:val="21"/>
        </w:rPr>
        <w:t>NPV=</w:t>
      </w:r>
      <w:r>
        <w:t xml:space="preserve"> </w:t>
      </w:r>
      <w:r>
        <w:rPr>
          <w:rFonts w:ascii="Times New Roman" w:hAnsi="Times New Roman" w:cs="Times New Roman"/>
          <w:kern w:val="2"/>
          <w:szCs w:val="21"/>
        </w:rPr>
        <w:t>260919.45（万元）＞0。</w:t>
      </w:r>
    </w:p>
    <w:p>
      <w:pPr>
        <w:widowControl/>
        <w:autoSpaceDE/>
        <w:autoSpaceDN/>
        <w:spacing w:before="0" w:beforeLines="0" w:after="0" w:afterLines="0"/>
        <w:jc w:val="center"/>
        <w:rPr>
          <w:rFonts w:ascii="宋体" w:hAnsi="宋体" w:cs="宋体"/>
          <w:b/>
          <w:sz w:val="18"/>
          <w:szCs w:val="18"/>
        </w:rPr>
      </w:pPr>
      <w:r>
        <w:rPr>
          <w:rFonts w:hint="eastAsia" w:ascii="宋体" w:hAnsi="宋体" w:cs="宋体"/>
          <w:b/>
          <w:sz w:val="18"/>
          <w:szCs w:val="18"/>
        </w:rPr>
        <w:t>表9</w:t>
      </w:r>
      <w:r>
        <w:rPr>
          <w:rFonts w:ascii="宋体" w:hAnsi="宋体" w:cs="宋体"/>
          <w:b/>
          <w:sz w:val="18"/>
          <w:szCs w:val="18"/>
        </w:rPr>
        <w:t>-13</w:t>
      </w:r>
      <w:r>
        <w:rPr>
          <w:rFonts w:hint="eastAsia" w:ascii="宋体" w:hAnsi="宋体" w:cs="宋体"/>
          <w:b/>
          <w:sz w:val="18"/>
          <w:szCs w:val="18"/>
        </w:rPr>
        <w:t>累计折现值表</w:t>
      </w:r>
    </w:p>
    <w:tbl>
      <w:tblPr>
        <w:tblStyle w:val="23"/>
        <w:tblW w:w="8640" w:type="dxa"/>
        <w:jc w:val="center"/>
        <w:tblLayout w:type="autofit"/>
        <w:tblCellMar>
          <w:top w:w="0" w:type="dxa"/>
          <w:left w:w="108" w:type="dxa"/>
          <w:bottom w:w="0" w:type="dxa"/>
          <w:right w:w="108" w:type="dxa"/>
        </w:tblCellMar>
      </w:tblPr>
      <w:tblGrid>
        <w:gridCol w:w="1538"/>
        <w:gridCol w:w="2231"/>
        <w:gridCol w:w="1341"/>
        <w:gridCol w:w="1690"/>
        <w:gridCol w:w="1840"/>
      </w:tblGrid>
      <w:tr>
        <w:tblPrEx>
          <w:tblCellMar>
            <w:top w:w="0" w:type="dxa"/>
            <w:left w:w="108" w:type="dxa"/>
            <w:bottom w:w="0" w:type="dxa"/>
            <w:right w:w="108" w:type="dxa"/>
          </w:tblCellMar>
        </w:tblPrEx>
        <w:trPr>
          <w:trHeight w:val="620" w:hRule="atLeast"/>
          <w:jc w:val="center"/>
        </w:trPr>
        <w:tc>
          <w:tcPr>
            <w:tcW w:w="1879" w:type="dxa"/>
            <w:tcBorders>
              <w:top w:val="single" w:color="000000" w:sz="8" w:space="0"/>
              <w:left w:val="single" w:color="000000" w:sz="8" w:space="0"/>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年份</w:t>
            </w:r>
            <w:r>
              <w:rPr>
                <w:rFonts w:ascii="Times New Roman" w:hAnsi="Times New Roman" w:cs="Times New Roman"/>
                <w:b/>
                <w:bCs/>
                <w:color w:val="FFFFFF"/>
                <w:szCs w:val="21"/>
              </w:rPr>
              <w:t>t</w:t>
            </w:r>
          </w:p>
        </w:tc>
        <w:tc>
          <w:tcPr>
            <w:tcW w:w="2558" w:type="dxa"/>
            <w:tcBorders>
              <w:top w:val="single" w:color="000000" w:sz="8" w:space="0"/>
              <w:left w:val="nil"/>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(CI-CO)</w:t>
            </w:r>
            <w:r>
              <w:rPr>
                <w:rFonts w:ascii="Times New Roman" w:hAnsi="Times New Roman" w:eastAsia="等线" w:cs="Times New Roman"/>
                <w:b/>
                <w:bCs/>
                <w:color w:val="FFFFFF"/>
                <w:szCs w:val="21"/>
                <w:vertAlign w:val="subscript"/>
              </w:rPr>
              <w:t>t</w:t>
            </w:r>
          </w:p>
        </w:tc>
        <w:tc>
          <w:tcPr>
            <w:tcW w:w="1501" w:type="dxa"/>
            <w:tcBorders>
              <w:top w:val="single" w:color="000000" w:sz="8" w:space="0"/>
              <w:left w:val="nil"/>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(1+i</w:t>
            </w:r>
            <w:r>
              <w:rPr>
                <w:rFonts w:ascii="Times New Roman" w:hAnsi="Times New Roman" w:eastAsia="等线" w:cs="Times New Roman"/>
                <w:b/>
                <w:bCs/>
                <w:color w:val="FFFFFF"/>
                <w:szCs w:val="21"/>
                <w:vertAlign w:val="subscript"/>
              </w:rPr>
              <w:t>n</w:t>
            </w:r>
            <w:r>
              <w:rPr>
                <w:rFonts w:ascii="Times New Roman" w:hAnsi="Times New Roman" w:eastAsia="等线" w:cs="Times New Roman"/>
                <w:b/>
                <w:bCs/>
                <w:color w:val="FFFFFF"/>
                <w:szCs w:val="21"/>
                <w:vertAlign w:val="superscript"/>
              </w:rPr>
              <w:t>*</w:t>
            </w:r>
            <w:r>
              <w:rPr>
                <w:rFonts w:ascii="Times New Roman" w:hAnsi="Times New Roman" w:eastAsia="等线" w:cs="Times New Roman"/>
                <w:b/>
                <w:bCs/>
                <w:color w:val="FFFFFF"/>
                <w:szCs w:val="21"/>
              </w:rPr>
              <w:t>)</w:t>
            </w:r>
            <w:r>
              <w:rPr>
                <w:rFonts w:ascii="Times New Roman" w:hAnsi="Times New Roman" w:eastAsia="等线" w:cs="Times New Roman"/>
                <w:b/>
                <w:bCs/>
                <w:color w:val="FFFFFF"/>
                <w:szCs w:val="21"/>
                <w:vertAlign w:val="superscript"/>
              </w:rPr>
              <w:t>t</w:t>
            </w:r>
          </w:p>
        </w:tc>
        <w:tc>
          <w:tcPr>
            <w:tcW w:w="1378" w:type="dxa"/>
            <w:tcBorders>
              <w:top w:val="single" w:color="000000" w:sz="8" w:space="0"/>
              <w:left w:val="nil"/>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(CI-CO)</w:t>
            </w:r>
            <w:r>
              <w:rPr>
                <w:rFonts w:ascii="Times New Roman" w:hAnsi="Times New Roman" w:eastAsia="等线" w:cs="Times New Roman"/>
                <w:b/>
                <w:bCs/>
                <w:color w:val="FFFFFF"/>
                <w:szCs w:val="21"/>
                <w:vertAlign w:val="subscript"/>
              </w:rPr>
              <w:t>t</w:t>
            </w:r>
            <w:r>
              <w:rPr>
                <w:rFonts w:ascii="Times New Roman" w:hAnsi="Times New Roman" w:eastAsia="等线" w:cs="Times New Roman"/>
                <w:b/>
                <w:bCs/>
                <w:color w:val="FFFFFF"/>
                <w:szCs w:val="21"/>
              </w:rPr>
              <w:t>/(1+i</w:t>
            </w:r>
            <w:r>
              <w:rPr>
                <w:rFonts w:ascii="Times New Roman" w:hAnsi="Times New Roman" w:eastAsia="等线" w:cs="Times New Roman"/>
                <w:b/>
                <w:bCs/>
                <w:color w:val="FFFFFF"/>
                <w:szCs w:val="21"/>
                <w:vertAlign w:val="subscript"/>
              </w:rPr>
              <w:t>n</w:t>
            </w:r>
            <w:r>
              <w:rPr>
                <w:rFonts w:ascii="Times New Roman" w:hAnsi="Times New Roman" w:eastAsia="等线" w:cs="Times New Roman"/>
                <w:b/>
                <w:bCs/>
                <w:color w:val="FFFFFF"/>
                <w:szCs w:val="21"/>
                <w:vertAlign w:val="superscript"/>
              </w:rPr>
              <w:t>*</w:t>
            </w:r>
            <w:r>
              <w:rPr>
                <w:rFonts w:ascii="Times New Roman" w:hAnsi="Times New Roman" w:eastAsia="等线" w:cs="Times New Roman"/>
                <w:b/>
                <w:bCs/>
                <w:color w:val="FFFFFF"/>
                <w:szCs w:val="21"/>
              </w:rPr>
              <w:t>)</w:t>
            </w:r>
            <w:r>
              <w:rPr>
                <w:rFonts w:ascii="Times New Roman" w:hAnsi="Times New Roman" w:eastAsia="等线" w:cs="Times New Roman"/>
                <w:b/>
                <w:bCs/>
                <w:color w:val="FFFFFF"/>
                <w:szCs w:val="21"/>
                <w:vertAlign w:val="superscript"/>
              </w:rPr>
              <w:t>t</w:t>
            </w:r>
          </w:p>
        </w:tc>
        <w:tc>
          <w:tcPr>
            <w:tcW w:w="1324" w:type="dxa"/>
            <w:tcBorders>
              <w:top w:val="single" w:color="000000" w:sz="8" w:space="0"/>
              <w:left w:val="nil"/>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∑(CI-CO)</w:t>
            </w:r>
            <w:r>
              <w:rPr>
                <w:rFonts w:ascii="Times New Roman" w:hAnsi="Times New Roman" w:eastAsia="等线" w:cs="Times New Roman"/>
                <w:b/>
                <w:bCs/>
                <w:color w:val="FFFFFF"/>
                <w:szCs w:val="21"/>
                <w:vertAlign w:val="subscript"/>
              </w:rPr>
              <w:t>t</w:t>
            </w:r>
            <w:r>
              <w:rPr>
                <w:rFonts w:ascii="Times New Roman" w:hAnsi="Times New Roman" w:eastAsia="等线" w:cs="Times New Roman"/>
                <w:b/>
                <w:bCs/>
                <w:color w:val="FFFFFF"/>
                <w:szCs w:val="21"/>
              </w:rPr>
              <w:t>/(1+i</w:t>
            </w:r>
            <w:r>
              <w:rPr>
                <w:rFonts w:ascii="Times New Roman" w:hAnsi="Times New Roman" w:eastAsia="等线" w:cs="Times New Roman"/>
                <w:b/>
                <w:bCs/>
                <w:color w:val="FFFFFF"/>
                <w:szCs w:val="21"/>
                <w:vertAlign w:val="subscript"/>
              </w:rPr>
              <w:t>n</w:t>
            </w:r>
            <w:r>
              <w:rPr>
                <w:rFonts w:ascii="Times New Roman" w:hAnsi="Times New Roman" w:eastAsia="等线" w:cs="Times New Roman"/>
                <w:b/>
                <w:bCs/>
                <w:color w:val="FFFFFF"/>
                <w:szCs w:val="21"/>
                <w:vertAlign w:val="superscript"/>
              </w:rPr>
              <w:t>*</w:t>
            </w:r>
            <w:r>
              <w:rPr>
                <w:rFonts w:ascii="Times New Roman" w:hAnsi="Times New Roman" w:eastAsia="等线" w:cs="Times New Roman"/>
                <w:b/>
                <w:bCs/>
                <w:color w:val="FFFFFF"/>
                <w:szCs w:val="21"/>
              </w:rPr>
              <w:t>)</w:t>
            </w:r>
            <w:r>
              <w:rPr>
                <w:rFonts w:ascii="Times New Roman" w:hAnsi="Times New Roman" w:eastAsia="等线" w:cs="Times New Roman"/>
                <w:b/>
                <w:bCs/>
                <w:color w:val="FFFFFF"/>
                <w:szCs w:val="21"/>
                <w:vertAlign w:val="superscript"/>
              </w:rPr>
              <w:t>t</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w:t>
            </w:r>
          </w:p>
        </w:tc>
        <w:tc>
          <w:tcPr>
            <w:tcW w:w="2558"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p>
        </w:tc>
        <w:tc>
          <w:tcPr>
            <w:tcW w:w="1501"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p>
        </w:tc>
        <w:tc>
          <w:tcPr>
            <w:tcW w:w="1378"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p>
        </w:tc>
        <w:tc>
          <w:tcPr>
            <w:tcW w:w="1324"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0</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-35738.45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1.13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-31626.95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-31626.95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2</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30392.33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1.28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23801.65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-7825.29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3</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39647.28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1.44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27477.56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19652.26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4</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29195.08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1.63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17905.89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37558.15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44274.76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1.84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24030.56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61588.72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6</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44274.76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2.08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21265.99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82854.70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7</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44193.38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2.35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18784.87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101639.57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8</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2.66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17406.71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119046.28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9</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3.00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15404.17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134450.44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10</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3.39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13632.00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148082.45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11</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3.84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12063.72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160146.17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12</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4.33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10675.86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170822.03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13</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4.90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9447.66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180269.69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等线" w:hAnsi="等线" w:eastAsia="等线" w:cs="宋体"/>
                <w:color w:val="000000"/>
                <w:sz w:val="22"/>
              </w:rPr>
            </w:pPr>
            <w:r>
              <w:rPr>
                <w:rFonts w:hint="eastAsia" w:ascii="等线" w:hAnsi="等线" w:eastAsia="等线" w:cs="宋体"/>
                <w:color w:val="000000"/>
                <w:sz w:val="22"/>
              </w:rPr>
              <w:t>14</w:t>
            </w:r>
          </w:p>
        </w:tc>
        <w:tc>
          <w:tcPr>
            <w:tcW w:w="255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5.53 </w:t>
            </w:r>
          </w:p>
        </w:tc>
        <w:tc>
          <w:tcPr>
            <w:tcW w:w="1378"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8360.76 </w:t>
            </w:r>
          </w:p>
        </w:tc>
        <w:tc>
          <w:tcPr>
            <w:tcW w:w="1324" w:type="dxa"/>
            <w:tcBorders>
              <w:top w:val="nil"/>
              <w:left w:val="nil"/>
              <w:bottom w:val="single" w:color="000000" w:sz="8" w:space="0"/>
              <w:right w:val="single" w:color="000000" w:sz="8" w:space="0"/>
            </w:tcBorders>
            <w:shd w:val="clear" w:color="000000" w:fill="D9E1F2"/>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188630.45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15</w:t>
            </w:r>
          </w:p>
        </w:tc>
        <w:tc>
          <w:tcPr>
            <w:tcW w:w="255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6.25 </w:t>
            </w:r>
          </w:p>
        </w:tc>
        <w:tc>
          <w:tcPr>
            <w:tcW w:w="1378"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7398.91 </w:t>
            </w:r>
          </w:p>
        </w:tc>
        <w:tc>
          <w:tcPr>
            <w:tcW w:w="1324" w:type="dxa"/>
            <w:tcBorders>
              <w:top w:val="nil"/>
              <w:left w:val="nil"/>
              <w:bottom w:val="single" w:color="000000" w:sz="8" w:space="0"/>
              <w:right w:val="single" w:color="000000" w:sz="8" w:space="0"/>
            </w:tcBorders>
            <w:shd w:val="clear" w:color="000000" w:fill="FFFFFF"/>
          </w:tcPr>
          <w:p>
            <w:pPr>
              <w:spacing w:before="0" w:beforeLines="0" w:after="0" w:afterLines="0"/>
              <w:jc w:val="center"/>
              <w:rPr>
                <w:rFonts w:ascii="等线" w:hAnsi="等线" w:eastAsia="等线"/>
                <w:color w:val="000000"/>
                <w:sz w:val="22"/>
              </w:rPr>
            </w:pPr>
            <w:r>
              <w:rPr>
                <w:rFonts w:ascii="等线" w:hAnsi="等线" w:eastAsia="等线"/>
                <w:color w:val="000000"/>
                <w:sz w:val="22"/>
              </w:rPr>
              <w:t xml:space="preserve">196029.36 </w:t>
            </w:r>
          </w:p>
        </w:tc>
      </w:tr>
    </w:tbl>
    <w:p>
      <w:pPr>
        <w:widowControl/>
        <w:autoSpaceDE/>
        <w:autoSpaceDN/>
        <w:spacing w:before="0" w:beforeLines="0" w:after="0" w:afterLines="0"/>
        <w:rPr>
          <w:rFonts w:ascii="宋体" w:hAnsi="宋体" w:cs="宋体"/>
          <w:szCs w:val="21"/>
        </w:rPr>
      </w:pPr>
    </w:p>
    <w:p>
      <w:pPr>
        <w:widowControl/>
        <w:autoSpaceDE/>
        <w:autoSpaceDN/>
        <w:spacing w:before="0" w:beforeLines="0" w:after="0" w:afterLines="0"/>
        <w:jc w:val="center"/>
        <w:rPr>
          <w:rFonts w:ascii="宋体" w:hAnsi="宋体" w:cs="宋体"/>
          <w:sz w:val="24"/>
          <w:szCs w:val="24"/>
        </w:rPr>
      </w:pPr>
      <w:r>
        <w:drawing>
          <wp:inline distT="0" distB="0" distL="0" distR="0">
            <wp:extent cx="4245610" cy="2218055"/>
            <wp:effectExtent l="0" t="0" r="2540" b="10795"/>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pPr>
        <w:widowControl/>
        <w:autoSpaceDE/>
        <w:autoSpaceDN/>
        <w:spacing w:before="0" w:beforeLines="0" w:after="0" w:afterLines="0"/>
        <w:jc w:val="center"/>
        <w:rPr>
          <w:rFonts w:ascii="宋体" w:hAnsi="宋体" w:cs="宋体"/>
          <w:b/>
          <w:sz w:val="18"/>
          <w:szCs w:val="18"/>
        </w:rPr>
      </w:pPr>
      <w:r>
        <w:rPr>
          <w:rFonts w:hint="eastAsia" w:ascii="宋体" w:hAnsi="宋体" w:cs="宋体"/>
          <w:b/>
          <w:sz w:val="18"/>
          <w:szCs w:val="18"/>
        </w:rPr>
        <w:t>图9</w:t>
      </w:r>
      <w:r>
        <w:rPr>
          <w:rFonts w:ascii="宋体" w:hAnsi="宋体" w:cs="宋体"/>
          <w:b/>
          <w:sz w:val="18"/>
          <w:szCs w:val="18"/>
        </w:rPr>
        <w:t xml:space="preserve">-2 </w:t>
      </w:r>
      <w:r>
        <w:rPr>
          <w:rFonts w:hint="eastAsia" w:ascii="宋体" w:hAnsi="宋体" w:cs="宋体"/>
          <w:b/>
          <w:sz w:val="18"/>
          <w:szCs w:val="18"/>
        </w:rPr>
        <w:t>累计折现值图</w:t>
      </w:r>
    </w:p>
    <w:p>
      <w:pPr>
        <w:widowControl/>
        <w:autoSpaceDE/>
        <w:autoSpaceDN/>
        <w:spacing w:before="0" w:beforeLines="0" w:after="0" w:afterLines="0"/>
        <w:rPr>
          <w:rFonts w:ascii="宋体" w:hAnsi="宋体" w:cs="宋体"/>
          <w:szCs w:val="21"/>
        </w:rPr>
      </w:pPr>
      <w:r>
        <w:rPr>
          <w:rFonts w:hint="eastAsia" w:ascii="宋体" w:hAnsi="宋体" w:cs="宋体"/>
          <w:szCs w:val="21"/>
        </w:rPr>
        <w:t>本项目</w:t>
      </w:r>
      <w:r>
        <w:rPr>
          <w:rFonts w:ascii="宋体" w:hAnsi="宋体" w:cs="宋体"/>
          <w:szCs w:val="21"/>
        </w:rPr>
        <w:t>FNPV=196029.36万元＞0，故该项目方案可行。</w:t>
      </w:r>
    </w:p>
    <w:p>
      <w:pPr>
        <w:widowControl/>
        <w:autoSpaceDE/>
        <w:autoSpaceDN/>
        <w:spacing w:before="0" w:beforeLines="0" w:after="0" w:afterLines="0"/>
        <w:rPr>
          <w:rFonts w:ascii="宋体" w:hAnsi="宋体" w:cs="宋体"/>
          <w:b/>
          <w:bCs/>
          <w:color w:val="000000"/>
          <w:szCs w:val="21"/>
        </w:rPr>
      </w:pPr>
      <w:r>
        <w:rPr>
          <w:rFonts w:hint="eastAsia" w:ascii="宋体" w:hAnsi="宋体" w:cs="宋体"/>
          <w:b/>
          <w:bCs/>
          <w:color w:val="000000"/>
          <w:szCs w:val="21"/>
        </w:rPr>
        <w:t>（</w:t>
      </w:r>
      <w:r>
        <w:rPr>
          <w:rFonts w:ascii="宋体" w:hAnsi="宋体" w:cs="宋体"/>
          <w:b/>
          <w:bCs/>
          <w:color w:val="000000"/>
          <w:szCs w:val="21"/>
        </w:rPr>
        <w:t>2</w:t>
      </w:r>
      <w:r>
        <w:rPr>
          <w:rFonts w:hint="eastAsia" w:ascii="宋体" w:hAnsi="宋体" w:cs="宋体"/>
          <w:b/>
          <w:bCs/>
          <w:color w:val="000000"/>
          <w:szCs w:val="21"/>
        </w:rPr>
        <w:t>）动态投资回收期</w:t>
      </w:r>
    </w:p>
    <w:p>
      <w:pPr>
        <w:widowControl/>
        <w:autoSpaceDE/>
        <w:autoSpaceDN/>
        <w:spacing w:before="0" w:beforeLines="0" w:after="0" w:afterLines="0"/>
        <w:rPr>
          <w:rFonts w:ascii="宋体" w:hAnsi="宋体" w:cs="宋体"/>
          <w:sz w:val="24"/>
          <w:szCs w:val="24"/>
        </w:rPr>
      </w:pPr>
      <w:r>
        <w:rPr>
          <w:rFonts w:hint="eastAsia" w:ascii="宋体" w:hAnsi="宋体" w:cs="宋体"/>
          <w:color w:val="000000"/>
          <w:szCs w:val="21"/>
        </w:rPr>
        <w:t xml:space="preserve">考虑到折现率之后的投资回收期，计算方式同静态投资回收期。本项目的动态投资回收 </w:t>
      </w:r>
    </w:p>
    <w:p>
      <w:pPr>
        <w:widowControl/>
        <w:autoSpaceDE/>
        <w:autoSpaceDN/>
        <w:spacing w:before="0" w:beforeLines="0" w:after="0" w:afterLines="0"/>
        <w:rPr>
          <w:rFonts w:ascii="宋体" w:hAnsi="宋体" w:cs="宋体"/>
          <w:sz w:val="24"/>
          <w:szCs w:val="24"/>
        </w:rPr>
      </w:pPr>
      <w:r>
        <w:rPr>
          <w:rFonts w:hint="eastAsia" w:ascii="宋体" w:hAnsi="宋体" w:cs="宋体"/>
          <w:color w:val="000000"/>
          <w:szCs w:val="21"/>
        </w:rPr>
        <w:t xml:space="preserve">期 </w:t>
      </w:r>
      <w:r>
        <w:rPr>
          <w:rFonts w:ascii="宋体" w:hAnsi="宋体" w:cs="Times New Roman"/>
          <w:color w:val="000000"/>
          <w:szCs w:val="21"/>
        </w:rPr>
        <w:t>P=</w:t>
      </w:r>
      <w:r>
        <w:rPr>
          <w:rFonts w:ascii="宋体" w:hAnsi="宋体" w:cs="宋体"/>
          <w:color w:val="000000"/>
          <w:szCs w:val="21"/>
        </w:rPr>
        <w:t>3</w:t>
      </w:r>
      <w:r>
        <w:rPr>
          <w:rFonts w:hint="eastAsia" w:ascii="微软雅黑" w:hAnsi="微软雅黑" w:eastAsia="微软雅黑" w:cs="微软雅黑"/>
          <w:color w:val="000000"/>
          <w:szCs w:val="21"/>
        </w:rPr>
        <w:t>−</w:t>
      </w:r>
      <w:r>
        <w:rPr>
          <w:rFonts w:ascii="宋体" w:hAnsi="宋体" w:cs="宋体"/>
          <w:color w:val="000000"/>
          <w:szCs w:val="21"/>
        </w:rPr>
        <w:t>1+7825.29/39647.28=2.19</w:t>
      </w:r>
      <w:r>
        <w:rPr>
          <w:rFonts w:hint="eastAsia" w:ascii="宋体" w:hAnsi="宋体" w:cs="宋体"/>
          <w:color w:val="000000"/>
          <w:szCs w:val="21"/>
        </w:rPr>
        <w:t>年</w:t>
      </w:r>
    </w:p>
    <w:p>
      <w:pPr>
        <w:widowControl/>
        <w:autoSpaceDE/>
        <w:autoSpaceDN/>
        <w:spacing w:before="0" w:beforeLines="0" w:after="0" w:afterLines="0"/>
        <w:rPr>
          <w:rFonts w:ascii="宋体" w:hAnsi="宋体" w:cs="宋体"/>
          <w:b/>
          <w:bCs/>
          <w:color w:val="000000"/>
          <w:szCs w:val="21"/>
        </w:rPr>
      </w:pPr>
      <w:r>
        <w:rPr>
          <w:rFonts w:hint="eastAsia" w:ascii="宋体" w:hAnsi="宋体" w:cs="宋体"/>
          <w:b/>
          <w:bCs/>
          <w:color w:val="000000"/>
          <w:szCs w:val="21"/>
        </w:rPr>
        <w:t>（3）项目财务内部收益率（F</w:t>
      </w:r>
      <w:r>
        <w:rPr>
          <w:rFonts w:ascii="宋体" w:hAnsi="宋体" w:cs="宋体"/>
          <w:b/>
          <w:bCs/>
          <w:color w:val="000000"/>
          <w:szCs w:val="21"/>
        </w:rPr>
        <w:t>IRR</w:t>
      </w:r>
      <w:r>
        <w:rPr>
          <w:rFonts w:hint="eastAsia" w:ascii="宋体" w:hAnsi="宋体" w:cs="宋体"/>
          <w:b/>
          <w:bCs/>
          <w:color w:val="000000"/>
          <w:szCs w:val="21"/>
        </w:rPr>
        <w:t>）</w:t>
      </w:r>
    </w:p>
    <w:p>
      <w:pPr>
        <w:pStyle w:val="52"/>
        <w:spacing w:line="240" w:lineRule="auto"/>
        <w:ind w:firstLine="420" w:firstLineChars="0"/>
        <w:rPr>
          <w:rFonts w:eastAsia="宋体"/>
          <w:sz w:val="21"/>
          <w:szCs w:val="21"/>
        </w:rPr>
      </w:pPr>
      <w:bookmarkStart w:id="121" w:name="_Toc12689"/>
      <w:r>
        <w:rPr>
          <w:rFonts w:eastAsia="宋体"/>
          <w:sz w:val="21"/>
          <w:szCs w:val="21"/>
        </w:rPr>
        <w:t>指项目在整个计算期内各年净现金流量现值累计等于零时的折现率，它反映项目所占用资金的盈利率，是考察项目盈利能力的主要动态评价标准。计算方法如下：</w:t>
      </w:r>
      <w:bookmarkEnd w:id="121"/>
    </w:p>
    <w:p>
      <w:pPr>
        <w:pStyle w:val="52"/>
        <w:spacing w:line="240" w:lineRule="auto"/>
        <w:ind w:firstLine="480"/>
        <w:jc w:val="center"/>
        <w:rPr>
          <w:rFonts w:eastAsia="宋体"/>
        </w:rPr>
      </w:pPr>
      <w:r>
        <w:rPr>
          <w:rFonts w:eastAsia="宋体"/>
        </w:rPr>
        <w:drawing>
          <wp:inline distT="0" distB="0" distL="0" distR="0">
            <wp:extent cx="1153160" cy="43116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68656" cy="437325"/>
                    </a:xfrm>
                    <a:prstGeom prst="rect">
                      <a:avLst/>
                    </a:prstGeom>
                    <a:noFill/>
                    <a:ln>
                      <a:noFill/>
                    </a:ln>
                  </pic:spPr>
                </pic:pic>
              </a:graphicData>
            </a:graphic>
          </wp:inline>
        </w:drawing>
      </w:r>
    </w:p>
    <w:p>
      <w:pPr>
        <w:pStyle w:val="52"/>
        <w:spacing w:line="240" w:lineRule="auto"/>
        <w:ind w:firstLine="420" w:firstLineChars="0"/>
        <w:rPr>
          <w:rFonts w:eastAsia="宋体"/>
          <w:sz w:val="21"/>
          <w:szCs w:val="21"/>
        </w:rPr>
      </w:pPr>
      <w:bookmarkStart w:id="122" w:name="_Toc24793"/>
      <w:r>
        <w:rPr>
          <w:rFonts w:eastAsia="宋体"/>
          <w:sz w:val="21"/>
          <w:szCs w:val="21"/>
        </w:rPr>
        <w:t>其中，FIRR：内部收益率；CF：净现金流量；n：项目方案的寿命期。利用EXCEL财务公式计算得：FIRR=89.1%&gt;</w:t>
      </w:r>
      <w:r>
        <w:rPr>
          <w:rFonts w:hint="eastAsia" w:eastAsia="宋体"/>
          <w:sz w:val="21"/>
          <w:szCs w:val="21"/>
        </w:rPr>
        <w:t>标准内部收益率</w:t>
      </w:r>
      <w:r>
        <w:rPr>
          <w:rFonts w:eastAsia="宋体"/>
          <w:sz w:val="21"/>
          <w:szCs w:val="21"/>
        </w:rPr>
        <w:t>1</w:t>
      </w:r>
      <w:r>
        <w:rPr>
          <w:rFonts w:hint="eastAsia" w:eastAsia="宋体"/>
          <w:sz w:val="21"/>
          <w:szCs w:val="21"/>
        </w:rPr>
        <w:t>3</w:t>
      </w:r>
      <w:r>
        <w:rPr>
          <w:rFonts w:eastAsia="宋体"/>
          <w:sz w:val="21"/>
          <w:szCs w:val="21"/>
        </w:rPr>
        <w:t>%，故该项目方案可行。</w:t>
      </w:r>
      <w:bookmarkEnd w:id="122"/>
    </w:p>
    <w:p>
      <w:pPr>
        <w:pStyle w:val="52"/>
        <w:spacing w:line="240" w:lineRule="auto"/>
        <w:ind w:firstLine="420" w:firstLineChars="0"/>
        <w:rPr>
          <w:rFonts w:eastAsia="宋体"/>
          <w:sz w:val="21"/>
          <w:szCs w:val="21"/>
        </w:rPr>
      </w:pPr>
      <w:r>
        <w:rPr>
          <w:rFonts w:hint="eastAsia" w:eastAsia="宋体"/>
          <w:sz w:val="21"/>
          <w:szCs w:val="21"/>
        </w:rPr>
        <w:t>（4）权益投资内部收益率（I</w:t>
      </w:r>
      <w:r>
        <w:rPr>
          <w:rFonts w:eastAsia="宋体"/>
          <w:sz w:val="21"/>
          <w:szCs w:val="21"/>
        </w:rPr>
        <w:t>RR</w:t>
      </w:r>
      <w:r>
        <w:rPr>
          <w:rFonts w:hint="eastAsia" w:eastAsia="宋体"/>
          <w:sz w:val="21"/>
          <w:szCs w:val="21"/>
        </w:rPr>
        <w:t>）</w:t>
      </w:r>
    </w:p>
    <w:p>
      <w:pPr>
        <w:pStyle w:val="52"/>
        <w:spacing w:line="240" w:lineRule="auto"/>
        <w:ind w:firstLine="420" w:firstLineChars="0"/>
        <w:rPr>
          <w:rFonts w:eastAsia="宋体"/>
          <w:sz w:val="21"/>
          <w:szCs w:val="21"/>
        </w:rPr>
      </w:pPr>
      <w:r>
        <w:rPr>
          <w:rFonts w:hint="eastAsia" w:eastAsia="宋体"/>
          <w:sz w:val="21"/>
          <w:szCs w:val="21"/>
        </w:rPr>
        <w:t>由权益投资财务现金流量表数据可以利用财务公式估算得到权益投资内部收益率为1</w:t>
      </w:r>
      <w:r>
        <w:rPr>
          <w:rFonts w:eastAsia="宋体"/>
          <w:sz w:val="21"/>
          <w:szCs w:val="21"/>
        </w:rPr>
        <w:t>04.208%</w:t>
      </w:r>
      <w:r>
        <w:rPr>
          <w:rFonts w:hint="eastAsia" w:eastAsia="宋体"/>
          <w:sz w:val="21"/>
          <w:szCs w:val="21"/>
        </w:rPr>
        <w:t>，大于行业标准1</w:t>
      </w:r>
      <w:r>
        <w:rPr>
          <w:rFonts w:eastAsia="宋体"/>
          <w:sz w:val="21"/>
          <w:szCs w:val="21"/>
        </w:rPr>
        <w:t>5%</w:t>
      </w:r>
      <w:r>
        <w:rPr>
          <w:rFonts w:hint="eastAsia" w:eastAsia="宋体"/>
          <w:sz w:val="21"/>
          <w:szCs w:val="21"/>
        </w:rPr>
        <w:t>，故方案可行。</w:t>
      </w: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23" w:name="_Toc141670046"/>
      <w:r>
        <w:rPr>
          <w:rFonts w:ascii="Times New Roman" w:hAnsi="Times New Roman" w:cs="Times New Roman"/>
          <w:b/>
          <w:bCs/>
          <w:kern w:val="2"/>
          <w:sz w:val="28"/>
          <w:szCs w:val="32"/>
        </w:rPr>
        <w:t>9.4.3. 清偿能力分析</w:t>
      </w:r>
      <w:bookmarkEnd w:id="123"/>
    </w:p>
    <w:p>
      <w:pPr>
        <w:widowControl/>
        <w:autoSpaceDE/>
        <w:autoSpaceDN/>
        <w:spacing w:before="0" w:beforeLines="0" w:after="0" w:afterLines="0"/>
        <w:rPr>
          <w:rFonts w:ascii="宋体" w:hAnsi="宋体" w:cs="宋体"/>
          <w:szCs w:val="21"/>
        </w:rPr>
      </w:pPr>
      <w:r>
        <w:rPr>
          <w:rFonts w:hint="eastAsia" w:ascii="宋体" w:hAnsi="宋体" w:cs="宋体"/>
          <w:szCs w:val="21"/>
        </w:rPr>
        <w:t>本项目固定资产投资贷款为</w:t>
      </w:r>
      <w:r>
        <w:rPr>
          <w:rFonts w:ascii="宋体" w:hAnsi="宋体" w:cs="宋体"/>
          <w:szCs w:val="21"/>
        </w:rPr>
        <w:t>10000万元，在生产期内用项目的未分配利润、折旧费及</w:t>
      </w:r>
      <w:r>
        <w:rPr>
          <w:rFonts w:hint="eastAsia" w:ascii="宋体" w:hAnsi="宋体" w:cs="宋体"/>
          <w:szCs w:val="21"/>
        </w:rPr>
        <w:t>摊销费以最大能力偿还。从借款还本付息表可知，该项目建设投资借款偿还期为</w:t>
      </w:r>
      <w:r>
        <w:rPr>
          <w:rFonts w:ascii="宋体" w:hAnsi="宋体" w:cs="宋体"/>
          <w:szCs w:val="21"/>
        </w:rPr>
        <w:t>6年（包</w:t>
      </w:r>
      <w:r>
        <w:rPr>
          <w:rFonts w:hint="eastAsia" w:ascii="宋体" w:hAnsi="宋体" w:cs="宋体"/>
          <w:szCs w:val="21"/>
        </w:rPr>
        <w:t>括建设期</w:t>
      </w:r>
      <w:r>
        <w:rPr>
          <w:rFonts w:ascii="宋体" w:hAnsi="宋体" w:cs="宋体"/>
          <w:szCs w:val="21"/>
        </w:rPr>
        <w:t>1年）。项目流动资金借款于项目终止年份回收偿还。该项目具有较好的贷款偿还</w:t>
      </w:r>
      <w:r>
        <w:rPr>
          <w:rFonts w:hint="eastAsia" w:ascii="宋体" w:hAnsi="宋体" w:cs="宋体"/>
          <w:szCs w:val="21"/>
        </w:rPr>
        <w:t>能力。</w:t>
      </w:r>
    </w:p>
    <w:p>
      <w:pPr>
        <w:pStyle w:val="3"/>
        <w:spacing w:before="156" w:after="156"/>
        <w:rPr>
          <w:rFonts w:ascii="Times New Roman" w:hAnsi="Times New Roman" w:eastAsia="宋体" w:cs="Times New Roman"/>
        </w:rPr>
      </w:pPr>
      <w:bookmarkStart w:id="124" w:name="_Toc141670047"/>
      <w:r>
        <w:rPr>
          <w:rFonts w:ascii="Times New Roman" w:hAnsi="Times New Roman" w:eastAsia="宋体" w:cs="Times New Roman"/>
        </w:rPr>
        <w:t>9.5 不确定性分析</w:t>
      </w:r>
      <w:bookmarkEnd w:id="124"/>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25" w:name="_Toc28512"/>
      <w:bookmarkStart w:id="126" w:name="_Toc141670048"/>
      <w:r>
        <w:rPr>
          <w:rFonts w:ascii="Times New Roman" w:hAnsi="Times New Roman" w:cs="Times New Roman"/>
          <w:b/>
          <w:bCs/>
          <w:kern w:val="2"/>
          <w:sz w:val="28"/>
          <w:szCs w:val="32"/>
        </w:rPr>
        <w:t>9.5.1 盈亏平衡点</w:t>
      </w:r>
      <w:bookmarkEnd w:id="125"/>
      <w:bookmarkEnd w:id="126"/>
    </w:p>
    <w:p>
      <w:pPr>
        <w:autoSpaceDE/>
        <w:autoSpaceDN/>
        <w:spacing w:before="0" w:beforeLines="0" w:after="0" w:afterLines="0" w:line="360" w:lineRule="auto"/>
        <w:ind w:firstLine="420" w:firstLineChars="200"/>
        <w:jc w:val="center"/>
        <w:rPr>
          <w:rFonts w:ascii="Times New Roman" w:hAnsi="Times New Roman" w:cs="Times New Roman"/>
          <w:kern w:val="2"/>
        </w:rPr>
      </w:pPr>
      <m:oMathPara>
        <m:oMath>
          <m:sSub>
            <w:bookmarkStart w:id="127" w:name="_Hlk46153167"/>
            <m:sSubPr>
              <m:ctrlPr>
                <w:rPr>
                  <w:rFonts w:ascii="Cambria Math" w:hAnsi="Cambria Math" w:cs="Times New Roman"/>
                  <w:kern w:val="2"/>
                </w:rPr>
              </m:ctrlPr>
            </m:sSubPr>
            <m:e>
              <m:r>
                <m:rPr/>
                <w:rPr>
                  <w:rFonts w:ascii="Cambria Math" w:hAnsi="Cambria Math" w:cs="Times New Roman"/>
                  <w:kern w:val="2"/>
                </w:rPr>
                <m:t>BEP</m:t>
              </m:r>
              <m:ctrlPr>
                <w:rPr>
                  <w:rFonts w:ascii="Cambria Math" w:hAnsi="Cambria Math" w:cs="Times New Roman"/>
                  <w:kern w:val="2"/>
                </w:rPr>
              </m:ctrlPr>
            </m:e>
            <m:sub>
              <m:r>
                <m:rPr/>
                <w:rPr>
                  <w:rFonts w:ascii="Cambria Math" w:hAnsi="Cambria Math" w:cs="Times New Roman"/>
                  <w:kern w:val="2"/>
                </w:rPr>
                <m:t>Q</m:t>
              </m:r>
              <m:ctrlPr>
                <w:rPr>
                  <w:rFonts w:ascii="Cambria Math" w:hAnsi="Cambria Math" w:cs="Times New Roman"/>
                  <w:kern w:val="2"/>
                </w:rPr>
              </m:ctrlPr>
            </m:sub>
          </m:sSub>
          <m:r>
            <m:rPr/>
            <w:rPr>
              <w:rFonts w:ascii="Cambria Math" w:hAnsi="Cambria Math" w:cs="Times New Roman"/>
              <w:kern w:val="2"/>
            </w:rPr>
            <m:t>=</m:t>
          </m:r>
          <m:f>
            <m:fPr>
              <m:ctrlPr>
                <w:rPr>
                  <w:rFonts w:ascii="Cambria Math" w:hAnsi="Cambria Math" w:cs="Times New Roman"/>
                  <w:i/>
                  <w:kern w:val="2"/>
                </w:rPr>
              </m:ctrlPr>
            </m:fPr>
            <m:num>
              <m:r>
                <m:rPr/>
                <w:rPr>
                  <w:rFonts w:ascii="Cambria Math" w:hAnsi="Cambria Math" w:cs="Times New Roman"/>
                  <w:kern w:val="2"/>
                </w:rPr>
                <m:t>F</m:t>
              </m:r>
              <m:ctrlPr>
                <w:rPr>
                  <w:rFonts w:ascii="Cambria Math" w:hAnsi="Cambria Math" w:cs="Times New Roman"/>
                  <w:i/>
                  <w:kern w:val="2"/>
                </w:rPr>
              </m:ctrlPr>
            </m:num>
            <m:den>
              <m:r>
                <m:rPr/>
                <w:rPr>
                  <w:rFonts w:ascii="Cambria Math" w:hAnsi="Cambria Math" w:cs="Times New Roman"/>
                  <w:kern w:val="2"/>
                </w:rPr>
                <m:t>P−V−m</m:t>
              </m:r>
              <m:ctrlPr>
                <w:rPr>
                  <w:rFonts w:ascii="Cambria Math" w:hAnsi="Cambria Math" w:cs="Times New Roman"/>
                  <w:i/>
                  <w:kern w:val="2"/>
                </w:rPr>
              </m:ctrlPr>
            </m:den>
          </m:f>
          <m:r>
            <m:rPr/>
            <w:rPr>
              <w:rFonts w:ascii="Cambria Math" w:hAnsi="Cambria Math" w:cs="Times New Roman"/>
              <w:kern w:val="2"/>
            </w:rPr>
            <m:t>=</m:t>
          </m:r>
          <m:f>
            <m:fPr>
              <m:ctrlPr>
                <w:rPr>
                  <w:rFonts w:ascii="Cambria Math" w:hAnsi="Cambria Math" w:cs="Times New Roman"/>
                  <w:i/>
                  <w:kern w:val="2"/>
                </w:rPr>
              </m:ctrlPr>
            </m:fPr>
            <m:num>
              <m:r>
                <m:rPr>
                  <m:sty m:val="p"/>
                </m:rPr>
                <w:rPr>
                  <w:rFonts w:ascii="Cambria Math" w:hAnsi="Cambria Math" w:cs="Times New Roman"/>
                  <w:kern w:val="2"/>
                  <w:szCs w:val="21"/>
                </w:rPr>
                <m:t>4317.34</m:t>
              </m:r>
              <m:ctrlPr>
                <w:rPr>
                  <w:rFonts w:ascii="Cambria Math" w:hAnsi="Cambria Math" w:cs="Times New Roman"/>
                  <w:i/>
                  <w:kern w:val="2"/>
                </w:rPr>
              </m:ctrlPr>
            </m:num>
            <m:den>
              <m:r>
                <m:rPr>
                  <m:sty m:val="p"/>
                </m:rPr>
                <w:rPr>
                  <w:rFonts w:ascii="Cambria Math" w:hAnsi="Cambria Math" w:cs="Times New Roman"/>
                  <w:kern w:val="2"/>
                  <w:szCs w:val="21"/>
                </w:rPr>
                <m:t>40049.19</m:t>
              </m:r>
              <m:r>
                <m:rPr/>
                <w:rPr>
                  <w:rFonts w:ascii="Cambria Math" w:hAnsi="Cambria Math" w:cs="Times New Roman"/>
                  <w:kern w:val="2"/>
                </w:rPr>
                <m:t>−</m:t>
              </m:r>
              <m:r>
                <m:rPr>
                  <m:sty m:val="p"/>
                </m:rPr>
                <w:rPr>
                  <w:rFonts w:ascii="Cambria Math" w:hAnsi="Cambria Math" w:cs="Times New Roman"/>
                  <w:kern w:val="2"/>
                  <w:szCs w:val="21"/>
                </w:rPr>
                <m:t>34597.76</m:t>
              </m:r>
              <m:r>
                <m:rPr/>
                <w:rPr>
                  <w:rFonts w:ascii="Cambria Math" w:hAnsi="Cambria Math" w:cs="Times New Roman"/>
                  <w:kern w:val="2"/>
                </w:rPr>
                <m:t>−</m:t>
              </m:r>
              <m:r>
                <m:rPr>
                  <m:sty m:val="p"/>
                </m:rPr>
                <w:rPr>
                  <w:rFonts w:ascii="Cambria Math" w:hAnsi="Cambria Math" w:cs="Times New Roman"/>
                  <w:kern w:val="2"/>
                  <w:szCs w:val="21"/>
                </w:rPr>
                <m:t>4607.43</m:t>
              </m:r>
              <m:ctrlPr>
                <w:rPr>
                  <w:rFonts w:ascii="Cambria Math" w:hAnsi="Cambria Math" w:cs="Times New Roman"/>
                  <w:i/>
                  <w:kern w:val="2"/>
                </w:rPr>
              </m:ctrlPr>
            </m:den>
          </m:f>
          <m:r>
            <m:rPr>
              <m:sty m:val="p"/>
            </m:rPr>
            <w:rPr>
              <w:rFonts w:ascii="Cambria Math" w:hAnsi="Cambria Math" w:cs="Times New Roman"/>
              <w:kern w:val="2"/>
            </w:rPr>
            <m:t>=5.12</m:t>
          </m:r>
          <m:r>
            <m:rPr>
              <m:sty m:val="p"/>
            </m:rPr>
            <w:rPr>
              <w:rFonts w:hint="eastAsia" w:ascii="Cambria Math" w:hAnsi="Cambria Math" w:cs="Times New Roman"/>
              <w:kern w:val="2"/>
            </w:rPr>
            <m:t>万吨</m:t>
          </m:r>
        </m:oMath>
      </m:oMathPara>
    </w:p>
    <w:p>
      <w:pPr>
        <w:autoSpaceDE/>
        <w:autoSpaceDN/>
        <w:spacing w:before="0" w:beforeLines="0" w:after="0" w:afterLines="0" w:line="276" w:lineRule="auto"/>
        <w:ind w:firstLine="420" w:firstLineChars="200"/>
        <w:jc w:val="both"/>
        <w:rPr>
          <w:rFonts w:ascii="Times New Roman" w:hAnsi="Times New Roman" w:cs="Times New Roman"/>
          <w:kern w:val="2"/>
        </w:rPr>
      </w:pPr>
      <w:r>
        <w:rPr>
          <w:rFonts w:ascii="Times New Roman" w:hAnsi="Times New Roman" w:cs="Times New Roman"/>
          <w:kern w:val="2"/>
        </w:rPr>
        <w:t>即当项目的年</w:t>
      </w:r>
      <w:r>
        <w:rPr>
          <w:rFonts w:hint="eastAsia" w:ascii="Times New Roman" w:hAnsi="Times New Roman" w:cs="Times New Roman"/>
          <w:kern w:val="2"/>
        </w:rPr>
        <w:t>己二腈及副产物</w:t>
      </w:r>
      <w:r>
        <w:rPr>
          <w:rFonts w:ascii="Times New Roman" w:hAnsi="Times New Roman" w:cs="Times New Roman"/>
          <w:kern w:val="2"/>
        </w:rPr>
        <w:t>产销量高于5.12万吨时，总收入即可大于总支出，项目可以盈利。</w:t>
      </w:r>
    </w:p>
    <w:p>
      <w:pPr>
        <w:autoSpaceDE/>
        <w:autoSpaceDN/>
        <w:spacing w:before="0" w:beforeLines="0" w:after="0" w:afterLines="0" w:line="276" w:lineRule="auto"/>
        <w:ind w:firstLine="420" w:firstLineChars="200"/>
        <w:jc w:val="both"/>
        <w:rPr>
          <w:rFonts w:ascii="Times New Roman" w:hAnsi="Times New Roman" w:cs="Times New Roman"/>
          <w:kern w:val="2"/>
        </w:rPr>
      </w:pPr>
      <w:r>
        <w:rPr>
          <w:rFonts w:ascii="Times New Roman" w:hAnsi="Times New Roman" w:cs="Times New Roman"/>
          <w:kern w:val="2"/>
        </w:rPr>
        <w:t>产销所允许降低的最大幅度为：</w:t>
      </w:r>
    </w:p>
    <w:p>
      <w:pPr>
        <w:autoSpaceDE/>
        <w:autoSpaceDN/>
        <w:spacing w:before="0" w:beforeLines="0" w:after="0" w:afterLines="0" w:line="360" w:lineRule="auto"/>
        <w:jc w:val="both"/>
        <w:rPr>
          <w:rFonts w:ascii="Times New Roman" w:hAnsi="Times New Roman" w:cs="Times New Roman"/>
          <w:kern w:val="2"/>
        </w:rPr>
      </w:pPr>
      <m:oMathPara>
        <m:oMath>
          <m:f>
            <m:fPr>
              <m:ctrlPr>
                <w:rPr>
                  <w:rFonts w:ascii="Cambria Math" w:hAnsi="Cambria Math" w:cs="Times New Roman"/>
                  <w:kern w:val="2"/>
                </w:rPr>
              </m:ctrlPr>
            </m:fPr>
            <m:num>
              <m:r>
                <m:rPr/>
                <w:rPr>
                  <w:rFonts w:ascii="Cambria Math" w:hAnsi="Cambria Math" w:cs="Times New Roman"/>
                  <w:kern w:val="2"/>
                </w:rPr>
                <m:t>Q−</m:t>
              </m:r>
              <m:sSub>
                <m:sSubPr>
                  <m:ctrlPr>
                    <w:rPr>
                      <w:rFonts w:ascii="Cambria Math" w:hAnsi="Cambria Math" w:cs="Times New Roman"/>
                      <w:kern w:val="2"/>
                    </w:rPr>
                  </m:ctrlPr>
                </m:sSubPr>
                <m:e>
                  <m:r>
                    <m:rPr/>
                    <w:rPr>
                      <w:rFonts w:ascii="Cambria Math" w:hAnsi="Cambria Math" w:cs="Times New Roman"/>
                      <w:kern w:val="2"/>
                    </w:rPr>
                    <m:t>BEP</m:t>
                  </m:r>
                  <m:ctrlPr>
                    <w:rPr>
                      <w:rFonts w:ascii="Cambria Math" w:hAnsi="Cambria Math" w:cs="Times New Roman"/>
                      <w:kern w:val="2"/>
                    </w:rPr>
                  </m:ctrlPr>
                </m:e>
                <m:sub>
                  <m:r>
                    <m:rPr/>
                    <w:rPr>
                      <w:rFonts w:ascii="Cambria Math" w:hAnsi="Cambria Math" w:cs="Times New Roman"/>
                      <w:kern w:val="2"/>
                    </w:rPr>
                    <m:t>Q</m:t>
                  </m:r>
                  <m:ctrlPr>
                    <w:rPr>
                      <w:rFonts w:ascii="Cambria Math" w:hAnsi="Cambria Math" w:cs="Times New Roman"/>
                      <w:kern w:val="2"/>
                    </w:rPr>
                  </m:ctrlPr>
                </m:sub>
              </m:sSub>
              <m:ctrlPr>
                <w:rPr>
                  <w:rFonts w:ascii="Cambria Math" w:hAnsi="Cambria Math" w:cs="Times New Roman"/>
                  <w:kern w:val="2"/>
                </w:rPr>
              </m:ctrlPr>
            </m:num>
            <m:den>
              <m:r>
                <m:rPr/>
                <w:rPr>
                  <w:rFonts w:ascii="Cambria Math" w:hAnsi="Cambria Math" w:cs="Times New Roman"/>
                  <w:kern w:val="2"/>
                </w:rPr>
                <m:t>Q</m:t>
              </m:r>
              <m:ctrlPr>
                <w:rPr>
                  <w:rFonts w:ascii="Cambria Math" w:hAnsi="Cambria Math" w:cs="Times New Roman"/>
                  <w:kern w:val="2"/>
                </w:rPr>
              </m:ctrlPr>
            </m:den>
          </m:f>
          <m:r>
            <m:rPr/>
            <w:rPr>
              <w:rFonts w:ascii="Cambria Math" w:hAnsi="Cambria Math" w:cs="Times New Roman"/>
              <w:kern w:val="2"/>
            </w:rPr>
            <m:t>×100%=</m:t>
          </m:r>
          <m:f>
            <m:fPr>
              <m:ctrlPr>
                <w:rPr>
                  <w:rFonts w:ascii="Cambria Math" w:hAnsi="Cambria Math" w:cs="Times New Roman"/>
                  <w:i/>
                  <w:kern w:val="2"/>
                </w:rPr>
              </m:ctrlPr>
            </m:fPr>
            <m:num>
              <m:r>
                <m:rPr>
                  <m:sty m:val="p"/>
                </m:rPr>
                <w:rPr>
                  <w:rFonts w:ascii="Cambria Math" w:hAnsi="Cambria Math" w:cs="Times New Roman"/>
                  <w:kern w:val="2"/>
                  <w:szCs w:val="21"/>
                </w:rPr>
                <m:t>130371.35</m:t>
              </m:r>
              <m:r>
                <m:rPr/>
                <w:rPr>
                  <w:rFonts w:ascii="Cambria Math" w:hAnsi="Cambria Math" w:cs="Times New Roman"/>
                  <w:kern w:val="2"/>
                </w:rPr>
                <m:t>−5.12 ×</m:t>
              </m:r>
              <m:sSup>
                <m:sSupPr>
                  <m:ctrlPr>
                    <w:rPr>
                      <w:rFonts w:ascii="Cambria Math" w:hAnsi="Cambria Math" w:cs="Times New Roman"/>
                      <w:i/>
                      <w:kern w:val="2"/>
                    </w:rPr>
                  </m:ctrlPr>
                </m:sSupPr>
                <m:e>
                  <m:r>
                    <m:rPr/>
                    <w:rPr>
                      <w:rFonts w:ascii="Cambria Math" w:hAnsi="Cambria Math" w:cs="Times New Roman"/>
                      <w:kern w:val="2"/>
                    </w:rPr>
                    <m:t>10</m:t>
                  </m:r>
                  <m:ctrlPr>
                    <w:rPr>
                      <w:rFonts w:ascii="Cambria Math" w:hAnsi="Cambria Math" w:cs="Times New Roman"/>
                      <w:i/>
                      <w:kern w:val="2"/>
                    </w:rPr>
                  </m:ctrlPr>
                </m:e>
                <m:sup>
                  <m:r>
                    <m:rPr/>
                    <w:rPr>
                      <w:rFonts w:ascii="Cambria Math" w:hAnsi="Cambria Math" w:cs="Times New Roman"/>
                      <w:kern w:val="2"/>
                    </w:rPr>
                    <m:t>4</m:t>
                  </m:r>
                  <m:ctrlPr>
                    <w:rPr>
                      <w:rFonts w:ascii="Cambria Math" w:hAnsi="Cambria Math" w:cs="Times New Roman"/>
                      <w:i/>
                      <w:kern w:val="2"/>
                    </w:rPr>
                  </m:ctrlPr>
                </m:sup>
              </m:sSup>
              <m:ctrlPr>
                <w:rPr>
                  <w:rFonts w:ascii="Cambria Math" w:hAnsi="Cambria Math" w:cs="Times New Roman"/>
                  <w:i/>
                  <w:kern w:val="2"/>
                </w:rPr>
              </m:ctrlPr>
            </m:num>
            <m:den>
              <m:r>
                <m:rPr>
                  <m:sty m:val="p"/>
                </m:rPr>
                <w:rPr>
                  <w:rFonts w:ascii="Cambria Math" w:hAnsi="Cambria Math" w:cs="Times New Roman"/>
                  <w:kern w:val="2"/>
                  <w:szCs w:val="21"/>
                </w:rPr>
                <m:t>130371.35</m:t>
              </m:r>
              <m:ctrlPr>
                <w:rPr>
                  <w:rFonts w:ascii="Cambria Math" w:hAnsi="Cambria Math" w:cs="Times New Roman"/>
                  <w:i/>
                  <w:kern w:val="2"/>
                </w:rPr>
              </m:ctrlPr>
            </m:den>
          </m:f>
          <m:r>
            <m:rPr/>
            <w:rPr>
              <w:rFonts w:ascii="Cambria Math" w:hAnsi="Cambria Math" w:cs="Times New Roman"/>
              <w:kern w:val="2"/>
            </w:rPr>
            <m:t>×100%=60.76%</m:t>
          </m:r>
        </m:oMath>
      </m:oMathPara>
    </w:p>
    <w:p>
      <w:pPr>
        <w:autoSpaceDE/>
        <w:autoSpaceDN/>
        <w:spacing w:before="0" w:beforeLines="0" w:after="0" w:afterLines="0" w:line="276" w:lineRule="auto"/>
        <w:ind w:firstLine="420" w:firstLineChars="200"/>
        <w:jc w:val="both"/>
        <w:rPr>
          <w:rFonts w:ascii="Times New Roman" w:hAnsi="Times New Roman" w:cs="Times New Roman"/>
          <w:kern w:val="2"/>
        </w:rPr>
      </w:pPr>
      <w:r>
        <w:rPr>
          <w:rFonts w:ascii="Times New Roman" w:hAnsi="Times New Roman" w:cs="Times New Roman"/>
          <w:kern w:val="2"/>
        </w:rPr>
        <w:t>该数值说明了只要产销量降幅在60.76%以内，本项目均可以盈利。在产品滞销，竞争激烈的时候，只要生产（销售）少量的产品，就能达到收支平衡，使项目得以维持生存。较低的BEP</w:t>
      </w:r>
      <w:r>
        <w:rPr>
          <w:rFonts w:ascii="Times New Roman" w:hAnsi="Times New Roman" w:cs="Times New Roman"/>
          <w:kern w:val="2"/>
          <w:vertAlign w:val="subscript"/>
        </w:rPr>
        <w:t>Q</w:t>
      </w:r>
      <w:r>
        <w:rPr>
          <w:rFonts w:ascii="Times New Roman" w:hAnsi="Times New Roman" w:cs="Times New Roman"/>
          <w:kern w:val="2"/>
        </w:rPr>
        <w:t>，说明项目承担风险的能力强，竞争能力强，项目生命力也较强。</w:t>
      </w:r>
    </w:p>
    <w:p>
      <w:pPr>
        <w:autoSpaceDE/>
        <w:autoSpaceDN/>
        <w:spacing w:before="0" w:beforeLines="0" w:after="0" w:afterLines="0" w:line="276" w:lineRule="auto"/>
        <w:ind w:firstLine="420" w:firstLineChars="200"/>
        <w:jc w:val="both"/>
        <w:rPr>
          <w:rFonts w:ascii="Times New Roman" w:hAnsi="Times New Roman" w:cs="Times New Roman"/>
          <w:kern w:val="2"/>
        </w:rPr>
      </w:pPr>
      <w:r>
        <w:rPr>
          <w:rFonts w:ascii="Times New Roman" w:hAnsi="Times New Roman" w:cs="Times New Roman"/>
          <w:kern w:val="2"/>
        </w:rPr>
        <w:t>另外，计算该项目的销售单价盈亏平衡点</w:t>
      </w:r>
    </w:p>
    <w:p>
      <w:pPr>
        <w:autoSpaceDE/>
        <w:autoSpaceDN/>
        <w:spacing w:before="0" w:beforeLines="0" w:after="0" w:afterLines="0"/>
        <w:jc w:val="center"/>
        <w:rPr>
          <w:rFonts w:ascii="Times New Roman" w:hAnsi="Times New Roman" w:cs="Times New Roman"/>
          <w:kern w:val="2"/>
        </w:rPr>
      </w:pPr>
      <m:oMath>
        <m:sSub>
          <m:sSubPr>
            <m:ctrlPr>
              <w:rPr>
                <w:rFonts w:ascii="Cambria Math" w:hAnsi="Cambria Math" w:cs="Times New Roman"/>
                <w:kern w:val="2"/>
              </w:rPr>
            </m:ctrlPr>
          </m:sSubPr>
          <m:e>
            <m:r>
              <m:rPr/>
              <w:rPr>
                <w:rFonts w:ascii="Cambria Math" w:hAnsi="Cambria Math" w:cs="Times New Roman"/>
                <w:kern w:val="2"/>
              </w:rPr>
              <m:t>BEP</m:t>
            </m:r>
            <m:ctrlPr>
              <w:rPr>
                <w:rFonts w:ascii="Cambria Math" w:hAnsi="Cambria Math" w:cs="Times New Roman"/>
                <w:kern w:val="2"/>
              </w:rPr>
            </m:ctrlPr>
          </m:e>
          <m:sub>
            <m:r>
              <m:rPr/>
              <w:rPr>
                <w:rFonts w:ascii="Cambria Math" w:hAnsi="Cambria Math" w:cs="Times New Roman"/>
                <w:kern w:val="2"/>
              </w:rPr>
              <m:t>L</m:t>
            </m:r>
            <m:ctrlPr>
              <w:rPr>
                <w:rFonts w:ascii="Cambria Math" w:hAnsi="Cambria Math" w:cs="Times New Roman"/>
                <w:kern w:val="2"/>
              </w:rPr>
            </m:ctrlPr>
          </m:sub>
        </m:sSub>
        <m:r>
          <m:rPr/>
          <w:rPr>
            <w:rFonts w:ascii="Cambria Math" w:hAnsi="Cambria Math" w:cs="Times New Roman"/>
            <w:kern w:val="2"/>
          </w:rPr>
          <m:t>=</m:t>
        </m:r>
        <m:f>
          <m:fPr>
            <m:ctrlPr>
              <w:rPr>
                <w:rFonts w:ascii="Cambria Math" w:hAnsi="Cambria Math" w:cs="Times New Roman"/>
                <w:i/>
                <w:kern w:val="2"/>
              </w:rPr>
            </m:ctrlPr>
          </m:fPr>
          <m:num>
            <m:r>
              <m:rPr/>
              <w:rPr>
                <w:rFonts w:ascii="Cambria Math" w:hAnsi="Cambria Math" w:cs="Times New Roman"/>
                <w:kern w:val="2"/>
              </w:rPr>
              <m:t>F+V×Q</m:t>
            </m:r>
            <m:ctrlPr>
              <w:rPr>
                <w:rFonts w:ascii="Cambria Math" w:hAnsi="Cambria Math" w:cs="Times New Roman"/>
                <w:i/>
                <w:kern w:val="2"/>
              </w:rPr>
            </m:ctrlPr>
          </m:num>
          <m:den>
            <m:r>
              <m:rPr/>
              <w:rPr>
                <w:rFonts w:ascii="Cambria Math" w:hAnsi="Cambria Math" w:cs="Times New Roman"/>
                <w:kern w:val="2"/>
              </w:rPr>
              <m:t>Q(1−</m:t>
            </m:r>
            <m:f>
              <m:fPr>
                <m:ctrlPr>
                  <w:rPr>
                    <w:rFonts w:ascii="Cambria Math" w:hAnsi="Cambria Math" w:cs="Times New Roman"/>
                    <w:i/>
                    <w:kern w:val="2"/>
                  </w:rPr>
                </m:ctrlPr>
              </m:fPr>
              <m:num>
                <m:r>
                  <m:rPr/>
                  <w:rPr>
                    <w:rFonts w:ascii="Cambria Math" w:hAnsi="Cambria Math" w:cs="Times New Roman"/>
                    <w:kern w:val="2"/>
                  </w:rPr>
                  <m:t>m</m:t>
                </m:r>
                <m:ctrlPr>
                  <w:rPr>
                    <w:rFonts w:ascii="Cambria Math" w:hAnsi="Cambria Math" w:cs="Times New Roman"/>
                    <w:i/>
                    <w:kern w:val="2"/>
                  </w:rPr>
                </m:ctrlPr>
              </m:num>
              <m:den>
                <m:r>
                  <m:rPr/>
                  <w:rPr>
                    <w:rFonts w:ascii="Cambria Math" w:hAnsi="Cambria Math" w:cs="Times New Roman"/>
                    <w:kern w:val="2"/>
                  </w:rPr>
                  <m:t>P</m:t>
                </m:r>
                <m:ctrlPr>
                  <w:rPr>
                    <w:rFonts w:ascii="Cambria Math" w:hAnsi="Cambria Math" w:cs="Times New Roman"/>
                    <w:i/>
                    <w:kern w:val="2"/>
                  </w:rPr>
                </m:ctrlPr>
              </m:den>
            </m:f>
            <m:r>
              <m:rPr/>
              <w:rPr>
                <w:rFonts w:ascii="Cambria Math" w:hAnsi="Cambria Math" w:cs="Times New Roman"/>
                <w:kern w:val="2"/>
              </w:rPr>
              <m:t>)</m:t>
            </m:r>
            <m:ctrlPr>
              <w:rPr>
                <w:rFonts w:ascii="Cambria Math" w:hAnsi="Cambria Math" w:cs="Times New Roman"/>
                <w:i/>
                <w:kern w:val="2"/>
              </w:rPr>
            </m:ctrlPr>
          </m:den>
        </m:f>
        <m:r>
          <m:rPr/>
          <w:rPr>
            <w:rFonts w:ascii="Cambria Math" w:hAnsi="Cambria Math" w:cs="Times New Roman"/>
            <w:kern w:val="2"/>
          </w:rPr>
          <m:t>=39469.67</m:t>
        </m:r>
      </m:oMath>
      <w:r>
        <w:rPr>
          <w:rFonts w:ascii="Times New Roman" w:hAnsi="Times New Roman" w:cs="Times New Roman"/>
          <w:kern w:val="2"/>
        </w:rPr>
        <w:t>元/吨</w:t>
      </w:r>
    </w:p>
    <w:p>
      <w:pPr>
        <w:autoSpaceDE/>
        <w:autoSpaceDN/>
        <w:spacing w:before="0" w:beforeLines="0" w:after="0" w:afterLines="0" w:line="276" w:lineRule="auto"/>
        <w:ind w:firstLine="420" w:firstLineChars="200"/>
        <w:jc w:val="both"/>
        <w:rPr>
          <w:rFonts w:ascii="Times New Roman" w:hAnsi="Times New Roman" w:cs="Times New Roman"/>
          <w:kern w:val="2"/>
        </w:rPr>
      </w:pPr>
      <w:r>
        <w:rPr>
          <w:rFonts w:ascii="Times New Roman" w:hAnsi="Times New Roman" w:cs="Times New Roman"/>
          <w:kern w:val="2"/>
        </w:rPr>
        <w:t>即当项目产品的综合售价达到</w:t>
      </w:r>
      <m:oMath>
        <m:r>
          <m:rPr/>
          <w:rPr>
            <w:rFonts w:ascii="Cambria Math" w:hAnsi="Cambria Math" w:cs="Times New Roman"/>
            <w:kern w:val="2"/>
          </w:rPr>
          <m:t>39469.67</m:t>
        </m:r>
      </m:oMath>
      <w:r>
        <w:rPr>
          <w:rFonts w:ascii="Times New Roman" w:hAnsi="Times New Roman" w:cs="Times New Roman"/>
          <w:kern w:val="2"/>
        </w:rPr>
        <w:t>元/吨时，总收入即可大于总支出，项目可以盈利。</w:t>
      </w:r>
    </w:p>
    <w:bookmarkEnd w:id="127"/>
    <w:p>
      <w:pPr>
        <w:spacing w:before="156" w:after="156"/>
        <w:jc w:val="center"/>
      </w:pPr>
      <w:r>
        <w:drawing>
          <wp:inline distT="0" distB="0" distL="0" distR="0">
            <wp:extent cx="4516755" cy="2735580"/>
            <wp:effectExtent l="0" t="0" r="17145" b="762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pPr>
        <w:spacing w:before="156" w:after="156"/>
        <w:jc w:val="center"/>
        <w:rPr>
          <w:b/>
          <w:sz w:val="18"/>
          <w:szCs w:val="18"/>
        </w:rPr>
      </w:pPr>
      <w:r>
        <w:rPr>
          <w:rFonts w:hint="eastAsia"/>
          <w:b/>
          <w:sz w:val="18"/>
          <w:szCs w:val="18"/>
        </w:rPr>
        <w:t>图9</w:t>
      </w:r>
      <w:r>
        <w:rPr>
          <w:b/>
          <w:sz w:val="18"/>
          <w:szCs w:val="18"/>
        </w:rPr>
        <w:t xml:space="preserve">-3 </w:t>
      </w:r>
      <w:r>
        <w:rPr>
          <w:rFonts w:hint="eastAsia"/>
          <w:b/>
          <w:sz w:val="18"/>
          <w:szCs w:val="18"/>
        </w:rPr>
        <w:t>盈亏平衡分析</w:t>
      </w:r>
    </w:p>
    <w:p>
      <w:pPr>
        <w:autoSpaceDE/>
        <w:autoSpaceDN/>
        <w:spacing w:before="0" w:beforeLines="0" w:after="0" w:afterLines="0"/>
        <w:ind w:firstLine="420" w:firstLineChars="200"/>
        <w:jc w:val="both"/>
        <w:rPr>
          <w:rFonts w:ascii="Times New Roman" w:hAnsi="Times New Roman" w:cs="Times New Roman"/>
          <w:kern w:val="2"/>
        </w:rPr>
      </w:pPr>
      <w:r>
        <w:rPr>
          <w:rFonts w:hint="eastAsia" w:ascii="Times New Roman" w:hAnsi="Times New Roman" w:cs="Times New Roman"/>
          <w:kern w:val="2"/>
        </w:rPr>
        <w:t>由上述盈亏平衡分析计算可得</w:t>
      </w:r>
      <w:r>
        <w:rPr>
          <w:rFonts w:ascii="Times New Roman" w:hAnsi="Times New Roman" w:cs="Times New Roman"/>
          <w:kern w:val="2"/>
        </w:rPr>
        <w:t>5.12万吨/年为盈亏平衡点</w:t>
      </w:r>
      <w:r>
        <w:rPr>
          <w:rFonts w:hint="eastAsia" w:ascii="Times New Roman" w:hAnsi="Times New Roman" w:cs="Times New Roman"/>
          <w:kern w:val="2"/>
        </w:rPr>
        <w:t>，盈亏平衡点生产能力利用率为</w:t>
      </w:r>
      <w:r>
        <w:rPr>
          <w:rFonts w:ascii="Times New Roman" w:hAnsi="Times New Roman" w:cs="Times New Roman"/>
          <w:kern w:val="2"/>
        </w:rPr>
        <w:t>39.27%</w:t>
      </w:r>
      <w:r>
        <w:rPr>
          <w:rFonts w:hint="eastAsia" w:ascii="Times New Roman" w:hAnsi="Times New Roman" w:cs="Times New Roman"/>
          <w:kern w:val="2"/>
        </w:rPr>
        <w:t>，</w:t>
      </w:r>
      <w:r>
        <w:rPr>
          <w:rFonts w:ascii="Times New Roman" w:hAnsi="Times New Roman" w:cs="Times New Roman"/>
          <w:kern w:val="2"/>
        </w:rPr>
        <w:t>项目抗风险能力较强。</w:t>
      </w:r>
    </w:p>
    <w:p>
      <w:pPr>
        <w:keepLines/>
        <w:autoSpaceDE/>
        <w:autoSpaceDN/>
        <w:spacing w:before="0" w:beforeLines="0" w:after="0" w:afterLines="0"/>
        <w:jc w:val="both"/>
        <w:outlineLvl w:val="2"/>
        <w:rPr>
          <w:rFonts w:ascii="Times New Roman" w:hAnsi="Times New Roman" w:cs="Times New Roman"/>
          <w:b/>
          <w:bCs/>
          <w:kern w:val="2"/>
          <w:sz w:val="28"/>
          <w:szCs w:val="32"/>
        </w:rPr>
      </w:pPr>
      <w:bookmarkStart w:id="128" w:name="_Toc141670049"/>
      <w:bookmarkStart w:id="129" w:name="_Toc11394"/>
      <w:r>
        <w:rPr>
          <w:rFonts w:ascii="Times New Roman" w:hAnsi="Times New Roman" w:cs="Times New Roman"/>
          <w:b/>
          <w:bCs/>
          <w:kern w:val="2"/>
          <w:sz w:val="28"/>
          <w:szCs w:val="32"/>
        </w:rPr>
        <w:t>9.5.2 敏感性分析</w:t>
      </w:r>
      <w:bookmarkEnd w:id="128"/>
      <w:bookmarkEnd w:id="129"/>
    </w:p>
    <w:p>
      <w:pPr>
        <w:autoSpaceDE/>
        <w:autoSpaceDN/>
        <w:spacing w:before="0" w:beforeLines="0" w:after="0" w:afterLines="0"/>
        <w:ind w:firstLine="420" w:firstLineChars="200"/>
        <w:jc w:val="both"/>
        <w:rPr>
          <w:rFonts w:ascii="Times New Roman" w:hAnsi="Times New Roman" w:cs="Times New Roman"/>
          <w:kern w:val="2"/>
          <w:szCs w:val="21"/>
        </w:rPr>
      </w:pPr>
      <w:r>
        <w:rPr>
          <w:rFonts w:ascii="Times New Roman" w:hAnsi="Times New Roman" w:cs="Times New Roman"/>
          <w:kern w:val="2"/>
          <w:szCs w:val="21"/>
        </w:rPr>
        <w:t>分别以经营成本、</w:t>
      </w:r>
      <w:r>
        <w:rPr>
          <w:rFonts w:hint="eastAsia" w:ascii="Times New Roman" w:hAnsi="Times New Roman" w:cs="Times New Roman"/>
          <w:kern w:val="2"/>
          <w:szCs w:val="21"/>
        </w:rPr>
        <w:t>己二腈</w:t>
      </w:r>
      <w:r>
        <w:rPr>
          <w:rFonts w:ascii="Times New Roman" w:hAnsi="Times New Roman" w:cs="Times New Roman"/>
          <w:kern w:val="2"/>
          <w:szCs w:val="21"/>
        </w:rPr>
        <w:t>产量和主产品价格为变动因素，考虑它们对财务净现值的影响。</w:t>
      </w:r>
    </w:p>
    <w:p>
      <w:pPr>
        <w:autoSpaceDE/>
        <w:autoSpaceDN/>
        <w:spacing w:before="0" w:beforeLines="0" w:after="0" w:afterLines="0"/>
        <w:ind w:firstLine="420" w:firstLineChars="200"/>
        <w:jc w:val="both"/>
        <w:rPr>
          <w:rFonts w:ascii="Times New Roman" w:hAnsi="Times New Roman" w:cs="Times New Roman"/>
          <w:kern w:val="2"/>
          <w:szCs w:val="21"/>
        </w:rPr>
      </w:pPr>
      <w:r>
        <w:rPr>
          <w:rFonts w:ascii="Times New Roman" w:hAnsi="Times New Roman" w:cs="Times New Roman"/>
          <w:kern w:val="2"/>
          <w:szCs w:val="21"/>
        </w:rPr>
        <w:t>从而大致判断风险情况。</w:t>
      </w:r>
    </w:p>
    <w:p>
      <w:pPr>
        <w:spacing w:before="156" w:after="156"/>
        <w:jc w:val="center"/>
        <w:rPr>
          <w:rFonts w:ascii="宋体" w:hAnsi="宋体"/>
          <w:b/>
          <w:sz w:val="18"/>
          <w:szCs w:val="18"/>
        </w:rPr>
      </w:pPr>
      <w:r>
        <w:rPr>
          <w:rFonts w:hint="eastAsia" w:ascii="宋体" w:hAnsi="宋体"/>
          <w:b/>
          <w:sz w:val="18"/>
          <w:szCs w:val="18"/>
        </w:rPr>
        <w:t>表9</w:t>
      </w:r>
      <w:r>
        <w:rPr>
          <w:rFonts w:ascii="宋体" w:hAnsi="宋体"/>
          <w:b/>
          <w:sz w:val="18"/>
          <w:szCs w:val="18"/>
        </w:rPr>
        <w:t xml:space="preserve">-14 </w:t>
      </w:r>
      <w:r>
        <w:rPr>
          <w:rFonts w:hint="eastAsia" w:ascii="宋体" w:hAnsi="宋体"/>
          <w:b/>
          <w:sz w:val="18"/>
          <w:szCs w:val="18"/>
        </w:rPr>
        <w:t>经营成本敏感性分析表</w:t>
      </w:r>
    </w:p>
    <w:tbl>
      <w:tblPr>
        <w:tblStyle w:val="23"/>
        <w:tblW w:w="10142" w:type="dxa"/>
        <w:jc w:val="center"/>
        <w:tblLayout w:type="autofit"/>
        <w:tblCellMar>
          <w:top w:w="0" w:type="dxa"/>
          <w:left w:w="108" w:type="dxa"/>
          <w:bottom w:w="0" w:type="dxa"/>
          <w:right w:w="108" w:type="dxa"/>
        </w:tblCellMar>
      </w:tblPr>
      <w:tblGrid>
        <w:gridCol w:w="2410"/>
        <w:gridCol w:w="1372"/>
        <w:gridCol w:w="2400"/>
        <w:gridCol w:w="1560"/>
        <w:gridCol w:w="1200"/>
        <w:gridCol w:w="1200"/>
      </w:tblGrid>
      <w:tr>
        <w:tblPrEx>
          <w:tblCellMar>
            <w:top w:w="0" w:type="dxa"/>
            <w:left w:w="108" w:type="dxa"/>
            <w:bottom w:w="0" w:type="dxa"/>
            <w:right w:w="108" w:type="dxa"/>
          </w:tblCellMar>
        </w:tblPrEx>
        <w:trPr>
          <w:trHeight w:val="290" w:hRule="atLeast"/>
          <w:jc w:val="center"/>
        </w:trPr>
        <w:tc>
          <w:tcPr>
            <w:tcW w:w="2410" w:type="dxa"/>
            <w:tcBorders>
              <w:top w:val="single" w:color="000000" w:sz="8" w:space="0"/>
              <w:left w:val="single" w:color="000000" w:sz="8" w:space="0"/>
              <w:bottom w:val="nil"/>
              <w:right w:val="single" w:color="000000" w:sz="8"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变动因素</w:t>
            </w:r>
          </w:p>
        </w:tc>
        <w:tc>
          <w:tcPr>
            <w:tcW w:w="7732" w:type="dxa"/>
            <w:gridSpan w:val="5"/>
            <w:tcBorders>
              <w:top w:val="single" w:color="000000" w:sz="8" w:space="0"/>
              <w:left w:val="nil"/>
              <w:bottom w:val="nil"/>
              <w:right w:val="single" w:color="000000" w:sz="8"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变动幅度</w:t>
            </w:r>
          </w:p>
        </w:tc>
      </w:tr>
      <w:tr>
        <w:tblPrEx>
          <w:tblCellMar>
            <w:top w:w="0" w:type="dxa"/>
            <w:left w:w="108" w:type="dxa"/>
            <w:bottom w:w="0" w:type="dxa"/>
            <w:right w:w="108" w:type="dxa"/>
          </w:tblCellMar>
        </w:tblPrEx>
        <w:trPr>
          <w:trHeight w:val="290" w:hRule="atLeast"/>
          <w:jc w:val="center"/>
        </w:trPr>
        <w:tc>
          <w:tcPr>
            <w:tcW w:w="2410" w:type="dxa"/>
            <w:tcBorders>
              <w:top w:val="single" w:color="000000" w:sz="8" w:space="0"/>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b/>
                <w:bCs/>
                <w:color w:val="2E75B5"/>
                <w:szCs w:val="21"/>
              </w:rPr>
            </w:pPr>
            <w:r>
              <w:rPr>
                <w:rFonts w:ascii="Times New Roman" w:hAnsi="Times New Roman" w:eastAsia="等线" w:cs="Times New Roman"/>
                <w:b/>
                <w:bCs/>
                <w:color w:val="2E75B5"/>
                <w:szCs w:val="21"/>
              </w:rPr>
              <w:t>　</w:t>
            </w:r>
          </w:p>
        </w:tc>
        <w:tc>
          <w:tcPr>
            <w:tcW w:w="1372" w:type="dxa"/>
            <w:tcBorders>
              <w:top w:val="single" w:color="000000" w:sz="8" w:space="0"/>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c>
          <w:tcPr>
            <w:tcW w:w="2400" w:type="dxa"/>
            <w:tcBorders>
              <w:top w:val="single" w:color="000000" w:sz="8" w:space="0"/>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560" w:type="dxa"/>
            <w:tcBorders>
              <w:top w:val="single" w:color="000000" w:sz="8" w:space="0"/>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0%</w:t>
            </w:r>
          </w:p>
        </w:tc>
        <w:tc>
          <w:tcPr>
            <w:tcW w:w="1200" w:type="dxa"/>
            <w:tcBorders>
              <w:top w:val="single" w:color="000000" w:sz="8" w:space="0"/>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200" w:type="dxa"/>
            <w:tcBorders>
              <w:top w:val="single" w:color="000000" w:sz="8" w:space="0"/>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r>
      <w:tr>
        <w:tblPrEx>
          <w:tblCellMar>
            <w:top w:w="0" w:type="dxa"/>
            <w:left w:w="108" w:type="dxa"/>
            <w:bottom w:w="0" w:type="dxa"/>
            <w:right w:w="108" w:type="dxa"/>
          </w:tblCellMar>
        </w:tblPrEx>
        <w:trPr>
          <w:trHeight w:val="290" w:hRule="atLeast"/>
          <w:jc w:val="center"/>
        </w:trPr>
        <w:tc>
          <w:tcPr>
            <w:tcW w:w="2410" w:type="dxa"/>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宋体" w:hAnsi="宋体" w:cs="宋体"/>
                <w:color w:val="000000"/>
                <w:szCs w:val="21"/>
              </w:rPr>
            </w:pPr>
            <w:r>
              <w:rPr>
                <w:rFonts w:hint="eastAsia" w:ascii="宋体" w:hAnsi="宋体" w:cs="宋体"/>
                <w:color w:val="000000"/>
                <w:szCs w:val="21"/>
              </w:rPr>
              <w:t>经营成本（万元）</w:t>
            </w:r>
          </w:p>
        </w:tc>
        <w:tc>
          <w:tcPr>
            <w:tcW w:w="1372"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406703.14 </w:t>
            </w:r>
          </w:p>
        </w:tc>
        <w:tc>
          <w:tcPr>
            <w:tcW w:w="240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429297.76 </w:t>
            </w:r>
          </w:p>
        </w:tc>
        <w:tc>
          <w:tcPr>
            <w:tcW w:w="156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451892.38 </w:t>
            </w:r>
          </w:p>
        </w:tc>
        <w:tc>
          <w:tcPr>
            <w:tcW w:w="120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474487.00 </w:t>
            </w:r>
          </w:p>
        </w:tc>
        <w:tc>
          <w:tcPr>
            <w:tcW w:w="120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521935.70 </w:t>
            </w:r>
          </w:p>
        </w:tc>
      </w:tr>
      <w:tr>
        <w:tblPrEx>
          <w:tblCellMar>
            <w:top w:w="0" w:type="dxa"/>
            <w:left w:w="108" w:type="dxa"/>
            <w:bottom w:w="0" w:type="dxa"/>
            <w:right w:w="108" w:type="dxa"/>
          </w:tblCellMar>
        </w:tblPrEx>
        <w:trPr>
          <w:trHeight w:val="290" w:hRule="atLeast"/>
          <w:jc w:val="center"/>
        </w:trPr>
        <w:tc>
          <w:tcPr>
            <w:tcW w:w="2410"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宋体" w:hAnsi="宋体" w:cs="宋体"/>
                <w:color w:val="000000"/>
                <w:szCs w:val="21"/>
              </w:rPr>
            </w:pPr>
            <w:r>
              <w:rPr>
                <w:rFonts w:hint="eastAsia" w:ascii="宋体" w:hAnsi="宋体" w:cs="宋体"/>
                <w:color w:val="000000"/>
                <w:szCs w:val="21"/>
              </w:rPr>
              <w:t>财务净现值（万元）</w:t>
            </w:r>
          </w:p>
        </w:tc>
        <w:tc>
          <w:tcPr>
            <w:tcW w:w="1372"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219748.91 </w:t>
            </w:r>
          </w:p>
        </w:tc>
        <w:tc>
          <w:tcPr>
            <w:tcW w:w="240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207791.12 </w:t>
            </w:r>
          </w:p>
        </w:tc>
        <w:tc>
          <w:tcPr>
            <w:tcW w:w="156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196029.36 </w:t>
            </w:r>
          </w:p>
        </w:tc>
        <w:tc>
          <w:tcPr>
            <w:tcW w:w="120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184267.60 </w:t>
            </w:r>
          </w:p>
        </w:tc>
        <w:tc>
          <w:tcPr>
            <w:tcW w:w="120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172113.78 </w:t>
            </w:r>
          </w:p>
        </w:tc>
      </w:tr>
    </w:tbl>
    <w:p>
      <w:pPr>
        <w:spacing w:before="156" w:after="156"/>
        <w:jc w:val="center"/>
        <w:rPr>
          <w:rFonts w:ascii="宋体" w:hAnsi="宋体"/>
          <w:b/>
          <w:sz w:val="18"/>
          <w:szCs w:val="18"/>
        </w:rPr>
      </w:pPr>
      <w:r>
        <w:rPr>
          <w:rFonts w:hint="eastAsia" w:ascii="宋体" w:hAnsi="宋体"/>
          <w:b/>
          <w:sz w:val="18"/>
          <w:szCs w:val="18"/>
        </w:rPr>
        <w:t>表</w:t>
      </w:r>
      <w:r>
        <w:rPr>
          <w:rFonts w:ascii="宋体" w:hAnsi="宋体"/>
          <w:b/>
          <w:sz w:val="18"/>
          <w:szCs w:val="18"/>
        </w:rPr>
        <w:t xml:space="preserve">9-15 </w:t>
      </w:r>
      <w:r>
        <w:rPr>
          <w:rFonts w:hint="eastAsia" w:ascii="宋体" w:hAnsi="宋体"/>
          <w:b/>
          <w:sz w:val="18"/>
          <w:szCs w:val="18"/>
        </w:rPr>
        <w:t>己二腈产量敏感性分析表</w:t>
      </w:r>
    </w:p>
    <w:tbl>
      <w:tblPr>
        <w:tblStyle w:val="23"/>
        <w:tblW w:w="11002" w:type="dxa"/>
        <w:jc w:val="center"/>
        <w:tblLayout w:type="autofit"/>
        <w:tblCellMar>
          <w:top w:w="0" w:type="dxa"/>
          <w:left w:w="108" w:type="dxa"/>
          <w:bottom w:w="0" w:type="dxa"/>
          <w:right w:w="108" w:type="dxa"/>
        </w:tblCellMar>
      </w:tblPr>
      <w:tblGrid>
        <w:gridCol w:w="2693"/>
        <w:gridCol w:w="1949"/>
        <w:gridCol w:w="2400"/>
        <w:gridCol w:w="1560"/>
        <w:gridCol w:w="1200"/>
        <w:gridCol w:w="1200"/>
      </w:tblGrid>
      <w:tr>
        <w:tblPrEx>
          <w:tblCellMar>
            <w:top w:w="0" w:type="dxa"/>
            <w:left w:w="108" w:type="dxa"/>
            <w:bottom w:w="0" w:type="dxa"/>
            <w:right w:w="108" w:type="dxa"/>
          </w:tblCellMar>
        </w:tblPrEx>
        <w:trPr>
          <w:trHeight w:val="290" w:hRule="atLeast"/>
          <w:jc w:val="center"/>
        </w:trPr>
        <w:tc>
          <w:tcPr>
            <w:tcW w:w="2693" w:type="dxa"/>
            <w:tcBorders>
              <w:top w:val="single" w:color="000000" w:sz="8" w:space="0"/>
              <w:left w:val="single" w:color="000000" w:sz="8" w:space="0"/>
              <w:bottom w:val="nil"/>
              <w:right w:val="single" w:color="000000" w:sz="8" w:space="0"/>
            </w:tcBorders>
            <w:shd w:val="clear" w:color="000000" w:fill="4472C4"/>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变动因素</w:t>
            </w:r>
          </w:p>
        </w:tc>
        <w:tc>
          <w:tcPr>
            <w:tcW w:w="8309" w:type="dxa"/>
            <w:gridSpan w:val="5"/>
            <w:tcBorders>
              <w:top w:val="single" w:color="000000" w:sz="8" w:space="0"/>
              <w:left w:val="nil"/>
              <w:bottom w:val="nil"/>
              <w:right w:val="single" w:color="000000" w:sz="8" w:space="0"/>
            </w:tcBorders>
            <w:shd w:val="clear" w:color="000000" w:fill="4472C4"/>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变动幅度</w:t>
            </w:r>
          </w:p>
        </w:tc>
      </w:tr>
      <w:tr>
        <w:tblPrEx>
          <w:tblCellMar>
            <w:top w:w="0" w:type="dxa"/>
            <w:left w:w="108" w:type="dxa"/>
            <w:bottom w:w="0" w:type="dxa"/>
            <w:right w:w="108" w:type="dxa"/>
          </w:tblCellMar>
        </w:tblPrEx>
        <w:trPr>
          <w:trHeight w:val="290" w:hRule="atLeast"/>
          <w:jc w:val="center"/>
        </w:trPr>
        <w:tc>
          <w:tcPr>
            <w:tcW w:w="2693" w:type="dxa"/>
            <w:tcBorders>
              <w:top w:val="single" w:color="000000" w:sz="8" w:space="0"/>
              <w:left w:val="single" w:color="000000" w:sz="8" w:space="0"/>
              <w:bottom w:val="nil"/>
              <w:right w:val="single" w:color="000000" w:sz="8" w:space="0"/>
            </w:tcBorders>
            <w:shd w:val="clear" w:color="000000" w:fill="4472C4"/>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　</w:t>
            </w:r>
          </w:p>
        </w:tc>
        <w:tc>
          <w:tcPr>
            <w:tcW w:w="1949"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c>
          <w:tcPr>
            <w:tcW w:w="2400"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560"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0%</w:t>
            </w:r>
          </w:p>
        </w:tc>
        <w:tc>
          <w:tcPr>
            <w:tcW w:w="1200"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200"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r>
      <w:tr>
        <w:tblPrEx>
          <w:tblCellMar>
            <w:top w:w="0" w:type="dxa"/>
            <w:left w:w="108" w:type="dxa"/>
            <w:bottom w:w="0" w:type="dxa"/>
            <w:right w:w="108" w:type="dxa"/>
          </w:tblCellMar>
        </w:tblPrEx>
        <w:trPr>
          <w:trHeight w:val="310" w:hRule="atLeast"/>
          <w:jc w:val="center"/>
        </w:trPr>
        <w:tc>
          <w:tcPr>
            <w:tcW w:w="2693" w:type="dxa"/>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hint="eastAsia" w:ascii="微软雅黑" w:hAnsi="微软雅黑" w:eastAsia="微软雅黑" w:cs="Times New Roman"/>
                <w:color w:val="000000"/>
                <w:szCs w:val="21"/>
              </w:rPr>
              <w:t>己二腈</w:t>
            </w:r>
            <w:r>
              <w:rPr>
                <w:rFonts w:hint="eastAsia" w:ascii="宋体" w:hAnsi="宋体" w:cs="Times New Roman"/>
                <w:color w:val="000000"/>
                <w:szCs w:val="21"/>
              </w:rPr>
              <w:t>产量（吨）</w:t>
            </w:r>
          </w:p>
        </w:tc>
        <w:tc>
          <w:tcPr>
            <w:tcW w:w="1949"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97000.10 </w:t>
            </w:r>
          </w:p>
        </w:tc>
        <w:tc>
          <w:tcPr>
            <w:tcW w:w="240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102388.99 </w:t>
            </w:r>
          </w:p>
        </w:tc>
        <w:tc>
          <w:tcPr>
            <w:tcW w:w="156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107777.89 </w:t>
            </w:r>
          </w:p>
        </w:tc>
        <w:tc>
          <w:tcPr>
            <w:tcW w:w="120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113166.78 </w:t>
            </w:r>
          </w:p>
        </w:tc>
        <w:tc>
          <w:tcPr>
            <w:tcW w:w="1200"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124483.46 </w:t>
            </w:r>
          </w:p>
        </w:tc>
      </w:tr>
      <w:tr>
        <w:tblPrEx>
          <w:tblCellMar>
            <w:top w:w="0" w:type="dxa"/>
            <w:left w:w="108" w:type="dxa"/>
            <w:bottom w:w="0" w:type="dxa"/>
            <w:right w:w="108" w:type="dxa"/>
          </w:tblCellMar>
        </w:tblPrEx>
        <w:trPr>
          <w:trHeight w:val="290" w:hRule="atLeast"/>
          <w:jc w:val="center"/>
        </w:trPr>
        <w:tc>
          <w:tcPr>
            <w:tcW w:w="2693"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宋体" w:hAnsi="宋体" w:cs="宋体"/>
                <w:color w:val="000000"/>
                <w:szCs w:val="21"/>
              </w:rPr>
            </w:pPr>
            <w:r>
              <w:rPr>
                <w:rFonts w:hint="eastAsia" w:ascii="宋体" w:hAnsi="宋体" w:cs="宋体"/>
                <w:color w:val="000000"/>
                <w:szCs w:val="21"/>
              </w:rPr>
              <w:t>财务净现值（万元）</w:t>
            </w:r>
          </w:p>
        </w:tc>
        <w:tc>
          <w:tcPr>
            <w:tcW w:w="1949"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173485.98 </w:t>
            </w:r>
          </w:p>
        </w:tc>
        <w:tc>
          <w:tcPr>
            <w:tcW w:w="240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185247.75 </w:t>
            </w:r>
          </w:p>
        </w:tc>
        <w:tc>
          <w:tcPr>
            <w:tcW w:w="156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196029.36 </w:t>
            </w:r>
          </w:p>
        </w:tc>
        <w:tc>
          <w:tcPr>
            <w:tcW w:w="120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206810.97 </w:t>
            </w:r>
          </w:p>
        </w:tc>
        <w:tc>
          <w:tcPr>
            <w:tcW w:w="1200"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218180.68 </w:t>
            </w:r>
          </w:p>
        </w:tc>
      </w:tr>
    </w:tbl>
    <w:p>
      <w:pPr>
        <w:spacing w:before="156" w:after="156"/>
        <w:jc w:val="center"/>
        <w:rPr>
          <w:rFonts w:ascii="宋体" w:hAnsi="宋体"/>
          <w:b/>
          <w:sz w:val="18"/>
          <w:szCs w:val="18"/>
        </w:rPr>
      </w:pPr>
      <w:r>
        <w:rPr>
          <w:rFonts w:hint="eastAsia" w:ascii="宋体" w:hAnsi="宋体"/>
          <w:b/>
          <w:sz w:val="18"/>
          <w:szCs w:val="18"/>
        </w:rPr>
        <w:t>表</w:t>
      </w:r>
      <w:r>
        <w:rPr>
          <w:rFonts w:ascii="宋体" w:hAnsi="宋体"/>
          <w:b/>
          <w:sz w:val="18"/>
          <w:szCs w:val="18"/>
        </w:rPr>
        <w:t xml:space="preserve">9-16 </w:t>
      </w:r>
      <w:r>
        <w:rPr>
          <w:rFonts w:hint="eastAsia" w:ascii="宋体" w:hAnsi="宋体"/>
          <w:b/>
          <w:sz w:val="18"/>
          <w:szCs w:val="18"/>
        </w:rPr>
        <w:t>主产品价格敏感性分析表</w:t>
      </w:r>
    </w:p>
    <w:tbl>
      <w:tblPr>
        <w:tblStyle w:val="23"/>
        <w:tblW w:w="10480" w:type="dxa"/>
        <w:jc w:val="center"/>
        <w:tblLayout w:type="autofit"/>
        <w:tblCellMar>
          <w:top w:w="0" w:type="dxa"/>
          <w:left w:w="108" w:type="dxa"/>
          <w:bottom w:w="0" w:type="dxa"/>
          <w:right w:w="108" w:type="dxa"/>
        </w:tblCellMar>
      </w:tblPr>
      <w:tblGrid>
        <w:gridCol w:w="2542"/>
        <w:gridCol w:w="2374"/>
        <w:gridCol w:w="1453"/>
        <w:gridCol w:w="1559"/>
        <w:gridCol w:w="1276"/>
        <w:gridCol w:w="1276"/>
      </w:tblGrid>
      <w:tr>
        <w:tblPrEx>
          <w:tblCellMar>
            <w:top w:w="0" w:type="dxa"/>
            <w:left w:w="108" w:type="dxa"/>
            <w:bottom w:w="0" w:type="dxa"/>
            <w:right w:w="108" w:type="dxa"/>
          </w:tblCellMar>
        </w:tblPrEx>
        <w:trPr>
          <w:trHeight w:val="290" w:hRule="atLeast"/>
          <w:jc w:val="center"/>
        </w:trPr>
        <w:tc>
          <w:tcPr>
            <w:tcW w:w="2542" w:type="dxa"/>
            <w:tcBorders>
              <w:top w:val="single" w:color="000000" w:sz="8" w:space="0"/>
              <w:left w:val="single" w:color="000000" w:sz="8" w:space="0"/>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变动因素</w:t>
            </w:r>
          </w:p>
        </w:tc>
        <w:tc>
          <w:tcPr>
            <w:tcW w:w="7938" w:type="dxa"/>
            <w:gridSpan w:val="5"/>
            <w:tcBorders>
              <w:top w:val="single" w:color="000000" w:sz="8" w:space="0"/>
              <w:left w:val="nil"/>
              <w:bottom w:val="nil"/>
              <w:right w:val="single" w:color="000000" w:sz="8" w:space="0"/>
            </w:tcBorders>
            <w:shd w:val="clear" w:color="000000" w:fill="4472C4"/>
          </w:tcPr>
          <w:p>
            <w:pPr>
              <w:widowControl/>
              <w:autoSpaceDE/>
              <w:autoSpaceDN/>
              <w:spacing w:before="0" w:beforeLines="0" w:after="0" w:afterLines="0"/>
              <w:jc w:val="center"/>
              <w:rPr>
                <w:rFonts w:ascii="宋体" w:hAnsi="宋体" w:cs="宋体"/>
                <w:b/>
                <w:bCs/>
                <w:color w:val="FFFFFF"/>
                <w:szCs w:val="21"/>
              </w:rPr>
            </w:pPr>
            <w:r>
              <w:rPr>
                <w:rFonts w:hint="eastAsia" w:ascii="宋体" w:hAnsi="宋体" w:cs="宋体"/>
                <w:b/>
                <w:bCs/>
                <w:color w:val="FFFFFF"/>
                <w:szCs w:val="21"/>
              </w:rPr>
              <w:t>变动幅度</w:t>
            </w:r>
          </w:p>
        </w:tc>
      </w:tr>
      <w:tr>
        <w:tblPrEx>
          <w:tblCellMar>
            <w:top w:w="0" w:type="dxa"/>
            <w:left w:w="108" w:type="dxa"/>
            <w:bottom w:w="0" w:type="dxa"/>
            <w:right w:w="108" w:type="dxa"/>
          </w:tblCellMar>
        </w:tblPrEx>
        <w:trPr>
          <w:trHeight w:val="290" w:hRule="atLeast"/>
          <w:jc w:val="center"/>
        </w:trPr>
        <w:tc>
          <w:tcPr>
            <w:tcW w:w="2542" w:type="dxa"/>
            <w:tcBorders>
              <w:top w:val="nil"/>
              <w:left w:val="single" w:color="000000" w:sz="8" w:space="0"/>
              <w:bottom w:val="single" w:color="000000" w:sz="8" w:space="0"/>
              <w:right w:val="single" w:color="000000" w:sz="8" w:space="0"/>
            </w:tcBorders>
            <w:shd w:val="clear" w:color="000000" w:fill="4472C4"/>
            <w:vAlign w:val="center"/>
          </w:tcPr>
          <w:p>
            <w:pPr>
              <w:widowControl/>
              <w:autoSpaceDE/>
              <w:autoSpaceDN/>
              <w:spacing w:before="0" w:beforeLines="0" w:after="0" w:afterLines="0"/>
              <w:jc w:val="center"/>
              <w:rPr>
                <w:rFonts w:ascii="Times New Roman" w:hAnsi="Times New Roman" w:eastAsia="等线" w:cs="Times New Roman"/>
                <w:b/>
                <w:bCs/>
                <w:color w:val="FFFFFF"/>
                <w:szCs w:val="21"/>
              </w:rPr>
            </w:pPr>
            <w:r>
              <w:rPr>
                <w:rFonts w:ascii="Times New Roman" w:hAnsi="Times New Roman" w:eastAsia="等线" w:cs="Times New Roman"/>
                <w:b/>
                <w:bCs/>
                <w:color w:val="FFFFFF"/>
                <w:szCs w:val="21"/>
              </w:rPr>
              <w:t>　</w:t>
            </w:r>
          </w:p>
        </w:tc>
        <w:tc>
          <w:tcPr>
            <w:tcW w:w="2374"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c>
          <w:tcPr>
            <w:tcW w:w="1453"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559"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0%</w:t>
            </w:r>
          </w:p>
        </w:tc>
        <w:tc>
          <w:tcPr>
            <w:tcW w:w="1276"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5%</w:t>
            </w:r>
          </w:p>
        </w:tc>
        <w:tc>
          <w:tcPr>
            <w:tcW w:w="1276" w:type="dxa"/>
            <w:tcBorders>
              <w:top w:val="single" w:color="000000" w:sz="8" w:space="0"/>
              <w:left w:val="nil"/>
              <w:bottom w:val="single" w:color="000000" w:sz="8" w:space="0"/>
              <w:right w:val="single" w:color="000000" w:sz="8" w:space="0"/>
            </w:tcBorders>
            <w:shd w:val="clear" w:color="000000" w:fill="D9E1F2"/>
            <w:vAlign w:val="bottom"/>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10%</w:t>
            </w:r>
          </w:p>
        </w:tc>
      </w:tr>
      <w:tr>
        <w:tblPrEx>
          <w:tblCellMar>
            <w:top w:w="0" w:type="dxa"/>
            <w:left w:w="108" w:type="dxa"/>
            <w:bottom w:w="0" w:type="dxa"/>
            <w:right w:w="108" w:type="dxa"/>
          </w:tblCellMar>
        </w:tblPrEx>
        <w:trPr>
          <w:trHeight w:val="290" w:hRule="atLeast"/>
          <w:jc w:val="center"/>
        </w:trPr>
        <w:tc>
          <w:tcPr>
            <w:tcW w:w="2542" w:type="dxa"/>
            <w:tcBorders>
              <w:top w:val="nil"/>
              <w:left w:val="single" w:color="000000" w:sz="8" w:space="0"/>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hint="eastAsia" w:ascii="宋体" w:hAnsi="宋体" w:cs="Times New Roman"/>
                <w:color w:val="000000"/>
                <w:szCs w:val="21"/>
              </w:rPr>
              <w:t>己二腈价格（元</w:t>
            </w:r>
            <w:r>
              <w:rPr>
                <w:rFonts w:ascii="Times New Roman" w:hAnsi="Times New Roman" w:eastAsia="等线" w:cs="Times New Roman"/>
                <w:color w:val="000000"/>
                <w:szCs w:val="21"/>
              </w:rPr>
              <w:t>/</w:t>
            </w:r>
            <w:r>
              <w:rPr>
                <w:rFonts w:hint="eastAsia" w:ascii="宋体" w:hAnsi="宋体" w:cs="Times New Roman"/>
                <w:color w:val="000000"/>
                <w:szCs w:val="21"/>
              </w:rPr>
              <w:t>吨）</w:t>
            </w:r>
          </w:p>
        </w:tc>
        <w:tc>
          <w:tcPr>
            <w:tcW w:w="2374"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31500.00 </w:t>
            </w:r>
          </w:p>
        </w:tc>
        <w:tc>
          <w:tcPr>
            <w:tcW w:w="1453"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33250.00 </w:t>
            </w:r>
          </w:p>
        </w:tc>
        <w:tc>
          <w:tcPr>
            <w:tcW w:w="1559"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35000.00 </w:t>
            </w:r>
          </w:p>
        </w:tc>
        <w:tc>
          <w:tcPr>
            <w:tcW w:w="1276"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36750.00 </w:t>
            </w:r>
          </w:p>
        </w:tc>
        <w:tc>
          <w:tcPr>
            <w:tcW w:w="1276" w:type="dxa"/>
            <w:tcBorders>
              <w:top w:val="nil"/>
              <w:left w:val="nil"/>
              <w:bottom w:val="single" w:color="000000" w:sz="8" w:space="0"/>
              <w:right w:val="single" w:color="000000" w:sz="8" w:space="0"/>
            </w:tcBorders>
            <w:shd w:val="clear" w:color="auto" w:fill="auto"/>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38500.00 </w:t>
            </w:r>
          </w:p>
        </w:tc>
      </w:tr>
      <w:tr>
        <w:tblPrEx>
          <w:tblCellMar>
            <w:top w:w="0" w:type="dxa"/>
            <w:left w:w="108" w:type="dxa"/>
            <w:bottom w:w="0" w:type="dxa"/>
            <w:right w:w="108" w:type="dxa"/>
          </w:tblCellMar>
        </w:tblPrEx>
        <w:trPr>
          <w:trHeight w:val="290" w:hRule="atLeast"/>
          <w:jc w:val="center"/>
        </w:trPr>
        <w:tc>
          <w:tcPr>
            <w:tcW w:w="2542" w:type="dxa"/>
            <w:tcBorders>
              <w:top w:val="nil"/>
              <w:left w:val="single" w:color="000000" w:sz="8" w:space="0"/>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宋体" w:hAnsi="宋体" w:cs="宋体"/>
                <w:color w:val="000000"/>
                <w:szCs w:val="21"/>
              </w:rPr>
            </w:pPr>
            <w:r>
              <w:rPr>
                <w:rFonts w:hint="eastAsia" w:ascii="宋体" w:hAnsi="宋体" w:cs="宋体"/>
                <w:color w:val="000000"/>
                <w:szCs w:val="21"/>
              </w:rPr>
              <w:t>财务净现值（万元）</w:t>
            </w:r>
          </w:p>
        </w:tc>
        <w:tc>
          <w:tcPr>
            <w:tcW w:w="2374"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160940.10 </w:t>
            </w:r>
          </w:p>
        </w:tc>
        <w:tc>
          <w:tcPr>
            <w:tcW w:w="1453"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178386.72 </w:t>
            </w:r>
          </w:p>
        </w:tc>
        <w:tc>
          <w:tcPr>
            <w:tcW w:w="1559"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196029.36 </w:t>
            </w:r>
          </w:p>
        </w:tc>
        <w:tc>
          <w:tcPr>
            <w:tcW w:w="1276"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213672.00 </w:t>
            </w:r>
          </w:p>
        </w:tc>
        <w:tc>
          <w:tcPr>
            <w:tcW w:w="1276" w:type="dxa"/>
            <w:tcBorders>
              <w:top w:val="nil"/>
              <w:left w:val="nil"/>
              <w:bottom w:val="single" w:color="000000" w:sz="8" w:space="0"/>
              <w:right w:val="single" w:color="000000" w:sz="8" w:space="0"/>
            </w:tcBorders>
            <w:shd w:val="clear" w:color="000000" w:fill="D9E1F2"/>
            <w:vAlign w:val="center"/>
          </w:tcPr>
          <w:p>
            <w:pPr>
              <w:widowControl/>
              <w:autoSpaceDE/>
              <w:autoSpaceDN/>
              <w:spacing w:before="0" w:beforeLines="0" w:after="0" w:afterLines="0"/>
              <w:jc w:val="center"/>
              <w:rPr>
                <w:rFonts w:ascii="Times New Roman" w:hAnsi="Times New Roman" w:eastAsia="等线" w:cs="Times New Roman"/>
                <w:color w:val="000000"/>
                <w:szCs w:val="21"/>
              </w:rPr>
            </w:pPr>
            <w:r>
              <w:rPr>
                <w:rFonts w:ascii="Times New Roman" w:hAnsi="Times New Roman" w:eastAsia="等线" w:cs="Times New Roman"/>
                <w:color w:val="000000"/>
                <w:szCs w:val="21"/>
              </w:rPr>
              <w:t xml:space="preserve">231706.70 </w:t>
            </w:r>
          </w:p>
        </w:tc>
      </w:tr>
    </w:tbl>
    <w:p>
      <w:pPr>
        <w:spacing w:before="156" w:after="156"/>
        <w:jc w:val="center"/>
        <w:rPr>
          <w:szCs w:val="21"/>
        </w:rPr>
      </w:pPr>
      <w:r>
        <w:drawing>
          <wp:inline distT="0" distB="0" distL="0" distR="0">
            <wp:extent cx="2997200" cy="4178300"/>
            <wp:effectExtent l="0" t="0" r="12700" b="12700"/>
            <wp:docPr id="19"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pPr>
        <w:spacing w:before="156" w:after="156"/>
        <w:jc w:val="center"/>
        <w:rPr>
          <w:b/>
          <w:sz w:val="18"/>
          <w:szCs w:val="18"/>
        </w:rPr>
      </w:pPr>
      <w:r>
        <w:rPr>
          <w:rFonts w:hint="eastAsia"/>
          <w:b/>
          <w:sz w:val="18"/>
          <w:szCs w:val="18"/>
        </w:rPr>
        <w:t>图9</w:t>
      </w:r>
      <w:r>
        <w:rPr>
          <w:b/>
          <w:sz w:val="18"/>
          <w:szCs w:val="18"/>
        </w:rPr>
        <w:t xml:space="preserve">-3 </w:t>
      </w:r>
      <w:r>
        <w:rPr>
          <w:rFonts w:hint="eastAsia"/>
          <w:b/>
          <w:sz w:val="18"/>
          <w:szCs w:val="18"/>
        </w:rPr>
        <w:t>敏感性分析图</w:t>
      </w:r>
    </w:p>
    <w:p>
      <w:pPr>
        <w:autoSpaceDE/>
        <w:autoSpaceDN/>
        <w:spacing w:before="0" w:beforeLines="0" w:after="0" w:afterLines="0"/>
        <w:ind w:firstLine="420" w:firstLineChars="200"/>
        <w:jc w:val="both"/>
        <w:rPr>
          <w:rFonts w:ascii="Times New Roman" w:hAnsi="Times New Roman" w:cs="Times New Roman"/>
          <w:kern w:val="2"/>
        </w:rPr>
      </w:pPr>
      <w:r>
        <w:rPr>
          <w:rFonts w:ascii="Times New Roman" w:hAnsi="Times New Roman" w:cs="Times New Roman"/>
          <w:kern w:val="2"/>
        </w:rPr>
        <w:t>从</w:t>
      </w:r>
      <w:r>
        <w:rPr>
          <w:rFonts w:ascii="Times New Roman" w:hAnsi="Times New Roman" w:cs="Times New Roman"/>
          <w:color w:val="000000"/>
          <w:kern w:val="2"/>
          <w:szCs w:val="21"/>
        </w:rPr>
        <w:t>表中数据及敏感性分析图中可得</w:t>
      </w:r>
      <w:r>
        <w:rPr>
          <w:rFonts w:hint="eastAsia" w:ascii="Times New Roman" w:hAnsi="Times New Roman" w:cs="Times New Roman"/>
          <w:color w:val="000000"/>
          <w:kern w:val="2"/>
          <w:szCs w:val="21"/>
        </w:rPr>
        <w:t>己二腈</w:t>
      </w:r>
      <w:r>
        <w:rPr>
          <w:rFonts w:ascii="Times New Roman" w:hAnsi="Times New Roman" w:cs="Times New Roman"/>
          <w:color w:val="000000"/>
          <w:kern w:val="2"/>
          <w:szCs w:val="21"/>
        </w:rPr>
        <w:t>的产量、价格对净现值有正影响，经营成本对净现值有负影响。其中，</w:t>
      </w:r>
      <w:r>
        <w:rPr>
          <w:rFonts w:hint="eastAsia" w:ascii="Times New Roman" w:hAnsi="Times New Roman" w:cs="Times New Roman"/>
          <w:color w:val="000000"/>
          <w:kern w:val="2"/>
          <w:szCs w:val="21"/>
        </w:rPr>
        <w:t>己二腈</w:t>
      </w:r>
      <w:r>
        <w:rPr>
          <w:rFonts w:ascii="Times New Roman" w:hAnsi="Times New Roman" w:cs="Times New Roman"/>
          <w:color w:val="000000"/>
          <w:kern w:val="2"/>
          <w:szCs w:val="21"/>
        </w:rPr>
        <w:t>产品价格对净现值产生较大影响，其次是经营成本的变化，</w:t>
      </w:r>
      <w:r>
        <w:rPr>
          <w:rFonts w:hint="eastAsia" w:ascii="Times New Roman" w:hAnsi="Times New Roman" w:cs="Times New Roman"/>
          <w:color w:val="000000"/>
          <w:kern w:val="2"/>
          <w:szCs w:val="21"/>
        </w:rPr>
        <w:t>己二腈</w:t>
      </w:r>
      <w:r>
        <w:rPr>
          <w:rFonts w:ascii="Times New Roman" w:hAnsi="Times New Roman" w:cs="Times New Roman"/>
          <w:color w:val="000000"/>
          <w:kern w:val="2"/>
          <w:szCs w:val="21"/>
        </w:rPr>
        <w:t>产量变化的影响相对较小。并且</w:t>
      </w:r>
      <w:r>
        <w:rPr>
          <w:rFonts w:hint="eastAsia" w:ascii="Times New Roman" w:hAnsi="Times New Roman" w:cs="Times New Roman"/>
          <w:color w:val="000000"/>
          <w:kern w:val="2"/>
          <w:szCs w:val="21"/>
        </w:rPr>
        <w:t>己二腈</w:t>
      </w:r>
      <w:r>
        <w:rPr>
          <w:rFonts w:ascii="Times New Roman" w:hAnsi="Times New Roman" w:cs="Times New Roman"/>
          <w:color w:val="000000"/>
          <w:kern w:val="2"/>
          <w:szCs w:val="21"/>
        </w:rPr>
        <w:t>的</w:t>
      </w:r>
      <w:r>
        <w:rPr>
          <w:rFonts w:hint="eastAsia" w:ascii="Times New Roman" w:hAnsi="Times New Roman" w:cs="Times New Roman"/>
          <w:color w:val="000000"/>
          <w:kern w:val="2"/>
          <w:szCs w:val="21"/>
        </w:rPr>
        <w:t>产量</w:t>
      </w:r>
      <w:r>
        <w:rPr>
          <w:rFonts w:ascii="Times New Roman" w:hAnsi="Times New Roman" w:cs="Times New Roman"/>
          <w:color w:val="000000"/>
          <w:kern w:val="2"/>
          <w:szCs w:val="21"/>
        </w:rPr>
        <w:t>变动影响能力和经营成本的变化差不多，故本项目抗风险能力相对较强。</w:t>
      </w:r>
    </w:p>
    <w:p>
      <w:pPr>
        <w:pStyle w:val="2"/>
        <w:spacing w:before="156" w:after="156"/>
        <w:rPr>
          <w:rFonts w:ascii="Times New Roman" w:hAnsi="Times New Roman" w:eastAsia="宋体" w:cs="Times New Roman"/>
          <w:color w:val="auto"/>
        </w:rPr>
      </w:pPr>
      <w:bookmarkStart w:id="130" w:name="_Toc141670050"/>
      <w:r>
        <w:rPr>
          <w:rFonts w:ascii="Times New Roman" w:hAnsi="Times New Roman" w:eastAsia="宋体" w:cs="Times New Roman"/>
          <w:color w:val="auto"/>
        </w:rPr>
        <w:t>第十章 可行性结论与建议</w:t>
      </w:r>
      <w:bookmarkEnd w:id="130"/>
    </w:p>
    <w:p>
      <w:pPr>
        <w:pStyle w:val="3"/>
        <w:spacing w:before="156" w:after="156"/>
        <w:rPr>
          <w:rFonts w:ascii="Times New Roman" w:hAnsi="Times New Roman" w:eastAsia="宋体" w:cs="Times New Roman"/>
        </w:rPr>
      </w:pPr>
      <w:bookmarkStart w:id="131" w:name="_Toc141670051"/>
      <w:r>
        <w:rPr>
          <w:rFonts w:ascii="Times New Roman" w:hAnsi="Times New Roman" w:eastAsia="宋体" w:cs="Times New Roman"/>
        </w:rPr>
        <w:t>10.1 项目可行性</w:t>
      </w:r>
      <w:bookmarkEnd w:id="131"/>
    </w:p>
    <w:p>
      <w:pPr>
        <w:pStyle w:val="4"/>
        <w:spacing w:before="156" w:after="156"/>
        <w:rPr>
          <w:rFonts w:ascii="Times New Roman" w:hAnsi="Times New Roman" w:eastAsia="宋体" w:cs="Times New Roman"/>
        </w:rPr>
      </w:pPr>
      <w:bookmarkStart w:id="132" w:name="_Toc141670052"/>
      <w:r>
        <w:rPr>
          <w:rFonts w:ascii="Times New Roman" w:hAnsi="Times New Roman" w:eastAsia="宋体" w:cs="Times New Roman"/>
        </w:rPr>
        <w:t>10.1.1 工艺可行性</w:t>
      </w:r>
      <w:bookmarkEnd w:id="132"/>
    </w:p>
    <w:p>
      <w:pPr>
        <w:spacing w:before="156" w:after="156"/>
        <w:ind w:firstLine="420" w:firstLineChars="200"/>
        <w:rPr>
          <w:rFonts w:ascii="Times New Roman" w:hAnsi="Times New Roman" w:cs="Times New Roman"/>
        </w:rPr>
      </w:pPr>
      <w:r>
        <w:rPr>
          <w:rFonts w:ascii="Times New Roman" w:hAnsi="Times New Roman" w:cs="Times New Roman"/>
        </w:rPr>
        <w:t>本次设计任务要求设计一座合成己二腈的工厂。我们利用</w:t>
      </w:r>
      <w:r>
        <w:rPr>
          <w:rFonts w:hint="eastAsia" w:ascii="Times New Roman" w:hAnsi="Times New Roman" w:cs="Times New Roman"/>
        </w:rPr>
        <w:t>重庆华峰化工有限</w:t>
      </w:r>
      <w:r>
        <w:rPr>
          <w:rFonts w:ascii="Times New Roman" w:hAnsi="Times New Roman" w:cs="Times New Roman"/>
        </w:rPr>
        <w:t>公司所提供的</w:t>
      </w:r>
      <w:r>
        <w:rPr>
          <w:rFonts w:hint="eastAsia" w:ascii="Times New Roman" w:hAnsi="Times New Roman" w:cs="Times New Roman"/>
        </w:rPr>
        <w:t>己二酸</w:t>
      </w:r>
      <w:r>
        <w:rPr>
          <w:rFonts w:ascii="Times New Roman" w:hAnsi="Times New Roman" w:cs="Times New Roman"/>
        </w:rPr>
        <w:t>，通过</w:t>
      </w:r>
      <w:r>
        <w:rPr>
          <w:rFonts w:hint="eastAsia" w:ascii="Times New Roman" w:hAnsi="Times New Roman" w:cs="Times New Roman"/>
        </w:rPr>
        <w:t>己二酸催化氨化</w:t>
      </w:r>
      <w:r>
        <w:rPr>
          <w:rFonts w:ascii="Times New Roman" w:hAnsi="Times New Roman" w:cs="Times New Roman"/>
        </w:rPr>
        <w:t>法合成己二腈，</w:t>
      </w:r>
      <w:r>
        <w:rPr>
          <w:rFonts w:hint="eastAsia" w:ascii="Times New Roman" w:hAnsi="Times New Roman" w:cs="Times New Roman"/>
        </w:rPr>
        <w:t>延伸上游产品的工艺路线，增加产品附加值，产生的副产品I</w:t>
      </w:r>
      <w:r>
        <w:rPr>
          <w:rFonts w:ascii="Times New Roman" w:hAnsi="Times New Roman" w:cs="Times New Roman"/>
        </w:rPr>
        <w:t>CCP</w:t>
      </w:r>
      <w:r>
        <w:rPr>
          <w:rFonts w:hint="eastAsia" w:ascii="Times New Roman" w:hAnsi="Times New Roman" w:cs="Times New Roman"/>
        </w:rPr>
        <w:t>可以制备咪唑类衍生物、嘧啶类衍生物、烟酸等医药、各种染料中间体和除草剂等农业应用产品</w:t>
      </w:r>
      <w:r>
        <w:rPr>
          <w:rFonts w:ascii="Times New Roman" w:hAnsi="Times New Roman" w:cs="Times New Roman"/>
        </w:rPr>
        <w:t>。工艺中产生的废气以及大部分废液都可重复利用，用于发生热量等，基本实现无污染无排放。整体流程绿色无污染，无恶劣操作条件，在工业生产中有显著优势。</w:t>
      </w:r>
    </w:p>
    <w:p>
      <w:pPr>
        <w:pStyle w:val="4"/>
        <w:spacing w:before="156" w:after="156"/>
        <w:rPr>
          <w:rFonts w:ascii="Times New Roman" w:hAnsi="Times New Roman" w:eastAsia="宋体" w:cs="Times New Roman"/>
        </w:rPr>
      </w:pPr>
      <w:bookmarkStart w:id="133" w:name="_Toc141670053"/>
      <w:r>
        <w:rPr>
          <w:rFonts w:ascii="Times New Roman" w:hAnsi="Times New Roman" w:eastAsia="宋体" w:cs="Times New Roman"/>
        </w:rPr>
        <w:t>10.1.2 效益可行性</w:t>
      </w:r>
      <w:bookmarkEnd w:id="133"/>
    </w:p>
    <w:p>
      <w:pPr>
        <w:spacing w:before="156" w:after="156"/>
        <w:ind w:firstLine="420" w:firstLineChars="200"/>
        <w:rPr>
          <w:rFonts w:ascii="Times New Roman" w:hAnsi="Times New Roman" w:cs="Times New Roman"/>
        </w:rPr>
      </w:pPr>
      <w:r>
        <w:rPr>
          <w:rFonts w:ascii="Times New Roman" w:hAnsi="Times New Roman" w:cs="Times New Roman"/>
        </w:rPr>
        <w:t>本项目利用</w:t>
      </w:r>
      <w:r>
        <w:rPr>
          <w:rFonts w:hint="eastAsia" w:ascii="Times New Roman" w:hAnsi="Times New Roman" w:cs="Times New Roman"/>
        </w:rPr>
        <w:t>己二酸催化氨化法</w:t>
      </w:r>
      <w:r>
        <w:rPr>
          <w:rFonts w:ascii="Times New Roman" w:hAnsi="Times New Roman" w:cs="Times New Roman"/>
        </w:rPr>
        <w:t>合成己二腈，与其他合成方法相比</w:t>
      </w:r>
      <w:r>
        <w:rPr>
          <w:rFonts w:hint="eastAsia" w:ascii="Times New Roman" w:hAnsi="Times New Roman" w:cs="Times New Roman"/>
        </w:rPr>
        <w:t>原料和生产过程较为</w:t>
      </w:r>
      <w:r>
        <w:rPr>
          <w:rFonts w:ascii="Times New Roman" w:hAnsi="Times New Roman" w:cs="Times New Roman"/>
        </w:rPr>
        <w:t>清洁环保，工艺产生三废少，更具竞争力。目前国内己二腈供需矛盾仍较为突出，市场供应仍有较大缺口，本项目可以缓解国内己二腈供不应求的紧张局面，</w:t>
      </w:r>
      <w:r>
        <w:rPr>
          <w:rFonts w:hint="eastAsia" w:ascii="Times New Roman" w:hAnsi="Times New Roman" w:cs="Times New Roman"/>
        </w:rPr>
        <w:t>并延伸上游产品己二酸的工艺路线，</w:t>
      </w:r>
      <w:r>
        <w:rPr>
          <w:rFonts w:ascii="Times New Roman" w:hAnsi="Times New Roman" w:cs="Times New Roman"/>
        </w:rPr>
        <w:t>为实现己二腈生产的中国化做出贡献。同时，通过严格的经济计算和论证，项目收益良好，具有效益可行性。</w:t>
      </w:r>
    </w:p>
    <w:p>
      <w:pPr>
        <w:pStyle w:val="3"/>
        <w:spacing w:before="156" w:after="156"/>
        <w:rPr>
          <w:rFonts w:ascii="Times New Roman" w:hAnsi="Times New Roman" w:eastAsia="宋体" w:cs="Times New Roman"/>
        </w:rPr>
      </w:pPr>
      <w:bookmarkStart w:id="134" w:name="_Toc141670054"/>
      <w:r>
        <w:rPr>
          <w:rFonts w:ascii="Times New Roman" w:hAnsi="Times New Roman" w:eastAsia="宋体" w:cs="Times New Roman"/>
        </w:rPr>
        <w:t>10.2 与社会及环境的和谐发展</w:t>
      </w:r>
      <w:bookmarkEnd w:id="134"/>
    </w:p>
    <w:p>
      <w:pPr>
        <w:spacing w:before="156" w:after="156"/>
        <w:ind w:firstLine="420" w:firstLineChars="200"/>
        <w:rPr>
          <w:rFonts w:ascii="Times New Roman" w:hAnsi="Times New Roman" w:cs="Times New Roman"/>
        </w:rPr>
      </w:pPr>
      <w:r>
        <w:rPr>
          <w:rFonts w:ascii="Times New Roman" w:hAnsi="Times New Roman" w:cs="Times New Roman"/>
        </w:rPr>
        <w:t>本项目将秉承“珍贵资源，绿色开发；造福社会，报效国家”的企业宗旨，加快推进公司改革发展、推进生产工艺发展的同时，认真履行社会责任。</w:t>
      </w:r>
    </w:p>
    <w:p>
      <w:pPr>
        <w:spacing w:before="156" w:after="156"/>
        <w:ind w:firstLine="420" w:firstLineChars="200"/>
        <w:rPr>
          <w:rFonts w:ascii="Times New Roman" w:hAnsi="Times New Roman" w:cs="Times New Roman"/>
        </w:rPr>
      </w:pPr>
      <w:r>
        <w:rPr>
          <w:rFonts w:ascii="Times New Roman" w:hAnsi="Times New Roman" w:cs="Times New Roman"/>
        </w:rPr>
        <w:t>（一）安全方面</w:t>
      </w:r>
    </w:p>
    <w:p>
      <w:pPr>
        <w:spacing w:before="156" w:after="156"/>
        <w:ind w:firstLine="420" w:firstLineChars="200"/>
        <w:rPr>
          <w:rFonts w:ascii="Times New Roman" w:hAnsi="Times New Roman" w:cs="Times New Roman"/>
        </w:rPr>
      </w:pPr>
      <w:r>
        <w:rPr>
          <w:rFonts w:ascii="Times New Roman" w:hAnsi="Times New Roman" w:cs="Times New Roman"/>
        </w:rPr>
        <w:t>本团队分析了各地化工厂的爆炸事故，对反应器进行了相应的改进并精简了生产流程与设备，提高了项目的本质安全性。</w:t>
      </w:r>
    </w:p>
    <w:p>
      <w:pPr>
        <w:spacing w:before="156" w:after="156"/>
        <w:ind w:firstLine="420" w:firstLineChars="200"/>
        <w:rPr>
          <w:rFonts w:ascii="Times New Roman" w:hAnsi="Times New Roman" w:cs="Times New Roman"/>
        </w:rPr>
      </w:pPr>
      <w:r>
        <w:rPr>
          <w:rFonts w:ascii="Times New Roman" w:hAnsi="Times New Roman" w:cs="Times New Roman"/>
        </w:rPr>
        <w:t>（二）环保方面</w:t>
      </w:r>
    </w:p>
    <w:p>
      <w:pPr>
        <w:spacing w:before="156" w:after="156"/>
        <w:ind w:firstLine="420" w:firstLineChars="200"/>
        <w:rPr>
          <w:rFonts w:ascii="Times New Roman" w:hAnsi="Times New Roman" w:cs="Times New Roman"/>
        </w:rPr>
      </w:pPr>
      <w:r>
        <w:rPr>
          <w:rFonts w:hint="eastAsia" w:ascii="Times New Roman" w:hAnsi="Times New Roman" w:cs="Times New Roman"/>
        </w:rPr>
        <w:t>本项目通过换热网络优化和热集成并合理利用自产蒸汽</w:t>
      </w:r>
      <w:r>
        <w:rPr>
          <w:rFonts w:ascii="Times New Roman" w:hAnsi="Times New Roman" w:cs="Times New Roman"/>
        </w:rPr>
        <w:t>，进行资源合理利用</w:t>
      </w:r>
      <w:r>
        <w:rPr>
          <w:rFonts w:hint="eastAsia" w:ascii="Times New Roman" w:hAnsi="Times New Roman" w:cs="Times New Roman"/>
        </w:rPr>
        <w:t>，且</w:t>
      </w:r>
      <w:r>
        <w:rPr>
          <w:rFonts w:ascii="Times New Roman" w:hAnsi="Times New Roman" w:cs="Times New Roman"/>
        </w:rPr>
        <w:t>本项目针对的废气、废水源及治理措施具有普适性及推广价值，环保效益显著。</w:t>
      </w:r>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Yu Gothic">
    <w:panose1 w:val="020B0400000000000000"/>
    <w:charset w:val="80"/>
    <w:family w:val="swiss"/>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0425853"/>
      <w:docPartObj>
        <w:docPartGallery w:val="AutoText"/>
      </w:docPartObj>
    </w:sdtPr>
    <w:sdtContent>
      <w:sdt>
        <w:sdtPr>
          <w:id w:val="-1705238520"/>
          <w:docPartObj>
            <w:docPartGallery w:val="AutoText"/>
          </w:docPartObj>
        </w:sdtPr>
        <w:sdtContent>
          <w:p>
            <w:pPr>
              <w:pStyle w:val="14"/>
              <w:spacing w:before="120" w:after="120"/>
              <w:jc w:val="center"/>
            </w:pPr>
            <w:r>
              <w:rPr>
                <w:rFonts w:ascii="楷体" w:hAnsi="楷体" w:eastAsia="楷体"/>
                <w:color w:val="4472C4"/>
                <w:sz w:val="22"/>
              </w:rPr>
              <w:drawing>
                <wp:anchor distT="0" distB="0" distL="114300" distR="114300" simplePos="0" relativeHeight="251661312" behindDoc="1" locked="0" layoutInCell="1" allowOverlap="1">
                  <wp:simplePos x="0" y="0"/>
                  <wp:positionH relativeFrom="leftMargin">
                    <wp:posOffset>417195</wp:posOffset>
                  </wp:positionH>
                  <wp:positionV relativeFrom="paragraph">
                    <wp:posOffset>137795</wp:posOffset>
                  </wp:positionV>
                  <wp:extent cx="636905" cy="539750"/>
                  <wp:effectExtent l="0" t="0" r="0" b="0"/>
                  <wp:wrapNone/>
                  <wp:docPr id="31" name="图片 31"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sdt>
    <w:sdtPr>
      <w:id w:val="-469359818"/>
      <w:docPartObj>
        <w:docPartGallery w:val="autotext"/>
      </w:docPartObj>
    </w:sdtPr>
    <w:sdtContent>
      <w:p>
        <w:pPr>
          <w:pStyle w:val="14"/>
          <w:spacing w:before="120" w:after="120"/>
          <w:rPr>
            <w:rFonts w:ascii="楷体" w:hAnsi="楷体" w:eastAsia="楷体"/>
            <w:color w:val="4472C4"/>
            <w:sz w:val="22"/>
          </w:rPr>
        </w:pPr>
        <w:bookmarkStart w:id="135" w:name="_Hlk141661476"/>
      </w:p>
      <w:p>
        <w:pPr>
          <w:pStyle w:val="14"/>
          <w:spacing w:before="120" w:after="120"/>
        </w:pPr>
        <w:r>
          <w:rPr>
            <w:rFonts w:ascii="楷体" w:hAnsi="楷体" w:eastAsia="楷体"/>
            <w:color w:val="4472C4"/>
            <w:sz w:val="22"/>
          </w:rPr>
          <w:t>58</w:t>
        </w:r>
        <w:r>
          <w:rPr>
            <w:rFonts w:hint="eastAsia" w:ascii="楷体" w:hAnsi="楷体" w:eastAsia="楷体"/>
            <w:color w:val="4472C4"/>
            <w:sz w:val="22"/>
          </w:rPr>
          <w:t>同济队</w:t>
        </w:r>
      </w:p>
    </w:sdtContent>
  </w:sdt>
  <w:bookmarkEnd w:id="13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before="120" w:after="120"/>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60288"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可行性研究报告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F2E07"/>
    <w:multiLevelType w:val="multilevel"/>
    <w:tmpl w:val="199F2E0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ACC42CE"/>
    <w:multiLevelType w:val="multilevel"/>
    <w:tmpl w:val="1ACC42CE"/>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322F0223"/>
    <w:multiLevelType w:val="multilevel"/>
    <w:tmpl w:val="322F0223"/>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1DE2869"/>
    <w:multiLevelType w:val="multilevel"/>
    <w:tmpl w:val="41DE286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39C52F9"/>
    <w:multiLevelType w:val="singleLevel"/>
    <w:tmpl w:val="639C52F9"/>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641D14"/>
    <w:rsid w:val="0000622C"/>
    <w:rsid w:val="000101EC"/>
    <w:rsid w:val="0001576F"/>
    <w:rsid w:val="000162CB"/>
    <w:rsid w:val="0002110C"/>
    <w:rsid w:val="00032AFB"/>
    <w:rsid w:val="00040228"/>
    <w:rsid w:val="00075460"/>
    <w:rsid w:val="00084EE6"/>
    <w:rsid w:val="00097668"/>
    <w:rsid w:val="000A24AB"/>
    <w:rsid w:val="000A77E0"/>
    <w:rsid w:val="000B6CA4"/>
    <w:rsid w:val="000C0CBD"/>
    <w:rsid w:val="000E0AFE"/>
    <w:rsid w:val="000F6277"/>
    <w:rsid w:val="000F692A"/>
    <w:rsid w:val="00102332"/>
    <w:rsid w:val="00106192"/>
    <w:rsid w:val="00107E3A"/>
    <w:rsid w:val="0011795D"/>
    <w:rsid w:val="001232A2"/>
    <w:rsid w:val="001325FD"/>
    <w:rsid w:val="00137035"/>
    <w:rsid w:val="001531E1"/>
    <w:rsid w:val="00154E31"/>
    <w:rsid w:val="00163475"/>
    <w:rsid w:val="00171A56"/>
    <w:rsid w:val="00171E7C"/>
    <w:rsid w:val="00172FAF"/>
    <w:rsid w:val="00174F8E"/>
    <w:rsid w:val="00176E8A"/>
    <w:rsid w:val="00182ABE"/>
    <w:rsid w:val="001856B0"/>
    <w:rsid w:val="001862F2"/>
    <w:rsid w:val="001872EF"/>
    <w:rsid w:val="00191504"/>
    <w:rsid w:val="00197580"/>
    <w:rsid w:val="001B7144"/>
    <w:rsid w:val="001B775D"/>
    <w:rsid w:val="001C20BB"/>
    <w:rsid w:val="001C2305"/>
    <w:rsid w:val="001C3247"/>
    <w:rsid w:val="001D1E68"/>
    <w:rsid w:val="001D4034"/>
    <w:rsid w:val="001F22CE"/>
    <w:rsid w:val="0021454E"/>
    <w:rsid w:val="00222162"/>
    <w:rsid w:val="00232E74"/>
    <w:rsid w:val="00232FC1"/>
    <w:rsid w:val="00235E21"/>
    <w:rsid w:val="00241CF9"/>
    <w:rsid w:val="0024463C"/>
    <w:rsid w:val="00260FBD"/>
    <w:rsid w:val="002617CE"/>
    <w:rsid w:val="0027328A"/>
    <w:rsid w:val="002740EE"/>
    <w:rsid w:val="002853D0"/>
    <w:rsid w:val="002951FC"/>
    <w:rsid w:val="002A13E1"/>
    <w:rsid w:val="002C3E26"/>
    <w:rsid w:val="002C513A"/>
    <w:rsid w:val="002E1A6B"/>
    <w:rsid w:val="002E5A8C"/>
    <w:rsid w:val="002F2F12"/>
    <w:rsid w:val="002F6CE9"/>
    <w:rsid w:val="00300248"/>
    <w:rsid w:val="003009B2"/>
    <w:rsid w:val="00303C9B"/>
    <w:rsid w:val="00307E12"/>
    <w:rsid w:val="00311FB6"/>
    <w:rsid w:val="003144E1"/>
    <w:rsid w:val="0031514C"/>
    <w:rsid w:val="003175C4"/>
    <w:rsid w:val="003233F2"/>
    <w:rsid w:val="0032574F"/>
    <w:rsid w:val="00327637"/>
    <w:rsid w:val="00335DBE"/>
    <w:rsid w:val="00336389"/>
    <w:rsid w:val="00351B32"/>
    <w:rsid w:val="00370C69"/>
    <w:rsid w:val="003715DD"/>
    <w:rsid w:val="00373936"/>
    <w:rsid w:val="00384E40"/>
    <w:rsid w:val="003878BC"/>
    <w:rsid w:val="00394734"/>
    <w:rsid w:val="00397EC7"/>
    <w:rsid w:val="003A06AE"/>
    <w:rsid w:val="003A3504"/>
    <w:rsid w:val="003A4EDF"/>
    <w:rsid w:val="003B1DFD"/>
    <w:rsid w:val="003B408A"/>
    <w:rsid w:val="003B500F"/>
    <w:rsid w:val="003B72E6"/>
    <w:rsid w:val="003C089C"/>
    <w:rsid w:val="003C2D60"/>
    <w:rsid w:val="003C4592"/>
    <w:rsid w:val="003F1EC5"/>
    <w:rsid w:val="003F4204"/>
    <w:rsid w:val="003F5488"/>
    <w:rsid w:val="003F7FEE"/>
    <w:rsid w:val="00403FD4"/>
    <w:rsid w:val="004060DA"/>
    <w:rsid w:val="00420E95"/>
    <w:rsid w:val="00437A8D"/>
    <w:rsid w:val="00443700"/>
    <w:rsid w:val="00447828"/>
    <w:rsid w:val="00450EF1"/>
    <w:rsid w:val="00451E82"/>
    <w:rsid w:val="004543F5"/>
    <w:rsid w:val="00455BF5"/>
    <w:rsid w:val="00477A9C"/>
    <w:rsid w:val="0048059C"/>
    <w:rsid w:val="0048106C"/>
    <w:rsid w:val="004860D1"/>
    <w:rsid w:val="004932D1"/>
    <w:rsid w:val="00495248"/>
    <w:rsid w:val="00496CFF"/>
    <w:rsid w:val="00496F08"/>
    <w:rsid w:val="004A2872"/>
    <w:rsid w:val="004A452F"/>
    <w:rsid w:val="004A6F39"/>
    <w:rsid w:val="004A7CDC"/>
    <w:rsid w:val="004D3642"/>
    <w:rsid w:val="004D5610"/>
    <w:rsid w:val="004F1740"/>
    <w:rsid w:val="004F3B63"/>
    <w:rsid w:val="00503CEA"/>
    <w:rsid w:val="00523C3F"/>
    <w:rsid w:val="005242E7"/>
    <w:rsid w:val="005300D0"/>
    <w:rsid w:val="005308B4"/>
    <w:rsid w:val="005327D2"/>
    <w:rsid w:val="0053490A"/>
    <w:rsid w:val="005367AA"/>
    <w:rsid w:val="00540251"/>
    <w:rsid w:val="005475BD"/>
    <w:rsid w:val="005507C7"/>
    <w:rsid w:val="0055147B"/>
    <w:rsid w:val="00562B2B"/>
    <w:rsid w:val="00563863"/>
    <w:rsid w:val="00565EC9"/>
    <w:rsid w:val="00571584"/>
    <w:rsid w:val="00594EB2"/>
    <w:rsid w:val="00597681"/>
    <w:rsid w:val="005A3863"/>
    <w:rsid w:val="005B2DE4"/>
    <w:rsid w:val="005B7644"/>
    <w:rsid w:val="005B7D2F"/>
    <w:rsid w:val="005C09C7"/>
    <w:rsid w:val="005D0CAA"/>
    <w:rsid w:val="005D0F74"/>
    <w:rsid w:val="005E55E7"/>
    <w:rsid w:val="005E7E96"/>
    <w:rsid w:val="005F3F6B"/>
    <w:rsid w:val="005F51BC"/>
    <w:rsid w:val="005F5B13"/>
    <w:rsid w:val="005F7BB7"/>
    <w:rsid w:val="006064E4"/>
    <w:rsid w:val="00613FE3"/>
    <w:rsid w:val="00630B7B"/>
    <w:rsid w:val="006330FC"/>
    <w:rsid w:val="00641D14"/>
    <w:rsid w:val="0064518F"/>
    <w:rsid w:val="006528BD"/>
    <w:rsid w:val="00654649"/>
    <w:rsid w:val="0066169E"/>
    <w:rsid w:val="0067218B"/>
    <w:rsid w:val="00692C11"/>
    <w:rsid w:val="006954AE"/>
    <w:rsid w:val="006B038C"/>
    <w:rsid w:val="006B1752"/>
    <w:rsid w:val="006B6F0C"/>
    <w:rsid w:val="006C2D90"/>
    <w:rsid w:val="006D1B00"/>
    <w:rsid w:val="006D4CD0"/>
    <w:rsid w:val="006E1330"/>
    <w:rsid w:val="006E4334"/>
    <w:rsid w:val="006F3803"/>
    <w:rsid w:val="00705AA6"/>
    <w:rsid w:val="00706427"/>
    <w:rsid w:val="007127B2"/>
    <w:rsid w:val="00712917"/>
    <w:rsid w:val="0072276E"/>
    <w:rsid w:val="00731E36"/>
    <w:rsid w:val="00742639"/>
    <w:rsid w:val="00744BB1"/>
    <w:rsid w:val="00746833"/>
    <w:rsid w:val="00752D98"/>
    <w:rsid w:val="00762E8C"/>
    <w:rsid w:val="007652B9"/>
    <w:rsid w:val="00770039"/>
    <w:rsid w:val="00786414"/>
    <w:rsid w:val="00790014"/>
    <w:rsid w:val="00793E92"/>
    <w:rsid w:val="007942EB"/>
    <w:rsid w:val="00797F8A"/>
    <w:rsid w:val="007A35C5"/>
    <w:rsid w:val="007A363F"/>
    <w:rsid w:val="007A50D0"/>
    <w:rsid w:val="007B6E21"/>
    <w:rsid w:val="007C5640"/>
    <w:rsid w:val="007D24C5"/>
    <w:rsid w:val="007D5631"/>
    <w:rsid w:val="007E4BF0"/>
    <w:rsid w:val="007E4EFB"/>
    <w:rsid w:val="007E58A1"/>
    <w:rsid w:val="007F060D"/>
    <w:rsid w:val="007F30C8"/>
    <w:rsid w:val="007F66A1"/>
    <w:rsid w:val="008010A2"/>
    <w:rsid w:val="0080270C"/>
    <w:rsid w:val="008131E1"/>
    <w:rsid w:val="00820ADA"/>
    <w:rsid w:val="0082126D"/>
    <w:rsid w:val="00821749"/>
    <w:rsid w:val="0083229D"/>
    <w:rsid w:val="00833ED0"/>
    <w:rsid w:val="008435A8"/>
    <w:rsid w:val="00850157"/>
    <w:rsid w:val="008522EE"/>
    <w:rsid w:val="00852A1B"/>
    <w:rsid w:val="00854C8B"/>
    <w:rsid w:val="00855FD7"/>
    <w:rsid w:val="008563B7"/>
    <w:rsid w:val="00861A4C"/>
    <w:rsid w:val="00865817"/>
    <w:rsid w:val="008667FD"/>
    <w:rsid w:val="00866B84"/>
    <w:rsid w:val="00873FCF"/>
    <w:rsid w:val="008806D5"/>
    <w:rsid w:val="008808B4"/>
    <w:rsid w:val="008A006F"/>
    <w:rsid w:val="008A4C0D"/>
    <w:rsid w:val="008B4536"/>
    <w:rsid w:val="008C1550"/>
    <w:rsid w:val="008E2A57"/>
    <w:rsid w:val="008E7195"/>
    <w:rsid w:val="008F3A3D"/>
    <w:rsid w:val="008F5ECB"/>
    <w:rsid w:val="00903C3B"/>
    <w:rsid w:val="009053C1"/>
    <w:rsid w:val="00920E39"/>
    <w:rsid w:val="009356B9"/>
    <w:rsid w:val="009537D7"/>
    <w:rsid w:val="00956DC9"/>
    <w:rsid w:val="009652CD"/>
    <w:rsid w:val="00965E9C"/>
    <w:rsid w:val="00973841"/>
    <w:rsid w:val="009A160D"/>
    <w:rsid w:val="009A47C8"/>
    <w:rsid w:val="009A663E"/>
    <w:rsid w:val="009C582F"/>
    <w:rsid w:val="009D089F"/>
    <w:rsid w:val="009D2261"/>
    <w:rsid w:val="009E790C"/>
    <w:rsid w:val="009F0286"/>
    <w:rsid w:val="00A15622"/>
    <w:rsid w:val="00A15D20"/>
    <w:rsid w:val="00A175B8"/>
    <w:rsid w:val="00A2335E"/>
    <w:rsid w:val="00A32CA2"/>
    <w:rsid w:val="00A340E6"/>
    <w:rsid w:val="00A410CD"/>
    <w:rsid w:val="00A51165"/>
    <w:rsid w:val="00A54E3A"/>
    <w:rsid w:val="00A63959"/>
    <w:rsid w:val="00A66B69"/>
    <w:rsid w:val="00A679A8"/>
    <w:rsid w:val="00A70010"/>
    <w:rsid w:val="00A7153C"/>
    <w:rsid w:val="00A779B1"/>
    <w:rsid w:val="00A80B59"/>
    <w:rsid w:val="00A87E5E"/>
    <w:rsid w:val="00A908C8"/>
    <w:rsid w:val="00A91D6F"/>
    <w:rsid w:val="00A97A90"/>
    <w:rsid w:val="00AA28C0"/>
    <w:rsid w:val="00AA4F17"/>
    <w:rsid w:val="00AB266A"/>
    <w:rsid w:val="00AB2857"/>
    <w:rsid w:val="00AC03BB"/>
    <w:rsid w:val="00AC403F"/>
    <w:rsid w:val="00AD28D1"/>
    <w:rsid w:val="00AD3C44"/>
    <w:rsid w:val="00AD59EF"/>
    <w:rsid w:val="00AF1CFE"/>
    <w:rsid w:val="00B121BC"/>
    <w:rsid w:val="00B16BB8"/>
    <w:rsid w:val="00B17113"/>
    <w:rsid w:val="00B30DBC"/>
    <w:rsid w:val="00B33175"/>
    <w:rsid w:val="00B40106"/>
    <w:rsid w:val="00B46881"/>
    <w:rsid w:val="00B50492"/>
    <w:rsid w:val="00B638BC"/>
    <w:rsid w:val="00B71389"/>
    <w:rsid w:val="00B74C4F"/>
    <w:rsid w:val="00B80DDD"/>
    <w:rsid w:val="00B8118F"/>
    <w:rsid w:val="00B82503"/>
    <w:rsid w:val="00B8528D"/>
    <w:rsid w:val="00B876D3"/>
    <w:rsid w:val="00B937CA"/>
    <w:rsid w:val="00B97E27"/>
    <w:rsid w:val="00BA16FA"/>
    <w:rsid w:val="00BB0FDB"/>
    <w:rsid w:val="00BB14A3"/>
    <w:rsid w:val="00BC08C7"/>
    <w:rsid w:val="00BD650E"/>
    <w:rsid w:val="00BE1375"/>
    <w:rsid w:val="00BE77D9"/>
    <w:rsid w:val="00BF1E32"/>
    <w:rsid w:val="00C03F35"/>
    <w:rsid w:val="00C06C12"/>
    <w:rsid w:val="00C12AF1"/>
    <w:rsid w:val="00C32313"/>
    <w:rsid w:val="00C32330"/>
    <w:rsid w:val="00C53F1C"/>
    <w:rsid w:val="00C54CA4"/>
    <w:rsid w:val="00C552D9"/>
    <w:rsid w:val="00C55798"/>
    <w:rsid w:val="00C6137F"/>
    <w:rsid w:val="00C63C43"/>
    <w:rsid w:val="00C710A6"/>
    <w:rsid w:val="00C7170C"/>
    <w:rsid w:val="00C95C74"/>
    <w:rsid w:val="00C97D83"/>
    <w:rsid w:val="00CA0A6F"/>
    <w:rsid w:val="00CA49F3"/>
    <w:rsid w:val="00CB20AD"/>
    <w:rsid w:val="00CB41A6"/>
    <w:rsid w:val="00CD25BE"/>
    <w:rsid w:val="00CD30E1"/>
    <w:rsid w:val="00CE1930"/>
    <w:rsid w:val="00CE1AEA"/>
    <w:rsid w:val="00CF2500"/>
    <w:rsid w:val="00CF4A23"/>
    <w:rsid w:val="00CF5BD6"/>
    <w:rsid w:val="00CF636A"/>
    <w:rsid w:val="00D00502"/>
    <w:rsid w:val="00D0079D"/>
    <w:rsid w:val="00D033B8"/>
    <w:rsid w:val="00D04FFC"/>
    <w:rsid w:val="00D13FFA"/>
    <w:rsid w:val="00D140D2"/>
    <w:rsid w:val="00D21171"/>
    <w:rsid w:val="00D22271"/>
    <w:rsid w:val="00D362CD"/>
    <w:rsid w:val="00D45382"/>
    <w:rsid w:val="00D502AE"/>
    <w:rsid w:val="00D540E2"/>
    <w:rsid w:val="00D63F15"/>
    <w:rsid w:val="00D64097"/>
    <w:rsid w:val="00D66ED9"/>
    <w:rsid w:val="00D72EED"/>
    <w:rsid w:val="00D8560D"/>
    <w:rsid w:val="00D85E6E"/>
    <w:rsid w:val="00D85FC0"/>
    <w:rsid w:val="00D92528"/>
    <w:rsid w:val="00D94D3C"/>
    <w:rsid w:val="00D961E2"/>
    <w:rsid w:val="00DA1885"/>
    <w:rsid w:val="00DA2038"/>
    <w:rsid w:val="00DB02D0"/>
    <w:rsid w:val="00DB136B"/>
    <w:rsid w:val="00DC4D30"/>
    <w:rsid w:val="00DC7241"/>
    <w:rsid w:val="00DD15FB"/>
    <w:rsid w:val="00DD3CE9"/>
    <w:rsid w:val="00DD7CCF"/>
    <w:rsid w:val="00E269A9"/>
    <w:rsid w:val="00E33A0A"/>
    <w:rsid w:val="00E3783B"/>
    <w:rsid w:val="00E41D02"/>
    <w:rsid w:val="00E43178"/>
    <w:rsid w:val="00E43943"/>
    <w:rsid w:val="00E479F6"/>
    <w:rsid w:val="00E5094B"/>
    <w:rsid w:val="00E50D52"/>
    <w:rsid w:val="00E53EDB"/>
    <w:rsid w:val="00E6796F"/>
    <w:rsid w:val="00E734E8"/>
    <w:rsid w:val="00E75AB5"/>
    <w:rsid w:val="00E800A5"/>
    <w:rsid w:val="00E86F15"/>
    <w:rsid w:val="00E94D85"/>
    <w:rsid w:val="00E955E6"/>
    <w:rsid w:val="00EA2A6F"/>
    <w:rsid w:val="00EA41B9"/>
    <w:rsid w:val="00EA4A1B"/>
    <w:rsid w:val="00EA4E92"/>
    <w:rsid w:val="00EA59F2"/>
    <w:rsid w:val="00EB4812"/>
    <w:rsid w:val="00EB56D8"/>
    <w:rsid w:val="00EB7605"/>
    <w:rsid w:val="00EC1F4D"/>
    <w:rsid w:val="00EC618A"/>
    <w:rsid w:val="00ED104A"/>
    <w:rsid w:val="00EE4D75"/>
    <w:rsid w:val="00EF0009"/>
    <w:rsid w:val="00EF5F5F"/>
    <w:rsid w:val="00F03A1A"/>
    <w:rsid w:val="00F10B7E"/>
    <w:rsid w:val="00F35F0A"/>
    <w:rsid w:val="00F371E8"/>
    <w:rsid w:val="00F407B0"/>
    <w:rsid w:val="00F45943"/>
    <w:rsid w:val="00F45BFD"/>
    <w:rsid w:val="00F561D7"/>
    <w:rsid w:val="00F578A8"/>
    <w:rsid w:val="00F62703"/>
    <w:rsid w:val="00F73A36"/>
    <w:rsid w:val="00F903B2"/>
    <w:rsid w:val="00F93C5A"/>
    <w:rsid w:val="00F948A4"/>
    <w:rsid w:val="00F95715"/>
    <w:rsid w:val="00FA3259"/>
    <w:rsid w:val="00FA4394"/>
    <w:rsid w:val="00FB1E53"/>
    <w:rsid w:val="00FB5E3E"/>
    <w:rsid w:val="00FB7325"/>
    <w:rsid w:val="00FC01BB"/>
    <w:rsid w:val="00FC0712"/>
    <w:rsid w:val="00FC0C54"/>
    <w:rsid w:val="00FC3DA4"/>
    <w:rsid w:val="00FC5D09"/>
    <w:rsid w:val="00FD7A81"/>
    <w:rsid w:val="00FE1D8C"/>
    <w:rsid w:val="00FE391B"/>
    <w:rsid w:val="00FE5D25"/>
    <w:rsid w:val="00FF038A"/>
    <w:rsid w:val="00FF0FC7"/>
    <w:rsid w:val="00FF7CE0"/>
    <w:rsid w:val="57F70492"/>
    <w:rsid w:val="7B952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pPr>
    <w:rPr>
      <w:rFonts w:ascii="仿宋" w:hAnsi="仿宋" w:eastAsia="宋体" w:cs="仿宋"/>
      <w:sz w:val="21"/>
      <w:szCs w:val="22"/>
      <w:lang w:val="en-US" w:eastAsia="zh-CN" w:bidi="ar-SA"/>
    </w:rPr>
  </w:style>
  <w:style w:type="paragraph" w:styleId="2">
    <w:name w:val="heading 1"/>
    <w:basedOn w:val="1"/>
    <w:next w:val="1"/>
    <w:link w:val="28"/>
    <w:qFormat/>
    <w:uiPriority w:val="9"/>
    <w:pPr>
      <w:keepNext/>
      <w:keepLines/>
      <w:spacing w:before="340" w:after="330" w:line="578" w:lineRule="auto"/>
      <w:jc w:val="center"/>
      <w:outlineLvl w:val="0"/>
    </w:pPr>
    <w:rPr>
      <w:rFonts w:eastAsia="Times New Roman"/>
      <w:b/>
      <w:bCs/>
      <w:color w:val="4472C4" w:themeColor="accent1"/>
      <w:kern w:val="44"/>
      <w:sz w:val="44"/>
      <w:szCs w:val="44"/>
      <w14:textFill>
        <w14:solidFill>
          <w14:schemeClr w14:val="accent1"/>
        </w14:solidFill>
      </w14:textFill>
    </w:rPr>
  </w:style>
  <w:style w:type="paragraph" w:styleId="3">
    <w:name w:val="heading 2"/>
    <w:basedOn w:val="1"/>
    <w:next w:val="1"/>
    <w:link w:val="29"/>
    <w:unhideWhenUsed/>
    <w:qFormat/>
    <w:uiPriority w:val="9"/>
    <w:pPr>
      <w:keepNext/>
      <w:keepLines/>
      <w:spacing w:before="260" w:after="260" w:line="416" w:lineRule="auto"/>
      <w:outlineLvl w:val="1"/>
    </w:pPr>
    <w:rPr>
      <w:rFonts w:eastAsia="Times New Roman" w:asciiTheme="majorHAnsi" w:hAnsiTheme="majorHAnsi" w:cstheme="majorBidi"/>
      <w:b/>
      <w:bCs/>
      <w:sz w:val="32"/>
      <w:szCs w:val="32"/>
    </w:rPr>
  </w:style>
  <w:style w:type="paragraph" w:styleId="4">
    <w:name w:val="heading 3"/>
    <w:basedOn w:val="1"/>
    <w:next w:val="1"/>
    <w:link w:val="38"/>
    <w:unhideWhenUsed/>
    <w:qFormat/>
    <w:uiPriority w:val="9"/>
    <w:pPr>
      <w:keepNext/>
      <w:keepLines/>
      <w:spacing w:before="260" w:after="260" w:line="416" w:lineRule="auto"/>
      <w:outlineLvl w:val="2"/>
    </w:pPr>
    <w:rPr>
      <w:rFonts w:eastAsia="Times New Roman"/>
      <w:b/>
      <w:bCs/>
      <w:sz w:val="28"/>
      <w:szCs w:val="32"/>
    </w:rPr>
  </w:style>
  <w:style w:type="paragraph" w:styleId="5">
    <w:name w:val="heading 4"/>
    <w:basedOn w:val="1"/>
    <w:next w:val="1"/>
    <w:link w:val="5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260"/>
    </w:pPr>
    <w:rPr>
      <w:rFonts w:asciiTheme="minorHAnsi" w:eastAsiaTheme="minorHAnsi"/>
      <w:sz w:val="18"/>
      <w:szCs w:val="18"/>
    </w:r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link w:val="39"/>
    <w:semiHidden/>
    <w:unhideWhenUsed/>
    <w:qFormat/>
    <w:uiPriority w:val="99"/>
  </w:style>
  <w:style w:type="paragraph" w:styleId="9">
    <w:name w:val="Body Text"/>
    <w:basedOn w:val="1"/>
    <w:link w:val="32"/>
    <w:qFormat/>
    <w:uiPriority w:val="1"/>
    <w:rPr>
      <w:szCs w:val="21"/>
    </w:rPr>
  </w:style>
  <w:style w:type="paragraph" w:styleId="10">
    <w:name w:val="toc 5"/>
    <w:basedOn w:val="1"/>
    <w:next w:val="1"/>
    <w:unhideWhenUsed/>
    <w:qFormat/>
    <w:uiPriority w:val="39"/>
    <w:pPr>
      <w:ind w:left="840"/>
    </w:pPr>
    <w:rPr>
      <w:rFonts w:asciiTheme="minorHAnsi" w:eastAsiaTheme="minorHAnsi"/>
      <w:sz w:val="18"/>
      <w:szCs w:val="18"/>
    </w:rPr>
  </w:style>
  <w:style w:type="paragraph" w:styleId="11">
    <w:name w:val="toc 3"/>
    <w:basedOn w:val="1"/>
    <w:next w:val="1"/>
    <w:unhideWhenUsed/>
    <w:qFormat/>
    <w:uiPriority w:val="39"/>
    <w:pPr>
      <w:tabs>
        <w:tab w:val="right" w:leader="dot" w:pos="8296"/>
      </w:tabs>
      <w:ind w:left="420"/>
    </w:pPr>
    <w:rPr>
      <w:rFonts w:asciiTheme="minorHAnsi"/>
      <w:sz w:val="20"/>
      <w:szCs w:val="20"/>
    </w:rPr>
  </w:style>
  <w:style w:type="paragraph" w:styleId="12">
    <w:name w:val="toc 8"/>
    <w:basedOn w:val="1"/>
    <w:next w:val="1"/>
    <w:unhideWhenUsed/>
    <w:qFormat/>
    <w:uiPriority w:val="39"/>
    <w:pPr>
      <w:ind w:left="1470"/>
    </w:pPr>
    <w:rPr>
      <w:rFonts w:asciiTheme="minorHAnsi" w:eastAsiaTheme="minorHAnsi"/>
      <w:sz w:val="18"/>
      <w:szCs w:val="18"/>
    </w:rPr>
  </w:style>
  <w:style w:type="paragraph" w:styleId="13">
    <w:name w:val="Balloon Text"/>
    <w:basedOn w:val="1"/>
    <w:link w:val="45"/>
    <w:semiHidden/>
    <w:unhideWhenUsed/>
    <w:qFormat/>
    <w:uiPriority w:val="99"/>
    <w:pPr>
      <w:spacing w:before="0" w:after="0"/>
    </w:pPr>
    <w:rPr>
      <w:sz w:val="18"/>
      <w:szCs w:val="18"/>
    </w:rPr>
  </w:style>
  <w:style w:type="paragraph" w:styleId="14">
    <w:name w:val="footer"/>
    <w:basedOn w:val="1"/>
    <w:link w:val="34"/>
    <w:unhideWhenUsed/>
    <w:qFormat/>
    <w:uiPriority w:val="99"/>
    <w:pPr>
      <w:tabs>
        <w:tab w:val="center" w:pos="4153"/>
        <w:tab w:val="right" w:pos="8306"/>
      </w:tabs>
      <w:snapToGrid w:val="0"/>
    </w:pPr>
    <w:rPr>
      <w:sz w:val="18"/>
      <w:szCs w:val="18"/>
    </w:rPr>
  </w:style>
  <w:style w:type="paragraph" w:styleId="15">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tabs>
        <w:tab w:val="right" w:leader="dot" w:pos="8296"/>
      </w:tabs>
      <w:spacing w:before="120" w:after="120"/>
    </w:pPr>
    <w:rPr>
      <w:rFonts w:asciiTheme="minorHAnsi"/>
      <w:b/>
      <w:bCs/>
      <w:caps/>
      <w:color w:val="4472C4" w:themeColor="accent1"/>
      <w:szCs w:val="21"/>
      <w14:textFill>
        <w14:solidFill>
          <w14:schemeClr w14:val="accent1"/>
        </w14:solidFill>
      </w14:textFill>
    </w:rPr>
  </w:style>
  <w:style w:type="paragraph" w:styleId="17">
    <w:name w:val="toc 4"/>
    <w:basedOn w:val="1"/>
    <w:next w:val="1"/>
    <w:unhideWhenUsed/>
    <w:qFormat/>
    <w:uiPriority w:val="39"/>
    <w:pPr>
      <w:ind w:left="630"/>
    </w:pPr>
    <w:rPr>
      <w:rFonts w:asciiTheme="minorHAnsi" w:eastAsiaTheme="minorHAnsi"/>
      <w:sz w:val="18"/>
      <w:szCs w:val="18"/>
    </w:rPr>
  </w:style>
  <w:style w:type="paragraph" w:styleId="18">
    <w:name w:val="toc 6"/>
    <w:basedOn w:val="1"/>
    <w:next w:val="1"/>
    <w:unhideWhenUsed/>
    <w:qFormat/>
    <w:uiPriority w:val="39"/>
    <w:pPr>
      <w:ind w:left="1050"/>
    </w:pPr>
    <w:rPr>
      <w:rFonts w:asciiTheme="minorHAnsi" w:eastAsiaTheme="minorHAnsi"/>
      <w:sz w:val="18"/>
      <w:szCs w:val="18"/>
    </w:rPr>
  </w:style>
  <w:style w:type="paragraph" w:styleId="19">
    <w:name w:val="toc 2"/>
    <w:basedOn w:val="1"/>
    <w:next w:val="1"/>
    <w:unhideWhenUsed/>
    <w:qFormat/>
    <w:uiPriority w:val="39"/>
    <w:pPr>
      <w:ind w:left="210"/>
    </w:pPr>
    <w:rPr>
      <w:rFonts w:asciiTheme="minorHAnsi" w:eastAsiaTheme="minorHAnsi"/>
      <w:smallCaps/>
      <w:sz w:val="20"/>
      <w:szCs w:val="20"/>
    </w:rPr>
  </w:style>
  <w:style w:type="paragraph" w:styleId="20">
    <w:name w:val="toc 9"/>
    <w:basedOn w:val="1"/>
    <w:next w:val="1"/>
    <w:unhideWhenUsed/>
    <w:qFormat/>
    <w:uiPriority w:val="39"/>
    <w:pPr>
      <w:ind w:left="1680"/>
    </w:pPr>
    <w:rPr>
      <w:rFonts w:asciiTheme="minorHAnsi" w:eastAsiaTheme="minorHAnsi"/>
      <w:sz w:val="18"/>
      <w:szCs w:val="18"/>
    </w:rPr>
  </w:style>
  <w:style w:type="paragraph" w:styleId="21">
    <w:name w:val="Title"/>
    <w:basedOn w:val="1"/>
    <w:next w:val="1"/>
    <w:link w:val="36"/>
    <w:qFormat/>
    <w:uiPriority w:val="10"/>
    <w:pPr>
      <w:spacing w:before="240" w:after="60"/>
      <w:jc w:val="center"/>
      <w:outlineLvl w:val="0"/>
    </w:pPr>
    <w:rPr>
      <w:rFonts w:asciiTheme="majorHAnsi" w:hAnsiTheme="majorHAnsi" w:cstheme="majorBidi"/>
      <w:b/>
      <w:bCs/>
      <w:sz w:val="48"/>
      <w:szCs w:val="32"/>
    </w:rPr>
  </w:style>
  <w:style w:type="paragraph" w:styleId="22">
    <w:name w:val="annotation subject"/>
    <w:basedOn w:val="8"/>
    <w:next w:val="8"/>
    <w:link w:val="40"/>
    <w:semiHidden/>
    <w:unhideWhenUsed/>
    <w:qFormat/>
    <w:uiPriority w:val="99"/>
    <w:rPr>
      <w:b/>
      <w:bCs/>
    </w:rPr>
  </w:style>
  <w:style w:type="table" w:styleId="24">
    <w:name w:val="Table Grid"/>
    <w:basedOn w:val="23"/>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仿宋" w:hAnsi="仿宋" w:eastAsia="Times New Roman" w:cs="仿宋"/>
      <w:b/>
      <w:bCs/>
      <w:color w:val="4472C4" w:themeColor="accent1"/>
      <w:kern w:val="44"/>
      <w:sz w:val="44"/>
      <w:szCs w:val="44"/>
      <w14:textFill>
        <w14:solidFill>
          <w14:schemeClr w14:val="accent1"/>
        </w14:solidFill>
      </w14:textFill>
    </w:rPr>
  </w:style>
  <w:style w:type="character" w:customStyle="1" w:styleId="29">
    <w:name w:val="标题 2 字符"/>
    <w:basedOn w:val="25"/>
    <w:link w:val="3"/>
    <w:qFormat/>
    <w:uiPriority w:val="9"/>
    <w:rPr>
      <w:rFonts w:eastAsia="Times New Roman" w:asciiTheme="majorHAnsi" w:hAnsiTheme="majorHAnsi" w:cstheme="majorBidi"/>
      <w:b/>
      <w:bCs/>
      <w:kern w:val="0"/>
      <w:sz w:val="32"/>
      <w:szCs w:val="32"/>
    </w:rPr>
  </w:style>
  <w:style w:type="paragraph" w:styleId="30">
    <w:name w:val="No Spacing"/>
    <w:link w:val="31"/>
    <w:qFormat/>
    <w:uiPriority w:val="1"/>
    <w:rPr>
      <w:rFonts w:asciiTheme="minorHAnsi" w:hAnsiTheme="minorHAnsi" w:eastAsiaTheme="minorEastAsia" w:cstheme="minorBidi"/>
      <w:sz w:val="22"/>
      <w:szCs w:val="22"/>
      <w:lang w:val="en-US" w:eastAsia="zh-CN" w:bidi="ar-SA"/>
    </w:rPr>
  </w:style>
  <w:style w:type="character" w:customStyle="1" w:styleId="31">
    <w:name w:val="无间隔 字符"/>
    <w:basedOn w:val="25"/>
    <w:link w:val="30"/>
    <w:uiPriority w:val="1"/>
    <w:rPr>
      <w:kern w:val="0"/>
      <w:sz w:val="22"/>
    </w:rPr>
  </w:style>
  <w:style w:type="character" w:customStyle="1" w:styleId="32">
    <w:name w:val="正文文本 字符"/>
    <w:basedOn w:val="25"/>
    <w:link w:val="9"/>
    <w:qFormat/>
    <w:uiPriority w:val="1"/>
    <w:rPr>
      <w:rFonts w:ascii="仿宋" w:hAnsi="仿宋" w:eastAsia="仿宋" w:cs="仿宋"/>
      <w:kern w:val="0"/>
      <w:szCs w:val="21"/>
    </w:rPr>
  </w:style>
  <w:style w:type="character" w:customStyle="1" w:styleId="33">
    <w:name w:val="页眉 字符"/>
    <w:basedOn w:val="25"/>
    <w:link w:val="15"/>
    <w:qFormat/>
    <w:uiPriority w:val="99"/>
    <w:rPr>
      <w:rFonts w:ascii="仿宋" w:hAnsi="仿宋" w:eastAsia="仿宋" w:cs="仿宋"/>
      <w:kern w:val="0"/>
      <w:sz w:val="18"/>
      <w:szCs w:val="18"/>
    </w:rPr>
  </w:style>
  <w:style w:type="character" w:customStyle="1" w:styleId="34">
    <w:name w:val="页脚 字符"/>
    <w:basedOn w:val="25"/>
    <w:link w:val="14"/>
    <w:qFormat/>
    <w:uiPriority w:val="99"/>
    <w:rPr>
      <w:rFonts w:ascii="仿宋" w:hAnsi="仿宋" w:eastAsia="仿宋" w:cs="仿宋"/>
      <w:kern w:val="0"/>
      <w:sz w:val="18"/>
      <w:szCs w:val="18"/>
    </w:rPr>
  </w:style>
  <w:style w:type="paragraph" w:customStyle="1" w:styleId="35">
    <w:name w:val="TOC 标题1"/>
    <w:basedOn w:val="2"/>
    <w:next w:val="1"/>
    <w:unhideWhenUsed/>
    <w:qFormat/>
    <w:uiPriority w:val="39"/>
    <w:pPr>
      <w:widowControl/>
      <w:autoSpaceDE/>
      <w:autoSpaceDN/>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6">
    <w:name w:val="标题 字符"/>
    <w:basedOn w:val="25"/>
    <w:link w:val="21"/>
    <w:qFormat/>
    <w:uiPriority w:val="10"/>
    <w:rPr>
      <w:rFonts w:eastAsia="仿宋" w:asciiTheme="majorHAnsi" w:hAnsiTheme="majorHAnsi" w:cstheme="majorBidi"/>
      <w:b/>
      <w:bCs/>
      <w:kern w:val="0"/>
      <w:sz w:val="48"/>
      <w:szCs w:val="32"/>
    </w:rPr>
  </w:style>
  <w:style w:type="paragraph" w:styleId="37">
    <w:name w:val="List Paragraph"/>
    <w:basedOn w:val="1"/>
    <w:qFormat/>
    <w:uiPriority w:val="34"/>
    <w:pPr>
      <w:ind w:firstLine="420" w:firstLineChars="200"/>
    </w:pPr>
  </w:style>
  <w:style w:type="character" w:customStyle="1" w:styleId="38">
    <w:name w:val="标题 3 字符"/>
    <w:basedOn w:val="25"/>
    <w:link w:val="4"/>
    <w:qFormat/>
    <w:uiPriority w:val="9"/>
    <w:rPr>
      <w:rFonts w:ascii="仿宋" w:hAnsi="仿宋" w:eastAsia="Times New Roman" w:cs="仿宋"/>
      <w:b/>
      <w:bCs/>
      <w:kern w:val="0"/>
      <w:sz w:val="28"/>
      <w:szCs w:val="32"/>
    </w:rPr>
  </w:style>
  <w:style w:type="character" w:customStyle="1" w:styleId="39">
    <w:name w:val="批注文字 字符"/>
    <w:basedOn w:val="25"/>
    <w:link w:val="8"/>
    <w:semiHidden/>
    <w:qFormat/>
    <w:uiPriority w:val="99"/>
    <w:rPr>
      <w:rFonts w:ascii="仿宋" w:hAnsi="仿宋" w:eastAsia="仿宋" w:cs="仿宋"/>
      <w:kern w:val="0"/>
    </w:rPr>
  </w:style>
  <w:style w:type="character" w:customStyle="1" w:styleId="40">
    <w:name w:val="批注主题 字符"/>
    <w:basedOn w:val="39"/>
    <w:link w:val="22"/>
    <w:semiHidden/>
    <w:qFormat/>
    <w:uiPriority w:val="99"/>
    <w:rPr>
      <w:rFonts w:ascii="仿宋" w:hAnsi="仿宋" w:eastAsia="仿宋" w:cs="仿宋"/>
      <w:b/>
      <w:bCs/>
      <w:kern w:val="0"/>
    </w:rPr>
  </w:style>
  <w:style w:type="table" w:customStyle="1" w:styleId="41">
    <w:name w:val="网格表 4 - 着色 11"/>
    <w:basedOn w:val="23"/>
    <w:qFormat/>
    <w:uiPriority w:val="49"/>
    <w:rPr>
      <w:rFonts w:ascii="等线" w:hAnsi="等线" w:eastAsia="等线"/>
      <w:szCs w:val="21"/>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42">
    <w:name w:val="网格表 5 深色 - 着色 51"/>
    <w:basedOn w:val="23"/>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43">
    <w:name w:val="网格表 5 深色 - 着色 11"/>
    <w:basedOn w:val="23"/>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44">
    <w:name w:val="网格表 4 - 着色 51"/>
    <w:basedOn w:val="23"/>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45">
    <w:name w:val="批注框文本 字符"/>
    <w:basedOn w:val="25"/>
    <w:link w:val="13"/>
    <w:semiHidden/>
    <w:qFormat/>
    <w:uiPriority w:val="99"/>
    <w:rPr>
      <w:rFonts w:ascii="仿宋" w:hAnsi="仿宋" w:eastAsia="宋体" w:cs="仿宋"/>
      <w:kern w:val="0"/>
      <w:sz w:val="18"/>
      <w:szCs w:val="18"/>
    </w:rPr>
  </w:style>
  <w:style w:type="table" w:customStyle="1" w:styleId="46">
    <w:name w:val="网格表 5 深色 - 着色 114"/>
    <w:basedOn w:val="23"/>
    <w:qFormat/>
    <w:uiPriority w:val="50"/>
    <w:rPr>
      <w:rFonts w:ascii="等线" w:hAnsi="等线" w:eastAsia="等线"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47">
    <w:name w:val="网格表 4 - 着色 12"/>
    <w:basedOn w:val="23"/>
    <w:qFormat/>
    <w:uiPriority w:val="49"/>
    <w:rPr>
      <w:rFonts w:ascii="Times New Roman" w:hAnsi="Times New Roman" w:eastAsia="宋体"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48">
    <w:name w:val="网格表 4 - 着色 1215"/>
    <w:basedOn w:val="23"/>
    <w:qFormat/>
    <w:uiPriority w:val="49"/>
    <w:rPr>
      <w:rFonts w:ascii="Times New Roman" w:hAnsi="Times New Roman" w:eastAsia="宋体" w:cs="Times New Roma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49">
    <w:name w:val="网格表 4 - 着色 13"/>
    <w:basedOn w:val="23"/>
    <w:qFormat/>
    <w:uiPriority w:val="49"/>
    <w:rPr>
      <w:rFonts w:ascii="等线" w:hAnsi="等线" w:eastAsia="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50">
    <w:name w:val="标题 4 字符"/>
    <w:basedOn w:val="25"/>
    <w:link w:val="5"/>
    <w:qFormat/>
    <w:uiPriority w:val="9"/>
    <w:rPr>
      <w:rFonts w:asciiTheme="majorHAnsi" w:hAnsiTheme="majorHAnsi" w:eastAsiaTheme="majorEastAsia" w:cstheme="majorBidi"/>
      <w:b/>
      <w:bCs/>
      <w:kern w:val="0"/>
      <w:sz w:val="28"/>
      <w:szCs w:val="28"/>
    </w:rPr>
  </w:style>
  <w:style w:type="table" w:customStyle="1" w:styleId="51">
    <w:name w:val="Grid Table 5 Dark Accent 1"/>
    <w:basedOn w:val="23"/>
    <w:qFormat/>
    <w:uiPriority w:val="50"/>
    <w:rPr>
      <w:rFonts w:ascii="宋体" w:hAnsi="宋体" w:eastAsia="宋体"/>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paragraph" w:customStyle="1" w:styleId="52">
    <w:name w:val="sxwz正文"/>
    <w:basedOn w:val="1"/>
    <w:qFormat/>
    <w:uiPriority w:val="0"/>
    <w:pPr>
      <w:widowControl/>
      <w:topLinePunct/>
      <w:autoSpaceDE/>
      <w:autoSpaceDN/>
      <w:spacing w:before="0" w:beforeLines="0" w:after="0" w:afterLines="0" w:line="360" w:lineRule="auto"/>
      <w:ind w:firstLine="200" w:firstLineChars="200"/>
      <w:jc w:val="both"/>
    </w:pPr>
    <w:rPr>
      <w:rFonts w:ascii="Times New Roman" w:hAnsi="Times New Roman" w:eastAsia="仿宋" w:cs="Times New Roman"/>
      <w:sz w:val="24"/>
    </w:rPr>
  </w:style>
  <w:style w:type="character" w:customStyle="1" w:styleId="53">
    <w:name w:val="Unresolved Mention"/>
    <w:basedOn w:val="25"/>
    <w:semiHidden/>
    <w:unhideWhenUsed/>
    <w:qFormat/>
    <w:uiPriority w:val="99"/>
    <w:rPr>
      <w:color w:val="605E5C"/>
      <w:shd w:val="clear" w:color="auto" w:fill="E1DFDD"/>
    </w:rPr>
  </w:style>
  <w:style w:type="table" w:customStyle="1" w:styleId="54">
    <w:name w:val="网格表 4 - 着色 1222"/>
    <w:basedOn w:val="23"/>
    <w:qFormat/>
    <w:uiPriority w:val="49"/>
    <w:pPr>
      <w:jc w:val="center"/>
    </w:pPr>
    <w:rPr>
      <w:rFonts w:ascii="Times New Roman" w:hAnsi="Times New Roman" w:eastAsia="宋体" w:cs="Times New Roman"/>
    </w:rPr>
    <w:tblPr>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rPr>
      <w:jc w:val="center"/>
    </w:trPr>
    <w:tcPr>
      <w:vAlign w:val="center"/>
    </w:tc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55">
    <w:name w:val="网格表 5 深色 - 着色 112"/>
    <w:basedOn w:val="23"/>
    <w:qFormat/>
    <w:uiPriority w:val="50"/>
    <w:rPr>
      <w:rFonts w:ascii="等线" w:hAnsi="等线" w:eastAsia="等线"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56">
    <w:name w:val="网格表 4 - 着色 127"/>
    <w:basedOn w:val="23"/>
    <w:qFormat/>
    <w:uiPriority w:val="49"/>
    <w:rPr>
      <w:rFonts w:ascii="Times New Roman" w:hAnsi="Times New Roman" w:eastAsia="宋体" w:cs="Times New Roma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57">
    <w:name w:val="Grid Table 4 Accent 1"/>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0" Type="http://schemas.openxmlformats.org/officeDocument/2006/relationships/fontTable" Target="fontTable.xml"/><Relationship Id="rId4" Type="http://schemas.openxmlformats.org/officeDocument/2006/relationships/header" Target="header1.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chart" Target="charts/chart3.xml"/><Relationship Id="rId35" Type="http://schemas.openxmlformats.org/officeDocument/2006/relationships/chart" Target="charts/chart2.xml"/><Relationship Id="rId34" Type="http://schemas.openxmlformats.org/officeDocument/2006/relationships/image" Target="media/image24.emf"/><Relationship Id="rId33" Type="http://schemas.openxmlformats.org/officeDocument/2006/relationships/chart" Target="charts/chart1.xml"/><Relationship Id="rId32" Type="http://schemas.openxmlformats.org/officeDocument/2006/relationships/image" Target="media/image23.png"/><Relationship Id="rId31" Type="http://schemas.openxmlformats.org/officeDocument/2006/relationships/image" Target="media/image22.wmf"/><Relationship Id="rId30" Type="http://schemas.openxmlformats.org/officeDocument/2006/relationships/oleObject" Target="embeddings/oleObject1.bin"/><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3398;&#26657;\&#21270;&#24037;\&#21270;&#24037;&#35774;&#35745;&#31454;&#36187;\&#21326;&#19996;&#36187;\&#32463;&#27982;&#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3398;&#26657;\&#21270;&#24037;\&#21270;&#24037;&#35774;&#35745;&#31454;&#36187;\&#21326;&#19996;&#36187;\&#32463;&#27982;&#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3398;&#26657;\&#21270;&#24037;\&#21270;&#24037;&#35774;&#35745;&#31454;&#36187;\&#21326;&#19996;&#36187;\&#32463;&#27982;&#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财务报表!$C$53:$R$53</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财务报表!$C$67:$R$67</c:f>
              <c:numCache>
                <c:formatCode>General</c:formatCode>
                <c:ptCount val="16"/>
                <c:pt idx="0">
                  <c:v>0</c:v>
                </c:pt>
                <c:pt idx="1">
                  <c:v>-35738.4499504225</c:v>
                </c:pt>
                <c:pt idx="2">
                  <c:v>-5346.11934653697</c:v>
                </c:pt>
                <c:pt idx="3">
                  <c:v>34301.1628584587</c:v>
                </c:pt>
                <c:pt idx="4">
                  <c:v>78575.9208640094</c:v>
                </c:pt>
                <c:pt idx="5">
                  <c:v>122850.67886956</c:v>
                </c:pt>
                <c:pt idx="6">
                  <c:v>167125.436875111</c:v>
                </c:pt>
                <c:pt idx="7">
                  <c:v>211318.820726773</c:v>
                </c:pt>
                <c:pt idx="8">
                  <c:v>257593.578732324</c:v>
                </c:pt>
                <c:pt idx="9">
                  <c:v>303868.336737875</c:v>
                </c:pt>
                <c:pt idx="10">
                  <c:v>350143.094743425</c:v>
                </c:pt>
                <c:pt idx="11">
                  <c:v>396417.852748976</c:v>
                </c:pt>
                <c:pt idx="12">
                  <c:v>442692.610754527</c:v>
                </c:pt>
                <c:pt idx="13">
                  <c:v>488967.368760078</c:v>
                </c:pt>
                <c:pt idx="14">
                  <c:v>535242.126765628</c:v>
                </c:pt>
                <c:pt idx="15">
                  <c:v>581516.884771179</c:v>
                </c:pt>
              </c:numCache>
            </c:numRef>
          </c:yVal>
          <c:smooth val="1"/>
        </c:ser>
        <c:dLbls>
          <c:showLegendKey val="0"/>
          <c:showVal val="0"/>
          <c:showCatName val="0"/>
          <c:showSerName val="0"/>
          <c:showPercent val="0"/>
          <c:showBubbleSize val="0"/>
        </c:dLbls>
        <c:axId val="982032320"/>
        <c:axId val="1169928992"/>
      </c:scatterChart>
      <c:valAx>
        <c:axId val="98203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年份</a:t>
                </a:r>
                <a:endParaRPr lang="en-US" altLang="zh-CN"/>
              </a:p>
            </c:rich>
          </c:tx>
          <c:layout>
            <c:manualLayout>
              <c:xMode val="edge"/>
              <c:yMode val="edge"/>
              <c:x val="0.885610758416356"/>
              <c:y val="0.7331100802889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69928992"/>
        <c:crosses val="autoZero"/>
        <c:crossBetween val="midCat"/>
      </c:valAx>
      <c:valAx>
        <c:axId val="116992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累计折现值（万元）</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20323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盈亏平衡分析</a:t>
            </a:r>
            <a:endParaRPr lang="zh-CN" altLang="en-US"/>
          </a:p>
        </c:rich>
      </c:tx>
      <c:layout/>
      <c:overlay val="0"/>
      <c:spPr>
        <a:noFill/>
        <a:ln>
          <a:noFill/>
        </a:ln>
        <a:effectLst/>
      </c:spPr>
    </c:title>
    <c:autoTitleDeleted val="0"/>
    <c:plotArea>
      <c:layout/>
      <c:scatterChart>
        <c:scatterStyle val="lineMarker"/>
        <c:varyColors val="0"/>
        <c:ser>
          <c:idx val="0"/>
          <c:order val="0"/>
          <c:tx>
            <c:strRef>
              <c:f>销售收入</c:f>
              <c:strCache>
                <c:ptCount val="1"/>
                <c:pt idx="0">
                  <c:v>销售收入</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不确定分析!$B$12:$L$12</c:f>
              <c:numCache>
                <c:formatCode>0_ </c:formatCode>
                <c:ptCount val="11"/>
                <c:pt idx="0">
                  <c:v>0</c:v>
                </c:pt>
                <c:pt idx="1">
                  <c:v>1</c:v>
                </c:pt>
                <c:pt idx="2">
                  <c:v>2</c:v>
                </c:pt>
                <c:pt idx="3">
                  <c:v>3</c:v>
                </c:pt>
                <c:pt idx="4">
                  <c:v>4</c:v>
                </c:pt>
                <c:pt idx="5">
                  <c:v>5</c:v>
                </c:pt>
                <c:pt idx="6">
                  <c:v>6</c:v>
                </c:pt>
                <c:pt idx="7">
                  <c:v>7</c:v>
                </c:pt>
                <c:pt idx="8">
                  <c:v>8</c:v>
                </c:pt>
                <c:pt idx="9">
                  <c:v>9</c:v>
                </c:pt>
                <c:pt idx="10">
                  <c:v>10</c:v>
                </c:pt>
              </c:numCache>
            </c:numRef>
          </c:xVal>
          <c:yVal>
            <c:numRef>
              <c:f>不确定分析!$B$13:$L$13</c:f>
              <c:numCache>
                <c:formatCode>0.00_ </c:formatCode>
                <c:ptCount val="11"/>
                <c:pt idx="0">
                  <c:v>0</c:v>
                </c:pt>
                <c:pt idx="1">
                  <c:v>40049.1921090218</c:v>
                </c:pt>
                <c:pt idx="2">
                  <c:v>80098.3842180435</c:v>
                </c:pt>
                <c:pt idx="3">
                  <c:v>120147.576327065</c:v>
                </c:pt>
                <c:pt idx="4">
                  <c:v>160196.768436087</c:v>
                </c:pt>
                <c:pt idx="5">
                  <c:v>200245.960545109</c:v>
                </c:pt>
                <c:pt idx="6">
                  <c:v>240295.152654131</c:v>
                </c:pt>
                <c:pt idx="7">
                  <c:v>280344.344763152</c:v>
                </c:pt>
                <c:pt idx="8">
                  <c:v>320393.536872174</c:v>
                </c:pt>
                <c:pt idx="9">
                  <c:v>360442.728981196</c:v>
                </c:pt>
                <c:pt idx="10">
                  <c:v>400491.921090218</c:v>
                </c:pt>
              </c:numCache>
            </c:numRef>
          </c:yVal>
          <c:smooth val="0"/>
        </c:ser>
        <c:ser>
          <c:idx val="1"/>
          <c:order val="1"/>
          <c:tx>
            <c:strRef>
              <c:f>总成本</c:f>
              <c:strCache>
                <c:ptCount val="1"/>
                <c:pt idx="0">
                  <c:v>总成本</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不确定分析!$B$12:$L$12</c:f>
              <c:numCache>
                <c:formatCode>0_ </c:formatCode>
                <c:ptCount val="11"/>
                <c:pt idx="0">
                  <c:v>0</c:v>
                </c:pt>
                <c:pt idx="1">
                  <c:v>1</c:v>
                </c:pt>
                <c:pt idx="2">
                  <c:v>2</c:v>
                </c:pt>
                <c:pt idx="3">
                  <c:v>3</c:v>
                </c:pt>
                <c:pt idx="4">
                  <c:v>4</c:v>
                </c:pt>
                <c:pt idx="5">
                  <c:v>5</c:v>
                </c:pt>
                <c:pt idx="6">
                  <c:v>6</c:v>
                </c:pt>
                <c:pt idx="7">
                  <c:v>7</c:v>
                </c:pt>
                <c:pt idx="8">
                  <c:v>8</c:v>
                </c:pt>
                <c:pt idx="9">
                  <c:v>9</c:v>
                </c:pt>
                <c:pt idx="10">
                  <c:v>10</c:v>
                </c:pt>
              </c:numCache>
            </c:numRef>
          </c:xVal>
          <c:yVal>
            <c:numRef>
              <c:f>不确定分析!$B$14:$L$14</c:f>
              <c:numCache>
                <c:formatCode>0.00_ </c:formatCode>
                <c:ptCount val="11"/>
                <c:pt idx="0">
                  <c:v>4317.34159588195</c:v>
                </c:pt>
                <c:pt idx="1">
                  <c:v>38915.0983657275</c:v>
                </c:pt>
                <c:pt idx="2">
                  <c:v>73512.855135573</c:v>
                </c:pt>
                <c:pt idx="3">
                  <c:v>108110.611905419</c:v>
                </c:pt>
                <c:pt idx="4">
                  <c:v>142708.368675264</c:v>
                </c:pt>
                <c:pt idx="5">
                  <c:v>177306.12544511</c:v>
                </c:pt>
                <c:pt idx="6">
                  <c:v>211903.882214955</c:v>
                </c:pt>
                <c:pt idx="7">
                  <c:v>246501.638984801</c:v>
                </c:pt>
                <c:pt idx="8">
                  <c:v>281099.395754646</c:v>
                </c:pt>
                <c:pt idx="9">
                  <c:v>315697.152524492</c:v>
                </c:pt>
                <c:pt idx="10">
                  <c:v>350294.909294337</c:v>
                </c:pt>
              </c:numCache>
            </c:numRef>
          </c:yVal>
          <c:smooth val="0"/>
        </c:ser>
        <c:dLbls>
          <c:showLegendKey val="0"/>
          <c:showVal val="0"/>
          <c:showCatName val="0"/>
          <c:showSerName val="0"/>
          <c:showPercent val="0"/>
          <c:showBubbleSize val="0"/>
        </c:dLbls>
        <c:axId val="1009565728"/>
        <c:axId val="1214912288"/>
      </c:scatterChart>
      <c:valAx>
        <c:axId val="1009565728"/>
        <c:scaling>
          <c:orientation val="minMax"/>
        </c:scaling>
        <c:delete val="0"/>
        <c:axPos val="b"/>
        <c:majorGridlines>
          <c:spPr>
            <a:ln w="9525" cap="flat" cmpd="sng" algn="ctr">
              <a:solidFill>
                <a:schemeClr val="tx1">
                  <a:lumMod val="15000"/>
                  <a:lumOff val="85000"/>
                </a:schemeClr>
              </a:solidFill>
              <a:round/>
            </a:ln>
            <a:effectLst/>
          </c:spPr>
        </c:majorGridlines>
        <c:numFmt formatCode="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14912288"/>
        <c:crosses val="autoZero"/>
        <c:crossBetween val="midCat"/>
      </c:valAx>
      <c:valAx>
        <c:axId val="1214912288"/>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9565728"/>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敏感性分析</a:t>
            </a:r>
            <a:endParaRPr lang="zh-CN" altLang="en-US"/>
          </a:p>
        </c:rich>
      </c:tx>
      <c:layout/>
      <c:overlay val="0"/>
      <c:spPr>
        <a:noFill/>
        <a:ln>
          <a:noFill/>
        </a:ln>
        <a:effectLst/>
      </c:spPr>
    </c:title>
    <c:autoTitleDeleted val="0"/>
    <c:plotArea>
      <c:layout/>
      <c:scatterChart>
        <c:scatterStyle val="lineMarker"/>
        <c:varyColors val="0"/>
        <c:ser>
          <c:idx val="0"/>
          <c:order val="0"/>
          <c:tx>
            <c:strRef>
              <c:f>经营成本</c:f>
              <c:strCache>
                <c:ptCount val="1"/>
                <c:pt idx="0">
                  <c:v>经营成本</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不确定分析!$B$18:$F$18</c:f>
              <c:numCache>
                <c:formatCode>0%</c:formatCode>
                <c:ptCount val="5"/>
                <c:pt idx="0">
                  <c:v>-0.1</c:v>
                </c:pt>
                <c:pt idx="1">
                  <c:v>-0.05</c:v>
                </c:pt>
                <c:pt idx="2">
                  <c:v>0</c:v>
                </c:pt>
                <c:pt idx="3">
                  <c:v>0.05</c:v>
                </c:pt>
                <c:pt idx="4">
                  <c:v>0.1</c:v>
                </c:pt>
              </c:numCache>
            </c:numRef>
          </c:xVal>
          <c:yVal>
            <c:numRef>
              <c:f>不确定分析!$B$20:$F$20</c:f>
              <c:numCache>
                <c:formatCode>0.00_ </c:formatCode>
                <c:ptCount val="5"/>
                <c:pt idx="0">
                  <c:v>219748.912507703</c:v>
                </c:pt>
                <c:pt idx="1">
                  <c:v>207791.121550549</c:v>
                </c:pt>
                <c:pt idx="2">
                  <c:v>196029.359953348</c:v>
                </c:pt>
                <c:pt idx="3">
                  <c:v>184267.598356147</c:v>
                </c:pt>
                <c:pt idx="4">
                  <c:v>172113.778039039</c:v>
                </c:pt>
              </c:numCache>
            </c:numRef>
          </c:yVal>
          <c:smooth val="0"/>
        </c:ser>
        <c:ser>
          <c:idx val="1"/>
          <c:order val="1"/>
          <c:tx>
            <c:strRef>
              <c:f>己二腈产量</c:f>
              <c:strCache>
                <c:ptCount val="1"/>
                <c:pt idx="0">
                  <c:v>己二腈产量</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不确定分析!$B$23:$F$23</c:f>
              <c:numCache>
                <c:formatCode>0%</c:formatCode>
                <c:ptCount val="5"/>
                <c:pt idx="0">
                  <c:v>-0.1</c:v>
                </c:pt>
                <c:pt idx="1">
                  <c:v>-0.05</c:v>
                </c:pt>
                <c:pt idx="2">
                  <c:v>0</c:v>
                </c:pt>
                <c:pt idx="3">
                  <c:v>0.05</c:v>
                </c:pt>
                <c:pt idx="4">
                  <c:v>0.1</c:v>
                </c:pt>
              </c:numCache>
            </c:numRef>
          </c:xVal>
          <c:yVal>
            <c:numRef>
              <c:f>不确定分析!$B$25:$F$25</c:f>
              <c:numCache>
                <c:formatCode>0.00_ </c:formatCode>
                <c:ptCount val="5"/>
                <c:pt idx="0">
                  <c:v>173485.983558713</c:v>
                </c:pt>
                <c:pt idx="1">
                  <c:v>185247.745155914</c:v>
                </c:pt>
                <c:pt idx="2">
                  <c:v>196029.359953348</c:v>
                </c:pt>
                <c:pt idx="3">
                  <c:v>206810.974750782</c:v>
                </c:pt>
                <c:pt idx="4">
                  <c:v>218180.677628076</c:v>
                </c:pt>
              </c:numCache>
            </c:numRef>
          </c:yVal>
          <c:smooth val="0"/>
        </c:ser>
        <c:ser>
          <c:idx val="2"/>
          <c:order val="2"/>
          <c:tx>
            <c:strRef>
              <c:f>己二腈价格</c:f>
              <c:strCache>
                <c:ptCount val="1"/>
                <c:pt idx="0">
                  <c:v>己二腈价格</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不确定分析!$B$28:$F$28</c:f>
              <c:numCache>
                <c:formatCode>0%</c:formatCode>
                <c:ptCount val="5"/>
                <c:pt idx="0">
                  <c:v>-0.1</c:v>
                </c:pt>
                <c:pt idx="1">
                  <c:v>-0.05</c:v>
                </c:pt>
                <c:pt idx="2">
                  <c:v>0</c:v>
                </c:pt>
                <c:pt idx="3">
                  <c:v>0.05</c:v>
                </c:pt>
                <c:pt idx="4">
                  <c:v>0.1</c:v>
                </c:pt>
              </c:numCache>
            </c:numRef>
          </c:xVal>
          <c:yVal>
            <c:numRef>
              <c:f>不确定分析!$B$30:$F$30</c:f>
              <c:numCache>
                <c:formatCode>0.00_ </c:formatCode>
                <c:ptCount val="5"/>
                <c:pt idx="0">
                  <c:v>160940.104521699</c:v>
                </c:pt>
                <c:pt idx="1">
                  <c:v>178386.717557547</c:v>
                </c:pt>
                <c:pt idx="2">
                  <c:v>196029.359953348</c:v>
                </c:pt>
                <c:pt idx="3">
                  <c:v>213672.002349149</c:v>
                </c:pt>
                <c:pt idx="4">
                  <c:v>231706.703464857</c:v>
                </c:pt>
              </c:numCache>
            </c:numRef>
          </c:yVal>
          <c:smooth val="0"/>
        </c:ser>
        <c:dLbls>
          <c:showLegendKey val="0"/>
          <c:showVal val="0"/>
          <c:showCatName val="0"/>
          <c:showSerName val="0"/>
          <c:showPercent val="0"/>
          <c:showBubbleSize val="0"/>
        </c:dLbls>
        <c:axId val="215362847"/>
        <c:axId val="645747695"/>
      </c:scatterChart>
      <c:valAx>
        <c:axId val="2153628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变动幅度</a:t>
                </a:r>
                <a:endParaRPr lang="zh-CN" altLang="en-US"/>
              </a:p>
            </c:rich>
          </c:tx>
          <c:layout/>
          <c:overlay val="0"/>
          <c:spPr>
            <a:noFill/>
            <a:ln>
              <a:noFill/>
            </a:ln>
            <a:effectLst/>
          </c:sp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5747695"/>
        <c:crosses val="autoZero"/>
        <c:crossBetween val="midCat"/>
      </c:valAx>
      <c:valAx>
        <c:axId val="645747695"/>
        <c:scaling>
          <c:orientation val="minMax"/>
          <c:min val="1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净现值（万元）</a:t>
                </a:r>
                <a:endParaRPr lang="zh-CN" altLang="en-US"/>
              </a:p>
            </c:rich>
          </c:tx>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5362847"/>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875D20-C598-4755-B8F4-1A55BB8C286D}">
  <ds:schemaRefs/>
</ds:datastoreItem>
</file>

<file path=docProps/app.xml><?xml version="1.0" encoding="utf-8"?>
<Properties xmlns="http://schemas.openxmlformats.org/officeDocument/2006/extended-properties" xmlns:vt="http://schemas.openxmlformats.org/officeDocument/2006/docPropsVTypes">
  <Template>Normal.dotm</Template>
  <Pages>60</Pages>
  <Words>7906</Words>
  <Characters>45069</Characters>
  <Lines>375</Lines>
  <Paragraphs>105</Paragraphs>
  <TotalTime>0</TotalTime>
  <ScaleCrop>false</ScaleCrop>
  <LinksUpToDate>false</LinksUpToDate>
  <CharactersWithSpaces>52870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2023-07-24T08:02:00Z</dcterms:created>
  <dc:creator>艾 英驰</dc:creator>
  <cp:lastModifiedBy>林锕</cp:lastModifiedBy>
  <dcterms:modified xsi:type="dcterms:W3CDTF">2023-07-30T22:23:34Z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BB417D5853C04BC7AB63323E928AE848_12</vt:lpwstr>
  </property>
</Properties>
</file>