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156" w:after="156"/>
        <w:jc w:val="center"/>
        <w:rPr>
          <w:rFonts w:ascii="楷体" w:hAnsi="楷体" w:eastAsia="楷体"/>
          <w:b/>
          <w:sz w:val="36"/>
          <w:szCs w:val="36"/>
        </w:rPr>
      </w:pPr>
      <w:bookmarkStart w:id="0" w:name="_Toc5469"/>
      <w:bookmarkStart w:id="1" w:name="_Toc77705456"/>
      <w:r>
        <w:rPr>
          <w:rFonts w:ascii="楷体" w:hAnsi="楷体" w:eastAsia="楷体"/>
        </w:rPr>
        <w:drawing>
          <wp:anchor distT="0" distB="0" distL="0" distR="0" simplePos="0" relativeHeight="251665408"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3"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rPr>
        <w:t>天正设计杯</w:t>
      </w:r>
      <w:r>
        <w:rPr>
          <w:rFonts w:ascii="楷体" w:hAnsi="楷体" w:eastAsia="楷体"/>
          <w:b/>
          <w:sz w:val="36"/>
          <w:szCs w:val="36"/>
        </w:rPr>
        <w:t>”</w:t>
      </w:r>
    </w:p>
    <w:p>
      <w:pPr>
        <w:pStyle w:val="6"/>
        <w:spacing w:before="156" w:after="156"/>
        <w:jc w:val="center"/>
        <w:outlineLvl w:val="0"/>
        <w:rPr>
          <w:rFonts w:ascii="楷体" w:hAnsi="楷体" w:eastAsia="楷体"/>
          <w:b/>
          <w:sz w:val="36"/>
          <w:szCs w:val="36"/>
        </w:rPr>
      </w:pPr>
      <w:bookmarkStart w:id="2" w:name="_Toc21352"/>
      <w:bookmarkStart w:id="3" w:name="_Toc141633676"/>
      <w:bookmarkStart w:id="4" w:name="_Toc23377"/>
      <w:r>
        <w:rPr>
          <w:rFonts w:hint="eastAsia" w:ascii="楷体" w:hAnsi="楷体" w:eastAsia="楷体"/>
          <w:b/>
          <w:sz w:val="36"/>
          <w:szCs w:val="36"/>
        </w:rPr>
        <w:t>第十七届全国大学生化工设计竞赛</w:t>
      </w:r>
      <w:bookmarkEnd w:id="2"/>
      <w:bookmarkEnd w:id="3"/>
      <w:bookmarkEnd w:id="4"/>
    </w:p>
    <w:p>
      <w:pPr>
        <w:pStyle w:val="6"/>
        <w:spacing w:before="156" w:after="156"/>
        <w:jc w:val="center"/>
        <w:rPr>
          <w:rFonts w:ascii="宋体" w:hAnsi="宋体"/>
          <w:sz w:val="20"/>
        </w:rPr>
      </w:pPr>
    </w:p>
    <w:p>
      <w:pPr>
        <w:pStyle w:val="6"/>
        <w:spacing w:before="156" w:after="156"/>
        <w:jc w:val="center"/>
        <w:outlineLvl w:val="0"/>
        <w:rPr>
          <w:rFonts w:ascii="楷体" w:hAnsi="楷体" w:eastAsia="楷体"/>
          <w:b/>
          <w:sz w:val="48"/>
          <w:szCs w:val="48"/>
        </w:rPr>
      </w:pPr>
      <w:bookmarkStart w:id="5" w:name="_Toc28106"/>
      <w:bookmarkStart w:id="6" w:name="_Toc141633677"/>
      <w:bookmarkStart w:id="7" w:name="_Toc22126"/>
      <w:r>
        <w:rPr>
          <w:rFonts w:hint="eastAsia" w:ascii="楷体" w:hAnsi="楷体" w:eastAsia="楷体"/>
          <w:b/>
          <w:sz w:val="48"/>
          <w:szCs w:val="48"/>
        </w:rPr>
        <w:t>重庆华峰化工有限公司</w:t>
      </w:r>
      <w:bookmarkEnd w:id="5"/>
      <w:bookmarkEnd w:id="6"/>
      <w:bookmarkEnd w:id="7"/>
    </w:p>
    <w:p>
      <w:pPr>
        <w:pStyle w:val="6"/>
        <w:spacing w:before="156" w:after="156"/>
        <w:jc w:val="center"/>
        <w:outlineLvl w:val="1"/>
        <w:rPr>
          <w:rFonts w:ascii="楷体" w:hAnsi="楷体" w:eastAsia="楷体"/>
          <w:b/>
          <w:sz w:val="48"/>
          <w:szCs w:val="48"/>
        </w:rPr>
      </w:pPr>
      <w:bookmarkStart w:id="8" w:name="_Toc29987"/>
      <w:bookmarkStart w:id="9" w:name="_Toc141633678"/>
      <w:r>
        <w:rPr>
          <w:rFonts w:ascii="楷体" w:hAnsi="楷体" w:eastAsia="楷体"/>
          <w:b/>
          <w:sz w:val="48"/>
          <w:szCs w:val="48"/>
        </w:rPr>
        <w:t>10.5</w:t>
      </w:r>
      <w:r>
        <w:rPr>
          <w:rFonts w:hint="eastAsia" w:ascii="楷体" w:hAnsi="楷体" w:eastAsia="楷体"/>
          <w:b/>
          <w:sz w:val="48"/>
          <w:szCs w:val="48"/>
        </w:rPr>
        <w:t>万吨/年99.9</w:t>
      </w:r>
      <w:r>
        <w:rPr>
          <w:rFonts w:ascii="楷体" w:hAnsi="楷体" w:eastAsia="楷体"/>
          <w:b/>
          <w:sz w:val="48"/>
          <w:szCs w:val="48"/>
        </w:rPr>
        <w:t>9</w:t>
      </w:r>
      <w:r>
        <w:rPr>
          <w:rFonts w:hint="eastAsia" w:ascii="楷体" w:hAnsi="楷体" w:eastAsia="楷体"/>
          <w:b/>
          <w:sz w:val="48"/>
          <w:szCs w:val="48"/>
        </w:rPr>
        <w:t>wt%己二腈生产项目</w:t>
      </w:r>
      <w:bookmarkEnd w:id="8"/>
      <w:bookmarkEnd w:id="9"/>
    </w:p>
    <w:p>
      <w:pPr>
        <w:pStyle w:val="6"/>
        <w:spacing w:before="156" w:after="156"/>
        <w:jc w:val="center"/>
        <w:rPr>
          <w:rFonts w:ascii="楷体" w:hAnsi="楷体" w:eastAsia="楷体"/>
          <w:b/>
          <w:sz w:val="72"/>
          <w:szCs w:val="72"/>
        </w:rPr>
      </w:pPr>
      <w:r>
        <w:rPr>
          <w:rFonts w:hint="eastAsia" w:ascii="楷体" w:hAnsi="楷体" w:eastAsia="楷体"/>
          <w:b/>
          <w:sz w:val="72"/>
          <w:szCs w:val="72"/>
        </w:rPr>
        <w:drawing>
          <wp:anchor distT="0" distB="0" distL="0" distR="0" simplePos="0" relativeHeight="251661312"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4"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rPr>
        <w:t>创新性说明</w:t>
      </w:r>
    </w:p>
    <w:p>
      <w:pPr>
        <w:spacing w:before="156" w:after="156"/>
        <w:ind w:left="1759" w:right="1340" w:firstLine="880"/>
        <w:rPr>
          <w:rFonts w:ascii="宋体" w:hAnsi="宋体"/>
          <w:sz w:val="44"/>
        </w:rPr>
      </w:pPr>
    </w:p>
    <w:p>
      <w:pPr>
        <w:spacing w:before="156" w:after="156"/>
        <w:ind w:left="1759" w:right="1340" w:firstLine="880"/>
        <w:rPr>
          <w:rFonts w:ascii="宋体" w:hAnsi="宋体"/>
          <w:sz w:val="44"/>
        </w:rPr>
      </w:pPr>
    </w:p>
    <w:p>
      <w:pPr>
        <w:spacing w:before="156" w:after="156"/>
        <w:ind w:firstLine="480"/>
        <w:rPr>
          <w:rFonts w:ascii="宋体" w:hAnsi="宋体"/>
        </w:rPr>
      </w:pPr>
    </w:p>
    <w:p>
      <w:pPr>
        <w:widowControl/>
        <w:spacing w:before="156" w:after="156"/>
        <w:ind w:firstLine="480"/>
        <w:rPr>
          <w:rFonts w:ascii="宋体" w:hAnsi="宋体" w:eastAsia="宋体"/>
          <w:b/>
          <w:bCs/>
          <w:sz w:val="32"/>
          <w:szCs w:val="36"/>
        </w:rPr>
      </w:pPr>
      <w:r>
        <w:rPr>
          <w:rFonts w:ascii="宋体" w:hAnsi="宋体"/>
        </w:rPr>
        <mc:AlternateContent>
          <mc:Choice Requires="wps">
            <w:drawing>
              <wp:anchor distT="45720" distB="45720" distL="114300" distR="114300" simplePos="0" relativeHeight="251660288" behindDoc="0" locked="0" layoutInCell="1" allowOverlap="1">
                <wp:simplePos x="0" y="0"/>
                <wp:positionH relativeFrom="page">
                  <wp:posOffset>-158750</wp:posOffset>
                </wp:positionH>
                <wp:positionV relativeFrom="paragraph">
                  <wp:posOffset>2524760</wp:posOffset>
                </wp:positionV>
                <wp:extent cx="7559040" cy="1478915"/>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559040" cy="1478942"/>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ind w:firstLine="562"/>
                              <w:jc w:val="right"/>
                              <w:rPr>
                                <w:b/>
                                <w:sz w:val="28"/>
                                <w:szCs w:val="28"/>
                              </w:rPr>
                            </w:pPr>
                            <w:r>
                              <w:rPr>
                                <w:rFonts w:hint="eastAsia"/>
                                <w:b/>
                                <w:sz w:val="28"/>
                                <w:szCs w:val="28"/>
                              </w:rPr>
                              <w:t>队员：林耿孚 艾英驰 桂亦林 曾信欣 朱馨怡</w:t>
                            </w:r>
                          </w:p>
                          <w:p>
                            <w:pPr>
                              <w:wordWrap w:val="0"/>
                              <w:spacing w:before="156" w:after="156"/>
                              <w:ind w:firstLine="562"/>
                              <w:jc w:val="right"/>
                              <w:rPr>
                                <w:b/>
                                <w:sz w:val="28"/>
                                <w:szCs w:val="28"/>
                              </w:rPr>
                            </w:pPr>
                            <w:r>
                              <w:rPr>
                                <w:rFonts w:hint="eastAsia"/>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5pt;margin-top:198.8pt;height:116.45pt;width:595.2pt;mso-position-horizontal-relative:page;mso-wrap-distance-bottom:3.6pt;mso-wrap-distance-left:9pt;mso-wrap-distance-right:9pt;mso-wrap-distance-top:3.6pt;z-index:251660288;mso-width-relative:page;mso-height-relative:page;" filled="f" stroked="f" coordsize="21600,21600" o:gfxdata="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103gvZAAAADAEAAA8AAAAAAAAAAQAgAAAAIgAAAGRycy9kb3ducmV2LnhtbFBLAQIUABQAAAAI&#10;AIdO4kD6YUteJQIAACwEAAAOAAAAAAAAAAEAIAAAACgBAABkcnMvZTJvRG9jLnhtbFBLBQYAAAAA&#10;BgAGAFkBAAC/BQ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ind w:firstLine="562"/>
                        <w:jc w:val="right"/>
                        <w:rPr>
                          <w:b/>
                          <w:sz w:val="28"/>
                          <w:szCs w:val="28"/>
                        </w:rPr>
                      </w:pPr>
                      <w:r>
                        <w:rPr>
                          <w:rFonts w:hint="eastAsia"/>
                          <w:b/>
                          <w:sz w:val="28"/>
                          <w:szCs w:val="28"/>
                        </w:rPr>
                        <w:t>队员：林耿孚 艾英驰 桂亦林 曾信欣 朱馨怡</w:t>
                      </w:r>
                    </w:p>
                    <w:p>
                      <w:pPr>
                        <w:wordWrap w:val="0"/>
                        <w:spacing w:before="156" w:after="156"/>
                        <w:ind w:firstLine="562"/>
                        <w:jc w:val="right"/>
                        <w:rPr>
                          <w:b/>
                          <w:sz w:val="28"/>
                          <w:szCs w:val="28"/>
                        </w:rPr>
                      </w:pPr>
                      <w:r>
                        <w:rPr>
                          <w:rFonts w:hint="eastAsia"/>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rPr>
          <w:rFonts w:ascii="宋体" w:hAnsi="宋体"/>
        </w:rPr>
        <w:br w:type="page"/>
      </w:r>
    </w:p>
    <w:sdt>
      <w:sdtPr>
        <w:rPr>
          <w:rFonts w:ascii="宋体" w:hAnsi="宋体" w:eastAsia="宋体"/>
          <w:b/>
          <w:bCs/>
          <w:sz w:val="32"/>
          <w:szCs w:val="36"/>
        </w:rPr>
        <w:id w:val="147479212"/>
        <w15:color w:val="DBDBDB"/>
        <w:docPartObj>
          <w:docPartGallery w:val="Table of Contents"/>
          <w:docPartUnique/>
        </w:docPartObj>
      </w:sdtPr>
      <w:sdtEndPr>
        <w:rPr>
          <w:rFonts w:ascii="宋体" w:hAnsi="宋体" w:eastAsia="宋体"/>
          <w:b/>
          <w:bCs/>
          <w:sz w:val="32"/>
          <w:szCs w:val="36"/>
        </w:rPr>
      </w:sdtEndPr>
      <w:sdtContent>
        <w:p>
          <w:pPr>
            <w:spacing w:line="240" w:lineRule="auto"/>
            <w:ind w:firstLine="0" w:firstLineChars="0"/>
            <w:jc w:val="center"/>
            <w:rPr>
              <w:b/>
              <w:bCs/>
              <w:sz w:val="40"/>
              <w:szCs w:val="36"/>
            </w:rPr>
          </w:pPr>
          <w:r>
            <w:rPr>
              <w:rFonts w:ascii="宋体" w:hAnsi="宋体" w:eastAsia="宋体"/>
              <w:b/>
              <w:bCs/>
              <w:sz w:val="32"/>
              <w:szCs w:val="36"/>
            </w:rPr>
            <w:t>目录</w:t>
          </w:r>
        </w:p>
        <w:p>
          <w:pPr>
            <w:pStyle w:val="10"/>
            <w:tabs>
              <w:tab w:val="right" w:leader="dot" w:pos="8296"/>
            </w:tabs>
            <w:ind w:firstLine="480"/>
            <w:rPr>
              <w:rFonts w:asciiTheme="minorHAnsi" w:hAnsiTheme="minorHAnsi" w:eastAsiaTheme="minorEastAsia" w:cstheme="minorBidi"/>
              <w:sz w:val="21"/>
              <w14:ligatures w14:val="standardContextual"/>
            </w:rPr>
          </w:pPr>
          <w:r>
            <w:fldChar w:fldCharType="begin"/>
          </w:r>
          <w:r>
            <w:instrText xml:space="preserve">TOC \o "1-3" \h \u </w:instrText>
          </w:r>
          <w:r>
            <w:fldChar w:fldCharType="separate"/>
          </w:r>
          <w:r>
            <w:fldChar w:fldCharType="begin"/>
          </w:r>
          <w:r>
            <w:instrText xml:space="preserve"> HYPERLINK \l "_Toc141633676" </w:instrText>
          </w:r>
          <w:r>
            <w:fldChar w:fldCharType="separate"/>
          </w:r>
          <w:r>
            <w:rPr>
              <w:rStyle w:val="15"/>
              <w:rFonts w:ascii="楷体" w:hAnsi="楷体" w:eastAsia="楷体"/>
              <w:b/>
            </w:rPr>
            <w:t>第十七届全国大学生化工设计竞赛</w:t>
          </w:r>
          <w:r>
            <w:tab/>
          </w:r>
          <w:r>
            <w:fldChar w:fldCharType="begin"/>
          </w:r>
          <w:r>
            <w:instrText xml:space="preserve"> PAGEREF _Toc141633676 \h </w:instrText>
          </w:r>
          <w:r>
            <w:fldChar w:fldCharType="separate"/>
          </w:r>
          <w:r>
            <w:t>1</w:t>
          </w:r>
          <w:r>
            <w:fldChar w:fldCharType="end"/>
          </w:r>
          <w:r>
            <w:fldChar w:fldCharType="end"/>
          </w:r>
        </w:p>
        <w:p>
          <w:pPr>
            <w:pStyle w:val="10"/>
            <w:tabs>
              <w:tab w:val="right" w:leader="dot" w:pos="8296"/>
            </w:tabs>
            <w:ind w:firstLine="480"/>
            <w:rPr>
              <w:rFonts w:asciiTheme="minorHAnsi" w:hAnsiTheme="minorHAnsi" w:eastAsiaTheme="minorEastAsia" w:cstheme="minorBidi"/>
              <w:sz w:val="21"/>
              <w14:ligatures w14:val="standardContextual"/>
            </w:rPr>
          </w:pPr>
          <w:r>
            <w:fldChar w:fldCharType="begin"/>
          </w:r>
          <w:r>
            <w:instrText xml:space="preserve"> HYPERLINK \l "_Toc141633677" </w:instrText>
          </w:r>
          <w:r>
            <w:fldChar w:fldCharType="separate"/>
          </w:r>
          <w:r>
            <w:rPr>
              <w:rStyle w:val="15"/>
              <w:rFonts w:ascii="楷体" w:hAnsi="楷体" w:eastAsia="楷体"/>
              <w:b/>
            </w:rPr>
            <w:t>重庆华峰化工有限公司</w:t>
          </w:r>
          <w:r>
            <w:tab/>
          </w:r>
          <w:r>
            <w:fldChar w:fldCharType="begin"/>
          </w:r>
          <w:r>
            <w:instrText xml:space="preserve"> PAGEREF _Toc141633677 \h </w:instrText>
          </w:r>
          <w:r>
            <w:fldChar w:fldCharType="separate"/>
          </w:r>
          <w:r>
            <w:t>1</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"_Toc141633678" </w:instrText>
          </w:r>
          <w:r>
            <w:fldChar w:fldCharType="separate"/>
          </w:r>
          <w:r>
            <w:rPr>
              <w:rStyle w:val="15"/>
              <w:rFonts w:ascii="楷体" w:hAnsi="楷体" w:eastAsia="楷体"/>
              <w:b/>
            </w:rPr>
            <w:t>10.5万吨/年99.99wt%己二腈生产项目</w:t>
          </w:r>
          <w:r>
            <w:tab/>
          </w:r>
          <w:r>
            <w:fldChar w:fldCharType="begin"/>
          </w:r>
          <w:r>
            <w:instrText xml:space="preserve"> PAGEREF _Toc141633678 \h </w:instrText>
          </w:r>
          <w:r>
            <w:fldChar w:fldCharType="separate"/>
          </w:r>
          <w:r>
            <w:t>1</w:t>
          </w:r>
          <w:r>
            <w:fldChar w:fldCharType="end"/>
          </w:r>
          <w:r>
            <w:fldChar w:fldCharType="end"/>
          </w:r>
        </w:p>
        <w:p>
          <w:pPr>
            <w:pStyle w:val="10"/>
            <w:tabs>
              <w:tab w:val="right" w:leader="dot" w:pos="8296"/>
            </w:tabs>
            <w:ind w:firstLine="480"/>
            <w:rPr>
              <w:rFonts w:asciiTheme="minorHAnsi" w:hAnsiTheme="minorHAnsi" w:eastAsiaTheme="minorEastAsia" w:cstheme="minorBidi"/>
              <w:sz w:val="21"/>
              <w14:ligatures w14:val="standardContextual"/>
            </w:rPr>
          </w:pPr>
          <w:r>
            <w:fldChar w:fldCharType="begin"/>
          </w:r>
          <w:r>
            <w:instrText xml:space="preserve"> HYPERLINK \l "_Toc141633679" </w:instrText>
          </w:r>
          <w:r>
            <w:fldChar w:fldCharType="separate"/>
          </w:r>
          <w:r>
            <w:rPr>
              <w:rStyle w:val="15"/>
            </w:rPr>
            <w:t>第一章 产品方案创新</w:t>
          </w:r>
          <w:r>
            <w:tab/>
          </w:r>
          <w:r>
            <w:fldChar w:fldCharType="begin"/>
          </w:r>
          <w:r>
            <w:instrText xml:space="preserve"> PAGEREF _Toc141633679 \h </w:instrText>
          </w:r>
          <w:r>
            <w:fldChar w:fldCharType="separate"/>
          </w:r>
          <w:r>
            <w:t>4</w:t>
          </w:r>
          <w:r>
            <w:fldChar w:fldCharType="end"/>
          </w:r>
          <w:r>
            <w:fldChar w:fldCharType="end"/>
          </w:r>
        </w:p>
        <w:p>
          <w:pPr>
            <w:pStyle w:val="10"/>
            <w:tabs>
              <w:tab w:val="right" w:leader="dot" w:pos="8296"/>
            </w:tabs>
            <w:ind w:firstLine="480"/>
            <w:rPr>
              <w:rFonts w:asciiTheme="minorHAnsi" w:hAnsiTheme="minorHAnsi" w:eastAsiaTheme="minorEastAsia" w:cstheme="minorBidi"/>
              <w:sz w:val="21"/>
              <w14:ligatures w14:val="standardContextual"/>
            </w:rPr>
          </w:pPr>
          <w:r>
            <w:fldChar w:fldCharType="begin"/>
          </w:r>
          <w:r>
            <w:instrText xml:space="preserve"> HYPERLINK \l "_Toc141633680" </w:instrText>
          </w:r>
          <w:r>
            <w:fldChar w:fldCharType="separate"/>
          </w:r>
          <w:r>
            <w:rPr>
              <w:rStyle w:val="15"/>
            </w:rPr>
            <w:t>第二章 反应技术创新</w:t>
          </w:r>
          <w:r>
            <w:tab/>
          </w:r>
          <w:r>
            <w:fldChar w:fldCharType="begin"/>
          </w:r>
          <w:r>
            <w:instrText xml:space="preserve"> PAGEREF _Toc141633680 \h </w:instrText>
          </w:r>
          <w:r>
            <w:fldChar w:fldCharType="separate"/>
          </w:r>
          <w:r>
            <w:t>6</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"_Toc141633681" </w:instrText>
          </w:r>
          <w:r>
            <w:fldChar w:fldCharType="separate"/>
          </w:r>
          <w:r>
            <w:rPr>
              <w:rStyle w:val="15"/>
            </w:rPr>
            <w:t>2.1 反应路线对比</w:t>
          </w:r>
          <w:r>
            <w:tab/>
          </w:r>
          <w:r>
            <w:fldChar w:fldCharType="begin"/>
          </w:r>
          <w:r>
            <w:instrText xml:space="preserve"> PAGEREF _Toc141633681 \h </w:instrText>
          </w:r>
          <w:r>
            <w:fldChar w:fldCharType="separate"/>
          </w:r>
          <w:r>
            <w:t>6</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"_Toc141633682" </w:instrText>
          </w:r>
          <w:r>
            <w:fldChar w:fldCharType="separate"/>
          </w:r>
          <w:r>
            <w:rPr>
              <w:rStyle w:val="15"/>
              <w:rFonts w:eastAsia="宋体"/>
            </w:rPr>
            <w:t>2.2 工艺技术方案选择</w:t>
          </w:r>
          <w:r>
            <w:tab/>
          </w:r>
          <w:r>
            <w:fldChar w:fldCharType="begin"/>
          </w:r>
          <w:r>
            <w:instrText xml:space="preserve"> PAGEREF _Toc141633682 \h </w:instrText>
          </w:r>
          <w:r>
            <w:fldChar w:fldCharType="separate"/>
          </w:r>
          <w:r>
            <w:t>6</w:t>
          </w:r>
          <w:r>
            <w:fldChar w:fldCharType="end"/>
          </w:r>
          <w:r>
            <w:fldChar w:fldCharType="end"/>
          </w:r>
        </w:p>
        <w:p>
          <w:pPr>
            <w:pStyle w:val="7"/>
            <w:tabs>
              <w:tab w:val="right" w:leader="dot" w:pos="8296"/>
            </w:tabs>
            <w:ind w:left="960" w:firstLine="480"/>
            <w:rPr>
              <w:rFonts w:asciiTheme="minorHAnsi" w:hAnsiTheme="minorHAnsi" w:eastAsiaTheme="minorEastAsia" w:cstheme="minorBidi"/>
              <w:sz w:val="21"/>
              <w14:ligatures w14:val="standardContextual"/>
            </w:rPr>
          </w:pPr>
          <w:r>
            <w:fldChar w:fldCharType="begin"/>
          </w:r>
          <w:r>
            <w:instrText xml:space="preserve"> HYPERLINK \l "_Toc141633683" </w:instrText>
          </w:r>
          <w:r>
            <w:fldChar w:fldCharType="separate"/>
          </w:r>
          <w:r>
            <w:rPr>
              <w:rStyle w:val="15"/>
              <w:rFonts w:eastAsia="宋体" w:cs="Times New Roman"/>
            </w:rPr>
            <w:t>2.2.1 丙烯腈电解二聚法</w:t>
          </w:r>
          <w:r>
            <w:tab/>
          </w:r>
          <w:r>
            <w:fldChar w:fldCharType="begin"/>
          </w:r>
          <w:r>
            <w:instrText xml:space="preserve"> PAGEREF _Toc141633683 \h </w:instrText>
          </w:r>
          <w:r>
            <w:fldChar w:fldCharType="separate"/>
          </w:r>
          <w:r>
            <w:t>6</w:t>
          </w:r>
          <w:r>
            <w:fldChar w:fldCharType="end"/>
          </w:r>
          <w:r>
            <w:fldChar w:fldCharType="end"/>
          </w:r>
        </w:p>
        <w:p>
          <w:pPr>
            <w:pStyle w:val="7"/>
            <w:tabs>
              <w:tab w:val="right" w:leader="dot" w:pos="8296"/>
            </w:tabs>
            <w:ind w:left="960" w:firstLine="480"/>
            <w:rPr>
              <w:rFonts w:asciiTheme="minorHAnsi" w:hAnsiTheme="minorHAnsi" w:eastAsiaTheme="minorEastAsia" w:cstheme="minorBidi"/>
              <w:sz w:val="21"/>
              <w14:ligatures w14:val="standardContextual"/>
            </w:rPr>
          </w:pPr>
          <w:r>
            <w:fldChar w:fldCharType="begin"/>
          </w:r>
          <w:r>
            <w:instrText xml:space="preserve"> HYPERLINK \l "_Toc141633684" </w:instrText>
          </w:r>
          <w:r>
            <w:fldChar w:fldCharType="separate"/>
          </w:r>
          <w:r>
            <w:rPr>
              <w:rStyle w:val="15"/>
              <w:rFonts w:eastAsia="宋体" w:cs="Times New Roman"/>
            </w:rPr>
            <w:t>2.2.2 丙烯腈催化二聚法</w:t>
          </w:r>
          <w:r>
            <w:tab/>
          </w:r>
          <w:r>
            <w:fldChar w:fldCharType="begin"/>
          </w:r>
          <w:r>
            <w:instrText xml:space="preserve"> PAGEREF _Toc141633684 \h </w:instrText>
          </w:r>
          <w:r>
            <w:fldChar w:fldCharType="separate"/>
          </w:r>
          <w:r>
            <w:t>7</w:t>
          </w:r>
          <w:r>
            <w:fldChar w:fldCharType="end"/>
          </w:r>
          <w:r>
            <w:fldChar w:fldCharType="end"/>
          </w:r>
        </w:p>
        <w:p>
          <w:pPr>
            <w:pStyle w:val="7"/>
            <w:tabs>
              <w:tab w:val="right" w:leader="dot" w:pos="8296"/>
            </w:tabs>
            <w:ind w:left="960" w:firstLine="480"/>
            <w:rPr>
              <w:rFonts w:asciiTheme="minorHAnsi" w:hAnsiTheme="minorHAnsi" w:eastAsiaTheme="minorEastAsia" w:cstheme="minorBidi"/>
              <w:sz w:val="21"/>
              <w14:ligatures w14:val="standardContextual"/>
            </w:rPr>
          </w:pPr>
          <w:r>
            <w:fldChar w:fldCharType="begin"/>
          </w:r>
          <w:r>
            <w:instrText xml:space="preserve"> HYPERLINK \l "_Toc141633685" </w:instrText>
          </w:r>
          <w:r>
            <w:fldChar w:fldCharType="separate"/>
          </w:r>
          <w:r>
            <w:rPr>
              <w:rStyle w:val="15"/>
              <w:rFonts w:eastAsia="宋体" w:cs="Times New Roman"/>
            </w:rPr>
            <w:t>2.2.3 丁二烯直接氰化法</w:t>
          </w:r>
          <w:r>
            <w:tab/>
          </w:r>
          <w:r>
            <w:fldChar w:fldCharType="begin"/>
          </w:r>
          <w:r>
            <w:instrText xml:space="preserve"> PAGEREF _Toc141633685 \h </w:instrText>
          </w:r>
          <w:r>
            <w:fldChar w:fldCharType="separate"/>
          </w:r>
          <w:r>
            <w:t>7</w:t>
          </w:r>
          <w:r>
            <w:fldChar w:fldCharType="end"/>
          </w:r>
          <w:r>
            <w:fldChar w:fldCharType="end"/>
          </w:r>
        </w:p>
        <w:p>
          <w:pPr>
            <w:pStyle w:val="7"/>
            <w:tabs>
              <w:tab w:val="right" w:leader="dot" w:pos="8296"/>
            </w:tabs>
            <w:ind w:left="960" w:firstLine="480"/>
            <w:rPr>
              <w:rFonts w:asciiTheme="minorHAnsi" w:hAnsiTheme="minorHAnsi" w:eastAsiaTheme="minorEastAsia" w:cstheme="minorBidi"/>
              <w:sz w:val="21"/>
              <w14:ligatures w14:val="standardContextual"/>
            </w:rPr>
          </w:pPr>
          <w:r>
            <w:fldChar w:fldCharType="begin"/>
          </w:r>
          <w:r>
            <w:instrText xml:space="preserve"> HYPERLINK \l "_Toc141633686" </w:instrText>
          </w:r>
          <w:r>
            <w:fldChar w:fldCharType="separate"/>
          </w:r>
          <w:r>
            <w:rPr>
              <w:rStyle w:val="15"/>
              <w:rFonts w:eastAsia="宋体" w:cs="Times New Roman"/>
            </w:rPr>
            <w:t>2.2.4 己二酸催化氨化法</w:t>
          </w:r>
          <w:r>
            <w:tab/>
          </w:r>
          <w:r>
            <w:fldChar w:fldCharType="begin"/>
          </w:r>
          <w:r>
            <w:instrText xml:space="preserve"> PAGEREF _Toc141633686 \h </w:instrText>
          </w:r>
          <w:r>
            <w:fldChar w:fldCharType="separate"/>
          </w:r>
          <w:r>
            <w:t>8</w:t>
          </w:r>
          <w:r>
            <w:fldChar w:fldCharType="end"/>
          </w:r>
          <w:r>
            <w:fldChar w:fldCharType="end"/>
          </w:r>
        </w:p>
        <w:p>
          <w:pPr>
            <w:pStyle w:val="7"/>
            <w:tabs>
              <w:tab w:val="right" w:leader="dot" w:pos="8296"/>
            </w:tabs>
            <w:ind w:left="960" w:firstLine="480"/>
            <w:rPr>
              <w:rFonts w:asciiTheme="minorHAnsi" w:hAnsiTheme="minorHAnsi" w:eastAsiaTheme="minorEastAsia" w:cstheme="minorBidi"/>
              <w:sz w:val="21"/>
              <w14:ligatures w14:val="standardContextual"/>
            </w:rPr>
          </w:pPr>
          <w:r>
            <w:fldChar w:fldCharType="begin"/>
          </w:r>
          <w:r>
            <w:instrText xml:space="preserve"> HYPERLINK \l "_Toc141633687" </w:instrText>
          </w:r>
          <w:r>
            <w:fldChar w:fldCharType="separate"/>
          </w:r>
          <w:r>
            <w:rPr>
              <w:rStyle w:val="15"/>
              <w:rFonts w:eastAsia="宋体" w:cs="Times New Roman"/>
            </w:rPr>
            <w:t>2.2.5 工艺技术方案比较</w:t>
          </w:r>
          <w:r>
            <w:tab/>
          </w:r>
          <w:r>
            <w:fldChar w:fldCharType="begin"/>
          </w:r>
          <w:r>
            <w:instrText xml:space="preserve"> PAGEREF _Toc141633687 \h </w:instrText>
          </w:r>
          <w:r>
            <w:fldChar w:fldCharType="separate"/>
          </w:r>
          <w:r>
            <w:t>9</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"_Toc141633688" </w:instrText>
          </w:r>
          <w:r>
            <w:fldChar w:fldCharType="separate"/>
          </w:r>
          <w:r>
            <w:rPr>
              <w:rStyle w:val="15"/>
              <w:rFonts w:eastAsia="宋体"/>
            </w:rPr>
            <w:t>2.3 反应工段创新</w:t>
          </w:r>
          <w:r>
            <w:tab/>
          </w:r>
          <w:r>
            <w:fldChar w:fldCharType="begin"/>
          </w:r>
          <w:r>
            <w:instrText xml:space="preserve"> PAGEREF _Toc141633688 \h </w:instrText>
          </w:r>
          <w:r>
            <w:fldChar w:fldCharType="separate"/>
          </w:r>
          <w:r>
            <w:t>10</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"_Toc141633689" </w:instrText>
          </w:r>
          <w:r>
            <w:fldChar w:fldCharType="separate"/>
          </w:r>
          <w:r>
            <w:rPr>
              <w:rStyle w:val="15"/>
              <w:rFonts w:eastAsia="宋体"/>
            </w:rPr>
            <w:t>2.4 催化剂创新</w:t>
          </w:r>
          <w:r>
            <w:tab/>
          </w:r>
          <w:r>
            <w:fldChar w:fldCharType="begin"/>
          </w:r>
          <w:r>
            <w:instrText xml:space="preserve"> PAGEREF _Toc141633689 \h </w:instrText>
          </w:r>
          <w:r>
            <w:fldChar w:fldCharType="separate"/>
          </w:r>
          <w:r>
            <w:t>11</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"_Toc141633690" </w:instrText>
          </w:r>
          <w:r>
            <w:fldChar w:fldCharType="separate"/>
          </w:r>
          <w:r>
            <w:rPr>
              <w:rStyle w:val="15"/>
              <w:rFonts w:eastAsia="宋体"/>
            </w:rPr>
            <w:t>2.5 工艺流程图</w:t>
          </w:r>
          <w:r>
            <w:tab/>
          </w:r>
          <w:r>
            <w:fldChar w:fldCharType="begin"/>
          </w:r>
          <w:r>
            <w:instrText xml:space="preserve"> PAGEREF _Toc141633690 \h </w:instrText>
          </w:r>
          <w:r>
            <w:fldChar w:fldCharType="separate"/>
          </w:r>
          <w:r>
            <w:t>11</w:t>
          </w:r>
          <w:r>
            <w:fldChar w:fldCharType="end"/>
          </w:r>
          <w:r>
            <w:fldChar w:fldCharType="end"/>
          </w:r>
        </w:p>
        <w:p>
          <w:pPr>
            <w:pStyle w:val="10"/>
            <w:tabs>
              <w:tab w:val="right" w:leader="dot" w:pos="8296"/>
            </w:tabs>
            <w:ind w:firstLine="480"/>
            <w:rPr>
              <w:rFonts w:asciiTheme="minorHAnsi" w:hAnsiTheme="minorHAnsi" w:eastAsiaTheme="minorEastAsia" w:cstheme="minorBidi"/>
              <w:sz w:val="21"/>
              <w14:ligatures w14:val="standardContextual"/>
            </w:rPr>
          </w:pPr>
          <w:r>
            <w:fldChar w:fldCharType="begin"/>
          </w:r>
          <w:r>
            <w:instrText xml:space="preserve"> HYPERLINK \l "_Toc141633691" </w:instrText>
          </w:r>
          <w:r>
            <w:fldChar w:fldCharType="separate"/>
          </w:r>
          <w:r>
            <w:rPr>
              <w:rStyle w:val="15"/>
              <w:highlight w:val="none"/>
              <w:u w:val="none"/>
            </w:rPr>
            <w:t>第三章</w:t>
          </w:r>
          <w:r>
            <w:rPr>
              <w:rStyle w:val="15"/>
            </w:rPr>
            <w:t xml:space="preserve"> 过程节能降耗技术创新</w:t>
          </w:r>
          <w:r>
            <w:tab/>
          </w:r>
          <w:r>
            <w:fldChar w:fldCharType="begin"/>
          </w:r>
          <w:r>
            <w:instrText xml:space="preserve"> PAGEREF _Toc141633691 \h </w:instrText>
          </w:r>
          <w:r>
            <w:fldChar w:fldCharType="separate"/>
          </w:r>
          <w:r>
            <w:t>13</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"_Toc141633692" </w:instrText>
          </w:r>
          <w:r>
            <w:fldChar w:fldCharType="separate"/>
          </w:r>
          <w:r>
            <w:rPr>
              <w:rStyle w:val="15"/>
              <w:rFonts w:cs="Times New Roman"/>
              <w:b/>
              <w:bCs/>
            </w:rPr>
            <w:t>3.2</w:t>
          </w:r>
          <w:r>
            <w:rPr>
              <w:rStyle w:val="15"/>
              <w:rFonts w:ascii="宋体" w:hAnsi="宋体" w:eastAsia="宋体" w:cs="Times New Roman"/>
              <w:b/>
              <w:bCs/>
            </w:rPr>
            <w:t>热泵精馏技术</w:t>
          </w:r>
          <w:r>
            <w:tab/>
          </w:r>
          <w:r>
            <w:fldChar w:fldCharType="begin"/>
          </w:r>
          <w:r>
            <w:instrText xml:space="preserve"> PAGEREF _Toc141633692 \h </w:instrText>
          </w:r>
          <w:r>
            <w:fldChar w:fldCharType="separate"/>
          </w:r>
          <w:r>
            <w:t>18</w:t>
          </w:r>
          <w:r>
            <w:fldChar w:fldCharType="end"/>
          </w:r>
          <w:r>
            <w:fldChar w:fldCharType="end"/>
          </w:r>
        </w:p>
        <w:p>
          <w:pPr>
            <w:pStyle w:val="10"/>
            <w:tabs>
              <w:tab w:val="right" w:leader="dot" w:pos="8296"/>
            </w:tabs>
            <w:ind w:firstLine="480"/>
            <w:rPr>
              <w:rFonts w:asciiTheme="minorHAnsi" w:hAnsiTheme="minorHAnsi" w:eastAsiaTheme="minorEastAsia" w:cstheme="minorBidi"/>
              <w:sz w:val="21"/>
              <w14:ligatures w14:val="standardContextual"/>
            </w:rPr>
          </w:pPr>
          <w:r>
            <w:fldChar w:fldCharType="begin"/>
          </w:r>
          <w:r>
            <w:instrText xml:space="preserve"> HYPERLINK \l "_Toc141633693" </w:instrText>
          </w:r>
          <w:r>
            <w:fldChar w:fldCharType="separate"/>
          </w:r>
          <w:r>
            <w:rPr>
              <w:rStyle w:val="15"/>
            </w:rPr>
            <w:t>第四章 环境保护创新</w:t>
          </w:r>
          <w:r>
            <w:tab/>
          </w:r>
          <w:r>
            <w:fldChar w:fldCharType="begin"/>
          </w:r>
          <w:r>
            <w:instrText xml:space="preserve"> PAGEREF _Toc141633693 \h </w:instrText>
          </w:r>
          <w:r>
            <w:fldChar w:fldCharType="separate"/>
          </w:r>
          <w:r>
            <w:t>21</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"_Toc141633694" </w:instrText>
          </w:r>
          <w:r>
            <w:fldChar w:fldCharType="separate"/>
          </w:r>
          <w:r>
            <w:rPr>
              <w:rStyle w:val="15"/>
            </w:rPr>
            <w:t>4.1三废总量一览表</w:t>
          </w:r>
          <w:r>
            <w:tab/>
          </w:r>
          <w:r>
            <w:fldChar w:fldCharType="begin"/>
          </w:r>
          <w:r>
            <w:instrText xml:space="preserve"> PAGEREF _Toc141633694 \h </w:instrText>
          </w:r>
          <w:r>
            <w:fldChar w:fldCharType="separate"/>
          </w:r>
          <w:r>
            <w:t>21</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"_Toc141633695" </w:instrText>
          </w:r>
          <w:r>
            <w:fldChar w:fldCharType="separate"/>
          </w:r>
          <w:r>
            <w:rPr>
              <w:rStyle w:val="15"/>
            </w:rPr>
            <w:t>4.2 废水</w:t>
          </w:r>
          <w:r>
            <w:tab/>
          </w:r>
          <w:r>
            <w:fldChar w:fldCharType="begin"/>
          </w:r>
          <w:r>
            <w:instrText xml:space="preserve"> PAGEREF _Toc141633695 \h </w:instrText>
          </w:r>
          <w:r>
            <w:fldChar w:fldCharType="separate"/>
          </w:r>
          <w:r>
            <w:t>21</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"_Toc141633696" </w:instrText>
          </w:r>
          <w:r>
            <w:fldChar w:fldCharType="separate"/>
          </w:r>
          <w:r>
            <w:rPr>
              <w:rStyle w:val="15"/>
            </w:rPr>
            <w:t>4.3 噪声</w:t>
          </w:r>
          <w:r>
            <w:tab/>
          </w:r>
          <w:r>
            <w:fldChar w:fldCharType="begin"/>
          </w:r>
          <w:r>
            <w:instrText xml:space="preserve"> PAGEREF _Toc141633696 \h </w:instrText>
          </w:r>
          <w:r>
            <w:fldChar w:fldCharType="separate"/>
          </w:r>
          <w:r>
            <w:t>25</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"_Toc141633697" </w:instrText>
          </w:r>
          <w:r>
            <w:fldChar w:fldCharType="separate"/>
          </w:r>
          <w:r>
            <w:rPr>
              <w:rStyle w:val="15"/>
            </w:rPr>
            <w:t>4.4 生态保护措施</w:t>
          </w:r>
          <w:r>
            <w:tab/>
          </w:r>
          <w:r>
            <w:fldChar w:fldCharType="begin"/>
          </w:r>
          <w:r>
            <w:instrText xml:space="preserve"> PAGEREF _Toc141633697 \h </w:instrText>
          </w:r>
          <w:r>
            <w:fldChar w:fldCharType="separate"/>
          </w:r>
          <w:r>
            <w:t>26</w:t>
          </w:r>
          <w:r>
            <w:fldChar w:fldCharType="end"/>
          </w:r>
          <w:r>
            <w:fldChar w:fldCharType="end"/>
          </w:r>
        </w:p>
        <w:p>
          <w:pPr>
            <w:pStyle w:val="10"/>
            <w:tabs>
              <w:tab w:val="right" w:leader="dot" w:pos="8296"/>
            </w:tabs>
            <w:ind w:firstLine="480"/>
            <w:rPr>
              <w:rFonts w:asciiTheme="minorHAnsi" w:hAnsiTheme="minorHAnsi" w:eastAsiaTheme="minorEastAsia" w:cstheme="minorBidi"/>
              <w:sz w:val="21"/>
              <w14:ligatures w14:val="standardContextual"/>
            </w:rPr>
          </w:pPr>
          <w:r>
            <w:fldChar w:fldCharType="begin"/>
          </w:r>
          <w:r>
            <w:instrText xml:space="preserve"> HYPERLINK \l "_Toc141633698" </w:instrText>
          </w:r>
          <w:r>
            <w:fldChar w:fldCharType="separate"/>
          </w:r>
          <w:r>
            <w:rPr>
              <w:rStyle w:val="15"/>
            </w:rPr>
            <w:t>第五章 安全生产技术创新</w:t>
          </w:r>
          <w:r>
            <w:tab/>
          </w:r>
          <w:r>
            <w:fldChar w:fldCharType="begin"/>
          </w:r>
          <w:r>
            <w:instrText xml:space="preserve"> PAGEREF _Toc141633698 \h </w:instrText>
          </w:r>
          <w:r>
            <w:fldChar w:fldCharType="separate"/>
          </w:r>
          <w:r>
            <w:t>27</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"_Toc141633699" </w:instrText>
          </w:r>
          <w:r>
            <w:fldChar w:fldCharType="separate"/>
          </w:r>
          <w:r>
            <w:rPr>
              <w:rStyle w:val="15"/>
            </w:rPr>
            <w:t>5.1 DCS控制系统与SIS安全仪表系统</w:t>
          </w:r>
          <w:r>
            <w:tab/>
          </w:r>
          <w:r>
            <w:fldChar w:fldCharType="begin"/>
          </w:r>
          <w:r>
            <w:instrText xml:space="preserve"> PAGEREF _Toc141633699 \h </w:instrText>
          </w:r>
          <w:r>
            <w:fldChar w:fldCharType="separate"/>
          </w:r>
          <w:r>
            <w:t>27</w:t>
          </w:r>
          <w:r>
            <w:fldChar w:fldCharType="end"/>
          </w:r>
          <w:r>
            <w:fldChar w:fldCharType="end"/>
          </w:r>
        </w:p>
        <w:p>
          <w:pPr>
            <w:pStyle w:val="11"/>
            <w:tabs>
              <w:tab w:val="right" w:leader="dot" w:pos="8296"/>
            </w:tabs>
            <w:ind w:left="480" w:firstLine="480"/>
            <w:rPr>
              <w:rFonts w:asciiTheme="minorHAnsi" w:hAnsiTheme="minorHAnsi" w:eastAsiaTheme="minorEastAsia" w:cstheme="minorBidi"/>
              <w:sz w:val="21"/>
              <w14:ligatures w14:val="standardContextual"/>
            </w:rPr>
          </w:pPr>
          <w:r>
            <w:fldChar w:fldCharType="begin"/>
          </w:r>
          <w:r>
            <w:instrText xml:space="preserve"> HYPERLINK \l "_Toc141633700" </w:instrText>
          </w:r>
          <w:r>
            <w:fldChar w:fldCharType="separate"/>
          </w:r>
          <w:r>
            <w:rPr>
              <w:rStyle w:val="15"/>
            </w:rPr>
            <w:t>5.2 层保护与本质安全设计</w:t>
          </w:r>
          <w:r>
            <w:tab/>
          </w:r>
          <w:r>
            <w:fldChar w:fldCharType="begin"/>
          </w:r>
          <w:r>
            <w:instrText xml:space="preserve"> PAGEREF _Toc141633700 \h </w:instrText>
          </w:r>
          <w:r>
            <w:fldChar w:fldCharType="separate"/>
          </w:r>
          <w:r>
            <w:t>28</w:t>
          </w:r>
          <w:r>
            <w:fldChar w:fldCharType="end"/>
          </w:r>
          <w:r>
            <w:fldChar w:fldCharType="end"/>
          </w:r>
        </w:p>
        <w:p>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1134" w:footer="567" w:gutter="0"/>
              <w:cols w:space="425" w:num="1"/>
              <w:docGrid w:type="lines" w:linePitch="312" w:charSpace="0"/>
            </w:sectPr>
          </w:pPr>
          <w:r>
            <w:fldChar w:fldCharType="end"/>
          </w:r>
        </w:p>
      </w:sdtContent>
    </w:sdt>
    <w:p>
      <w:pPr>
        <w:pStyle w:val="2"/>
      </w:pPr>
      <w:bookmarkStart w:id="10" w:name="_Toc141633679"/>
      <w:r>
        <w:t xml:space="preserve">第一章 </w:t>
      </w:r>
      <w:r>
        <w:rPr>
          <w:rFonts w:hint="eastAsia"/>
        </w:rPr>
        <w:t>产品方案</w:t>
      </w:r>
      <w:r>
        <w:t>创新</w:t>
      </w:r>
      <w:bookmarkEnd w:id="0"/>
      <w:bookmarkEnd w:id="1"/>
      <w:bookmarkEnd w:id="10"/>
    </w:p>
    <w:p>
      <w:pPr>
        <w:ind w:firstLine="480"/>
        <w:rPr>
          <w:rFonts w:cs="Times New Roman"/>
          <w:szCs w:val="24"/>
        </w:rPr>
      </w:pPr>
      <w:r>
        <w:rPr>
          <w:rFonts w:cs="Times New Roman"/>
          <w:szCs w:val="24"/>
        </w:rPr>
        <w:t>本项目年产106700吨</w:t>
      </w:r>
      <w:r>
        <w:rPr>
          <w:rFonts w:hint="eastAsia" w:cs="Times New Roman"/>
          <w:szCs w:val="24"/>
        </w:rPr>
        <w:t>A</w:t>
      </w:r>
      <w:r>
        <w:rPr>
          <w:rFonts w:cs="Times New Roman"/>
          <w:szCs w:val="24"/>
        </w:rPr>
        <w:t>DN（纯度99.99%wt，价格约32000元/t）、17000吨</w:t>
      </w:r>
      <w:r>
        <w:rPr>
          <w:rFonts w:hint="eastAsia" w:cs="Times New Roman"/>
          <w:szCs w:val="24"/>
        </w:rPr>
        <w:t>I</w:t>
      </w:r>
      <w:r>
        <w:rPr>
          <w:rFonts w:cs="Times New Roman"/>
          <w:szCs w:val="24"/>
        </w:rPr>
        <w:t>CCP（纯度99.0%wt，价格约20000元/t）。</w:t>
      </w:r>
    </w:p>
    <w:p>
      <w:pPr>
        <w:ind w:firstLine="480"/>
        <w:jc w:val="left"/>
        <w:rPr>
          <w:rFonts w:cs="Times New Roman"/>
          <w:szCs w:val="24"/>
        </w:rPr>
      </w:pPr>
      <w:r>
        <w:rPr>
          <w:rFonts w:cs="Times New Roman"/>
          <w:szCs w:val="24"/>
        </w:rPr>
        <w:t>ADN</w:t>
      </w:r>
      <w:r>
        <w:rPr>
          <w:rFonts w:hint="eastAsia" w:cs="Times New Roman"/>
          <w:szCs w:val="24"/>
        </w:rPr>
        <w:t>是一种重要的化工原料，其下游产品附价值高，可用于生产己二胺（生产尼龙66的主要中间体）、橡胶促进剂、防锈剂等，其中，主要用途是生产尼龙66的主要中间体己二胺，该用途一般占己二腈产量的90%以上。聚己二酰己二胺具有高强度、高韧性、抗蠕变性和优良的耐磨性等特点。同时，聚酰胺 66 也是优良的热塑性树脂，可制备成多种工程塑料，广泛应用于电子电气、汽车等领域。</w:t>
      </w:r>
    </w:p>
    <w:p>
      <w:pPr>
        <w:ind w:firstLine="480"/>
        <w:jc w:val="left"/>
        <w:rPr>
          <w:rFonts w:cs="Times New Roman"/>
          <w:szCs w:val="24"/>
        </w:rPr>
      </w:pPr>
      <w:r>
        <w:rPr>
          <w:rFonts w:hint="eastAsia" w:cs="Times New Roman"/>
          <w:szCs w:val="24"/>
        </w:rPr>
        <w:t>2021 年，锦纶 66 全球总产能约为3452万吨，其中我国产能约 70 万吨，产量仅有38. 7 万吨，产能利用率仅为 55. 3%，这主要是由于关键原料己二腈严重依赖进口，目前全球己二腈产能主要来自英威达、奥升德和巴斯夫等欧美企业，三者合计产能约占全球总产能的95%，行业呈现高度集中甚至寡头垄断的局面。近年来，国内己二腈的进口逐年增多，从2010年12吨增长到2018年近30万吨，年均增长率达到12%，充分说明尼龙66的需求旺盛。相对于全球市场表现，中国尼龙市场需求增长势头迅猛。从2015年到2019年，尼龙66消费量增加了4.4万吨/年，数量上与全球所有其他地区的增长量相当。随着原料产能提升、成本下降，以及人们的生活水平提高、对高品质商品的需要、未来十年预计国内尼龙6、尼龙66的消费量将有一个较大增长空间。据华安化工测算：2025年全国尼龙66总需求量将在132万吨左右，2021-2025年年均复合增速为25%；2030年全国尼龙66总需求量将在288万吨左右，2026-2030年年均复合增速为17%。</w:t>
      </w:r>
    </w:p>
    <w:p>
      <w:pPr>
        <w:spacing w:before="120" w:after="120"/>
        <w:ind w:firstLine="480"/>
        <w:rPr>
          <w:rFonts w:cs="Times New Roman"/>
          <w:szCs w:val="24"/>
        </w:rPr>
      </w:pPr>
      <w:r>
        <w:rPr>
          <w:rFonts w:hint="eastAsia" w:cs="Times New Roman"/>
          <w:szCs w:val="24"/>
        </w:rPr>
        <w:t>本项目产品</w:t>
      </w:r>
      <w:r>
        <w:rPr>
          <w:rFonts w:cs="Times New Roman"/>
          <w:szCs w:val="24"/>
        </w:rPr>
        <w:t>ADN纯度99.99%wt</w:t>
      </w:r>
      <w:r>
        <w:rPr>
          <w:rFonts w:hint="eastAsia" w:cs="Times New Roman"/>
          <w:szCs w:val="24"/>
        </w:rPr>
        <w:t>，副产物</w:t>
      </w:r>
      <w:r>
        <w:rPr>
          <w:rFonts w:cs="Times New Roman"/>
          <w:szCs w:val="24"/>
        </w:rPr>
        <w:t>ICCP纯度99.0%wt</w:t>
      </w:r>
      <w:r>
        <w:rPr>
          <w:rFonts w:hint="eastAsia" w:cs="Times New Roman"/>
          <w:szCs w:val="24"/>
        </w:rPr>
        <w:t>，为本项目创造了较高的利润。</w:t>
      </w:r>
    </w:p>
    <w:p>
      <w:pPr>
        <w:spacing w:before="120" w:after="120"/>
        <w:ind w:firstLine="480"/>
        <w:rPr>
          <w:rFonts w:cs="Times New Roman"/>
        </w:rPr>
      </w:pPr>
      <w:r>
        <w:rPr>
          <w:rFonts w:cs="Times New Roman"/>
        </w:rPr>
        <w:t>目前，全球己二腈生产技术路线主要有5种：己二酸催化氨化法、丙烯腈电解二聚法、丙烯腈催化二聚法、丁二烯直接氰化法和己内酰胺法。这五条路线中，己内酰胺法由于原料稀缺，目前并没有投入大量工业生产中，只有小部分日本公司使用该工艺；丙烯腈催化法面对原料剧毒、副产物难分离的缺点</w:t>
      </w:r>
      <w:r>
        <w:rPr>
          <w:rFonts w:hint="eastAsia" w:cs="Times New Roman"/>
        </w:rPr>
        <w:t>，丁二烯直接氰化法具有原料毒性大，</w:t>
      </w:r>
      <w:r>
        <w:rPr>
          <w:rFonts w:cs="Times New Roman"/>
        </w:rPr>
        <w:t>阻碍了催化剂及回收方法的研究及发展</w:t>
      </w:r>
      <w:r>
        <w:rPr>
          <w:rFonts w:hint="eastAsia" w:cs="Times New Roman"/>
        </w:rPr>
        <w:t>，且反应过程需要高压高温条件下进行，</w:t>
      </w:r>
      <w:bookmarkStart w:id="11" w:name="_Hlk139194093"/>
      <w:r>
        <w:rPr>
          <w:rFonts w:hint="eastAsia" w:cs="Times New Roman"/>
        </w:rPr>
        <w:t>对生产设备、操作、管理有极高要求</w:t>
      </w:r>
      <w:bookmarkEnd w:id="11"/>
      <w:r>
        <w:rPr>
          <w:rFonts w:hint="eastAsia" w:cs="Times New Roman"/>
        </w:rPr>
        <w:t>的缺点；己二酸催化氨化法需着重减缓高温结焦和延长操作周期，但</w:t>
      </w:r>
      <w:bookmarkStart w:id="12" w:name="_Hlk139194485"/>
      <w:r>
        <w:rPr>
          <w:rFonts w:hint="eastAsia" w:cs="Times New Roman"/>
        </w:rPr>
        <w:t>市场上己二酸供求关系的变化，己二酸氨化法生产己二腈的原料成本大幅降低，使得该生产工艺又具有了经济性优势</w:t>
      </w:r>
      <w:bookmarkEnd w:id="12"/>
      <w:r>
        <w:rPr>
          <w:rFonts w:cs="Times New Roman"/>
        </w:rPr>
        <w:t>。因此从绿色化学的原则出发，为推进资源利用率最大化，我们选择</w:t>
      </w:r>
      <w:r>
        <w:rPr>
          <w:rFonts w:hint="eastAsia" w:cs="Times New Roman"/>
        </w:rPr>
        <w:t>己二酸催化氨化</w:t>
      </w:r>
      <w:r>
        <w:rPr>
          <w:rFonts w:cs="Times New Roman"/>
        </w:rPr>
        <w:t>法</w:t>
      </w:r>
      <w:r>
        <w:rPr>
          <w:rFonts w:hint="eastAsia" w:cs="Times New Roman"/>
        </w:rPr>
        <w:t>。</w:t>
      </w:r>
    </w:p>
    <w:p>
      <w:pPr>
        <w:ind w:firstLine="480"/>
        <w:jc w:val="left"/>
        <w:rPr>
          <w:rFonts w:cs="Times New Roman"/>
          <w:szCs w:val="24"/>
        </w:rPr>
      </w:pPr>
    </w:p>
    <w:p>
      <w:pPr>
        <w:ind w:firstLine="480"/>
        <w:jc w:val="left"/>
        <w:rPr>
          <w:rFonts w:cs="Times New Roman"/>
          <w:szCs w:val="24"/>
        </w:rPr>
      </w:pPr>
    </w:p>
    <w:p>
      <w:pPr>
        <w:ind w:firstLine="480"/>
        <w:jc w:val="left"/>
        <w:rPr>
          <w:rFonts w:cs="Times New Roman"/>
          <w:szCs w:val="24"/>
        </w:rPr>
      </w:pPr>
    </w:p>
    <w:p>
      <w:pPr>
        <w:pStyle w:val="2"/>
        <w:numPr>
          <w:ilvl w:val="0"/>
          <w:numId w:val="1"/>
        </w:numPr>
      </w:pPr>
      <w:bookmarkStart w:id="13" w:name="_Toc16872176"/>
      <w:r>
        <w:t xml:space="preserve"> </w:t>
      </w:r>
      <w:bookmarkStart w:id="14" w:name="_Toc23114_WPSOffice_Level1"/>
      <w:bookmarkStart w:id="15" w:name="_Toc77705459"/>
      <w:bookmarkStart w:id="16" w:name="_Toc9243"/>
      <w:bookmarkStart w:id="17" w:name="_Toc13698"/>
      <w:bookmarkStart w:id="18" w:name="_Toc18032_WPSOffice_Level1"/>
      <w:bookmarkStart w:id="19" w:name="_Toc141633680"/>
      <w:r>
        <w:t>反应技术创新</w:t>
      </w:r>
      <w:bookmarkEnd w:id="13"/>
      <w:bookmarkEnd w:id="14"/>
      <w:bookmarkEnd w:id="15"/>
      <w:bookmarkEnd w:id="16"/>
      <w:bookmarkEnd w:id="17"/>
      <w:bookmarkEnd w:id="18"/>
      <w:bookmarkEnd w:id="19"/>
    </w:p>
    <w:p>
      <w:pPr>
        <w:pStyle w:val="3"/>
        <w:ind w:firstLine="643"/>
      </w:pPr>
      <w:bookmarkStart w:id="20" w:name="_Toc77705460"/>
      <w:bookmarkStart w:id="21" w:name="_Toc141633681"/>
      <w:r>
        <w:t>2.1 反应</w:t>
      </w:r>
      <w:bookmarkEnd w:id="20"/>
      <w:r>
        <w:rPr>
          <w:rFonts w:hint="eastAsia"/>
        </w:rPr>
        <w:t>路线对比</w:t>
      </w:r>
      <w:bookmarkEnd w:id="21"/>
    </w:p>
    <w:p>
      <w:pPr>
        <w:spacing w:before="120" w:after="120"/>
        <w:ind w:firstLine="480"/>
        <w:rPr>
          <w:rFonts w:cs="Times New Roman"/>
          <w:szCs w:val="21"/>
        </w:rPr>
      </w:pPr>
      <w:r>
        <w:rPr>
          <w:rFonts w:cs="Times New Roman"/>
          <w:szCs w:val="21"/>
        </w:rPr>
        <w:t>目前，全球己二腈生产技术路线主要有5种：己二酸催化氨化法、丙烯腈电解二聚法、丙烯腈催化二聚法、丁二烯直接氰化法和己内酰胺法。各自简介如下：</w:t>
      </w:r>
    </w:p>
    <w:p>
      <w:pPr>
        <w:spacing w:before="120" w:after="120"/>
        <w:ind w:firstLine="480"/>
        <w:rPr>
          <w:rFonts w:cs="Times New Roman"/>
          <w:szCs w:val="21"/>
        </w:rPr>
      </w:pPr>
      <w:r>
        <w:rPr>
          <w:rFonts w:cs="Times New Roman"/>
          <w:szCs w:val="21"/>
        </w:rPr>
        <w:t>（1）己二酸催化氨化法：己二酸与氨气在催化剂作用下生成己二腈和水，根据己二酸相态可分为液相己二酸催化氨化法和气相己二酸催化氨化法。</w:t>
      </w:r>
    </w:p>
    <w:p>
      <w:pPr>
        <w:spacing w:before="120" w:after="120"/>
        <w:ind w:firstLine="480"/>
        <w:rPr>
          <w:rFonts w:cs="Times New Roman"/>
          <w:szCs w:val="21"/>
        </w:rPr>
      </w:pPr>
      <w:r>
        <w:rPr>
          <w:rFonts w:cs="Times New Roman"/>
          <w:szCs w:val="21"/>
        </w:rPr>
        <w:t>（2）丙烯腈电解二聚法：以丙烯腈和水作为原料电解，丙烯腈在阴极发生反应生成己二腈，水在阳极反应生成氧气，丙烯腈不参与阴极反应，无隔膜丙烯腈电解法逐渐代替最初的有隔膜丙烯腈电解法。</w:t>
      </w:r>
    </w:p>
    <w:p>
      <w:pPr>
        <w:spacing w:before="120" w:after="120"/>
        <w:ind w:firstLine="480"/>
        <w:rPr>
          <w:rFonts w:cs="Times New Roman"/>
          <w:szCs w:val="21"/>
        </w:rPr>
      </w:pPr>
      <w:r>
        <w:rPr>
          <w:rFonts w:cs="Times New Roman"/>
          <w:szCs w:val="21"/>
        </w:rPr>
        <w:t>（3）丙烯腈催化二聚法：通过将催化剂加入到丙烯腈反应液中,使得丙烯腈分子之间发生二聚反应,形成己二腈。</w:t>
      </w:r>
    </w:p>
    <w:p>
      <w:pPr>
        <w:spacing w:before="120" w:after="120"/>
        <w:ind w:firstLine="480"/>
        <w:rPr>
          <w:rFonts w:cs="Times New Roman"/>
          <w:szCs w:val="21"/>
        </w:rPr>
      </w:pPr>
      <w:r>
        <w:rPr>
          <w:rFonts w:cs="Times New Roman"/>
          <w:szCs w:val="21"/>
        </w:rPr>
        <w:t>（4）丁二烯直接氰化法：丁二烯和HCN在催化剂作用下发生一级氰化和异构化生成4-戊烯腈和3-戊烯腈，二者在催化剂作用下发生二级氰化生成己二腈，一般会配套HCN合成设备。</w:t>
      </w:r>
    </w:p>
    <w:p>
      <w:pPr>
        <w:spacing w:before="120" w:after="120"/>
        <w:ind w:firstLine="480"/>
        <w:rPr>
          <w:rFonts w:cs="Times New Roman"/>
          <w:szCs w:val="21"/>
        </w:rPr>
      </w:pPr>
      <w:r>
        <w:rPr>
          <w:rFonts w:cs="Times New Roman"/>
          <w:szCs w:val="21"/>
        </w:rPr>
        <w:t>（5）己内酰胺法：己内酰胺法是由己内酰胺与氨在催化剂作用下,进行气相反应生成氨基己腈。</w:t>
      </w:r>
    </w:p>
    <w:p>
      <w:pPr>
        <w:spacing w:before="120" w:after="120"/>
        <w:ind w:firstLine="480"/>
        <w:rPr>
          <w:rFonts w:cs="Times New Roman"/>
          <w:szCs w:val="21"/>
        </w:rPr>
      </w:pPr>
      <w:r>
        <w:rPr>
          <w:rFonts w:cs="Times New Roman"/>
          <w:szCs w:val="21"/>
        </w:rPr>
        <w:t>己内酰胺法由于原料稀缺，目前并没有投入大量工业生产中，只有日本小部分公司使用该工艺</w:t>
      </w:r>
      <w:r>
        <w:rPr>
          <w:rFonts w:hint="eastAsia" w:cs="Times New Roman"/>
          <w:szCs w:val="21"/>
        </w:rPr>
        <w:t>，</w:t>
      </w:r>
      <w:r>
        <w:rPr>
          <w:rFonts w:cs="Times New Roman"/>
          <w:szCs w:val="21"/>
        </w:rPr>
        <w:t>综上，目前生产己二腈最主要的工艺路线为丙烯腈法和丁二烯法，所以此部分</w:t>
      </w:r>
      <w:r>
        <w:rPr>
          <w:rFonts w:hint="eastAsia" w:cs="Times New Roman"/>
          <w:szCs w:val="21"/>
        </w:rPr>
        <w:t>对</w:t>
      </w:r>
      <w:r>
        <w:rPr>
          <w:rFonts w:cs="Times New Roman"/>
          <w:szCs w:val="21"/>
        </w:rPr>
        <w:t>己内酰胺法不予比较。</w:t>
      </w:r>
    </w:p>
    <w:p>
      <w:pPr>
        <w:pStyle w:val="3"/>
        <w:ind w:firstLine="643"/>
        <w:rPr>
          <w:rFonts w:eastAsia="宋体"/>
        </w:rPr>
      </w:pPr>
      <w:bookmarkStart w:id="22" w:name="_Toc140678755"/>
      <w:bookmarkStart w:id="23" w:name="_Toc141633682"/>
      <w:r>
        <w:rPr>
          <w:rFonts w:eastAsia="宋体"/>
        </w:rPr>
        <w:t>2.2 工艺技术方案选择</w:t>
      </w:r>
      <w:bookmarkEnd w:id="22"/>
      <w:bookmarkEnd w:id="23"/>
    </w:p>
    <w:p>
      <w:pPr>
        <w:pStyle w:val="4"/>
        <w:ind w:firstLine="562"/>
        <w:rPr>
          <w:rFonts w:eastAsia="宋体" w:cs="Times New Roman"/>
        </w:rPr>
      </w:pPr>
      <w:bookmarkStart w:id="24" w:name="_Toc140678756"/>
      <w:bookmarkStart w:id="25" w:name="_Toc141633683"/>
      <w:r>
        <w:rPr>
          <w:rFonts w:eastAsia="宋体" w:cs="Times New Roman"/>
        </w:rPr>
        <w:t>2.2.1 丙烯腈电解二聚法</w:t>
      </w:r>
      <w:bookmarkEnd w:id="24"/>
      <w:bookmarkEnd w:id="25"/>
    </w:p>
    <w:p>
      <w:pPr>
        <w:spacing w:before="120" w:after="120"/>
        <w:ind w:firstLine="480"/>
        <w:rPr>
          <w:rFonts w:cs="Times New Roman"/>
          <w:szCs w:val="21"/>
        </w:rPr>
      </w:pPr>
      <w:r>
        <w:rPr>
          <w:rFonts w:cs="Times New Roman"/>
          <w:szCs w:val="21"/>
        </w:rPr>
        <w:t>丙烯腈（AN）电解二聚法的反应方程式如下：</w:t>
      </w:r>
    </w:p>
    <w:p>
      <w:pPr>
        <w:spacing w:before="120" w:after="120"/>
        <w:ind w:firstLine="480"/>
        <w:rPr>
          <w:rFonts w:ascii="Cambria Math" w:hAnsi="Cambria Math" w:cs="Times New Roman"/>
          <w:szCs w:val="21"/>
          <w:oMath/>
        </w:rPr>
      </w:pPr>
      <m:oMathPara>
        <m:oMath>
          <m:r>
            <m:rPr>
              <m:sty m:val="p"/>
            </m:rPr>
            <w:rPr>
              <w:rFonts w:ascii="Cambria Math" w:hAnsi="Cambria Math" w:cs="Times New Roman"/>
              <w:szCs w:val="21"/>
            </w:rPr>
            <m:t>阴极：2C</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=CHCN+2</m:t>
          </m:r>
          <m:sSup>
            <m:sSupPr>
              <m:ctrlPr>
                <w:rPr>
                  <w:rFonts w:ascii="Cambria Math" w:hAnsi="Cambria Math" w:cs="Times New Roman"/>
                  <w:szCs w:val="21"/>
                </w:rPr>
              </m:ctrlPr>
            </m:sSupPr>
            <m:e>
              <m:r>
                <m:rPr>
                  <m:sty m:val="p"/>
                </m:rPr>
                <w:rPr>
                  <w:rFonts w:ascii="Cambria Math" w:hAnsi="Cambria Math" w:cs="Times New Roman"/>
                  <w:szCs w:val="21"/>
                </w:rPr>
                <m:t>H</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e</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 xml:space="preserve"> → NC</m:t>
          </m:r>
          <m:sSub>
            <m:sSubPr>
              <m:ctrlPr>
                <w:rPr>
                  <w:rFonts w:ascii="Cambria Math" w:hAnsi="Cambria Math" w:cs="Times New Roman"/>
                  <w:szCs w:val="21"/>
                </w:rPr>
              </m:ctrlPr>
            </m:sSubPr>
            <m:e>
              <m:r>
                <m:rPr>
                  <m:sty m:val="p"/>
                </m:rPr>
                <w:rPr>
                  <w:rFonts w:ascii="Cambria Math" w:hAnsi="Cambria Math" w:cs="Times New Roman"/>
                  <w:szCs w:val="21"/>
                </w:rPr>
                <m:t>(CH)</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m:sty m:val="p"/>
            </m:rPr>
            <w:rPr>
              <w:rFonts w:ascii="Cambria Math" w:hAnsi="Cambria Math" w:cs="Times New Roman"/>
              <w:szCs w:val="21"/>
            </w:rPr>
            <m:t>CN</m:t>
          </m:r>
        </m:oMath>
      </m:oMathPara>
    </w:p>
    <w:p>
      <w:pPr>
        <w:spacing w:before="120" w:after="120"/>
        <w:ind w:firstLine="480"/>
        <w:rPr>
          <w:rFonts w:ascii="Cambria Math" w:hAnsi="Cambria Math" w:cs="Times New Roman"/>
          <w:szCs w:val="21"/>
          <w:oMath/>
        </w:rPr>
      </w:pPr>
      <m:oMathPara>
        <m:oMath>
          <m:r>
            <m:rPr>
              <m:sty m:val="p"/>
            </m:rPr>
            <w:rPr>
              <w:rFonts w:ascii="Cambria Math" w:hAnsi="Cambria Math" w:cs="Times New Roman"/>
              <w:szCs w:val="21"/>
            </w:rPr>
            <m:t>阳极：</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 xml:space="preserve">O → </m:t>
          </m:r>
          <m:f>
            <m:fPr>
              <m:ctrlPr>
                <w:rPr>
                  <w:rFonts w:ascii="Cambria Math" w:hAnsi="Cambria Math" w:cs="Times New Roman"/>
                  <w:szCs w:val="21"/>
                </w:rPr>
              </m:ctrlPr>
            </m:fPr>
            <m:num>
              <m:r>
                <m:rPr>
                  <m:sty m:val="p"/>
                </m:rPr>
                <w:rPr>
                  <w:rFonts w:ascii="Cambria Math" w:hAnsi="Cambria Math" w:cs="Times New Roman"/>
                  <w:szCs w:val="21"/>
                </w:rPr>
                <m:t>1</m:t>
              </m:r>
              <m:ctrlPr>
                <w:rPr>
                  <w:rFonts w:ascii="Cambria Math" w:hAnsi="Cambria Math" w:cs="Times New Roman"/>
                  <w:szCs w:val="21"/>
                </w:rPr>
              </m:ctrlPr>
            </m:num>
            <m:den>
              <m:r>
                <m:rPr>
                  <m:sty m:val="p"/>
                </m:rPr>
                <w:rPr>
                  <w:rFonts w:ascii="Cambria Math" w:hAnsi="Cambria Math" w:cs="Times New Roman"/>
                  <w:szCs w:val="21"/>
                </w:rPr>
                <m:t>2</m:t>
              </m:r>
              <m:ctrlPr>
                <w:rPr>
                  <w:rFonts w:ascii="Cambria Math" w:hAnsi="Cambria Math" w:cs="Times New Roman"/>
                  <w:szCs w:val="21"/>
                </w:rPr>
              </m:ctrlPr>
            </m:den>
          </m:f>
          <m:sSub>
            <m:sSubPr>
              <m:ctrlPr>
                <w:rPr>
                  <w:rFonts w:ascii="Cambria Math" w:hAnsi="Cambria Math" w:cs="Times New Roman"/>
                  <w:szCs w:val="21"/>
                </w:rPr>
              </m:ctrlPr>
            </m:sSubPr>
            <m:e>
              <m:r>
                <m:rPr>
                  <m:sty m:val="p"/>
                </m:rPr>
                <w:rPr>
                  <w:rFonts w:ascii="Cambria Math" w:hAnsi="Cambria Math" w:cs="Times New Roman"/>
                  <w:szCs w:val="21"/>
                </w:rPr>
                <m:t>O</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H</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e</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oMath>
      </m:oMathPara>
    </w:p>
    <w:p>
      <w:pPr>
        <w:spacing w:before="120" w:after="120"/>
        <w:ind w:firstLine="480"/>
        <w:rPr>
          <w:rFonts w:ascii="Cambria Math" w:hAnsi="Cambria Math" w:cs="Times New Roman"/>
          <w:szCs w:val="21"/>
          <w:oMath/>
        </w:rPr>
      </w:pPr>
      <m:oMathPara>
        <m:oMath>
          <m:r>
            <m:rPr>
              <m:sty m:val="p"/>
            </m:rPr>
            <w:rPr>
              <w:rFonts w:ascii="Cambria Math" w:hAnsi="Cambria Math" w:cs="Times New Roman"/>
              <w:szCs w:val="21"/>
            </w:rPr>
            <m:t>主反应式：2C</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=CHCN+</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O → NC</m:t>
          </m:r>
          <m:sSub>
            <m:sSubPr>
              <m:ctrlPr>
                <w:rPr>
                  <w:rFonts w:ascii="Cambria Math" w:hAnsi="Cambria Math" w:cs="Times New Roman"/>
                  <w:szCs w:val="21"/>
                </w:rPr>
              </m:ctrlPr>
            </m:sSubPr>
            <m:e>
              <m:r>
                <m:rPr>
                  <m:sty m:val="p"/>
                </m:rPr>
                <w:rPr>
                  <w:rFonts w:ascii="Cambria Math" w:hAnsi="Cambria Math" w:cs="Times New Roman"/>
                  <w:szCs w:val="21"/>
                </w:rPr>
                <m:t>(CH)</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m:sty m:val="p"/>
            </m:rPr>
            <w:rPr>
              <w:rFonts w:ascii="Cambria Math" w:hAnsi="Cambria Math" w:cs="Times New Roman"/>
              <w:szCs w:val="21"/>
            </w:rPr>
            <m:t>CN+</m:t>
          </m:r>
          <m:f>
            <m:fPr>
              <m:ctrlPr>
                <w:rPr>
                  <w:rFonts w:ascii="Cambria Math" w:hAnsi="Cambria Math" w:cs="Times New Roman"/>
                  <w:szCs w:val="21"/>
                </w:rPr>
              </m:ctrlPr>
            </m:fPr>
            <m:num>
              <m:r>
                <m:rPr>
                  <m:sty m:val="p"/>
                </m:rPr>
                <w:rPr>
                  <w:rFonts w:ascii="Cambria Math" w:hAnsi="Cambria Math" w:cs="Times New Roman"/>
                  <w:szCs w:val="21"/>
                </w:rPr>
                <m:t>1</m:t>
              </m:r>
              <m:ctrlPr>
                <w:rPr>
                  <w:rFonts w:ascii="Cambria Math" w:hAnsi="Cambria Math" w:cs="Times New Roman"/>
                  <w:szCs w:val="21"/>
                </w:rPr>
              </m:ctrlPr>
            </m:num>
            <m:den>
              <m:r>
                <m:rPr>
                  <m:sty m:val="p"/>
                </m:rPr>
                <w:rPr>
                  <w:rFonts w:ascii="Cambria Math" w:hAnsi="Cambria Math" w:cs="Times New Roman"/>
                  <w:szCs w:val="21"/>
                </w:rPr>
                <m:t>2</m:t>
              </m:r>
              <m:ctrlPr>
                <w:rPr>
                  <w:rFonts w:ascii="Cambria Math" w:hAnsi="Cambria Math" w:cs="Times New Roman"/>
                  <w:szCs w:val="21"/>
                </w:rPr>
              </m:ctrlPr>
            </m:den>
          </m:f>
          <m:sSub>
            <m:sSubPr>
              <m:ctrlPr>
                <w:rPr>
                  <w:rFonts w:ascii="Cambria Math" w:hAnsi="Cambria Math" w:cs="Times New Roman"/>
                  <w:szCs w:val="21"/>
                </w:rPr>
              </m:ctrlPr>
            </m:sSubPr>
            <m:e>
              <m:r>
                <m:rPr>
                  <m:sty m:val="p"/>
                </m:rPr>
                <w:rPr>
                  <w:rFonts w:ascii="Cambria Math" w:hAnsi="Cambria Math" w:cs="Times New Roman"/>
                  <w:szCs w:val="21"/>
                </w:rPr>
                <m:t>O</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oMath>
      </m:oMathPara>
    </w:p>
    <w:p>
      <w:pPr>
        <w:spacing w:before="120" w:after="120"/>
        <w:ind w:firstLine="480"/>
        <w:rPr>
          <w:rFonts w:cs="Times New Roman"/>
          <w:szCs w:val="21"/>
        </w:rPr>
      </w:pPr>
      <w:r>
        <w:rPr>
          <w:rFonts w:cs="Times New Roman"/>
          <w:szCs w:val="21"/>
        </w:rPr>
        <w:t>参考孟山都生产工艺，采用阳离子交换膜作为隔膜将阴阳极电解液分开，可以得到高收率的己二腈，选择性可达92%。后期孟山公司简化了设备结构，采用无隔膜电解槽，降低了投资和能耗，选择性仍可保持在88%。有研究表明，在配对电解系统下，丙烯腈的转化率可达到96.7%。</w:t>
      </w:r>
    </w:p>
    <w:p>
      <w:pPr>
        <w:pStyle w:val="4"/>
        <w:ind w:firstLine="562"/>
        <w:rPr>
          <w:rFonts w:eastAsia="宋体" w:cs="Times New Roman"/>
        </w:rPr>
      </w:pPr>
      <w:bookmarkStart w:id="26" w:name="_Toc141633684"/>
      <w:bookmarkStart w:id="27" w:name="_Toc140678757"/>
      <w:r>
        <w:rPr>
          <w:rFonts w:eastAsia="宋体" w:cs="Times New Roman"/>
        </w:rPr>
        <w:t>2.2.2 丙烯腈催化二聚法</w:t>
      </w:r>
      <w:bookmarkEnd w:id="26"/>
      <w:bookmarkEnd w:id="27"/>
    </w:p>
    <w:p>
      <w:pPr>
        <w:spacing w:before="120" w:after="120"/>
        <w:ind w:firstLine="480"/>
        <w:rPr>
          <w:rFonts w:cs="Times New Roman"/>
          <w:szCs w:val="21"/>
        </w:rPr>
      </w:pPr>
      <w:r>
        <w:rPr>
          <w:rFonts w:cs="Times New Roman"/>
          <w:szCs w:val="21"/>
        </w:rPr>
        <w:t>由丙烯脯催化二聚制己二脯的方法主要有高压加氢二聚法、光化法、通过先生成中间体再还原二聚成己二腈的方法及其它方法。</w:t>
      </w:r>
    </w:p>
    <w:p>
      <w:pPr>
        <w:spacing w:before="120" w:after="120"/>
        <w:ind w:firstLine="480"/>
        <w:rPr>
          <w:rFonts w:cs="Times New Roman"/>
          <w:szCs w:val="21"/>
        </w:rPr>
      </w:pPr>
      <w:r>
        <w:rPr>
          <w:rFonts w:cs="Times New Roman"/>
          <w:szCs w:val="21"/>
        </w:rPr>
        <w:t>（1）高压加氢二聚法：法国隆纳-普莱迈公司用羰基金属化物作触媒加防氢化剂和阻聚剂，在水存在下，由丙烯腈催化二聚制得己二腈，但最高收率仅15%，且有较多副产物；西德金属公司用钴-硅-铝系固体催化剂，在氢气流中使丙烯腈二聚，丙烯腈转化率可达49%。</w:t>
      </w:r>
    </w:p>
    <w:p>
      <w:pPr>
        <w:spacing w:before="120" w:after="120"/>
        <w:ind w:firstLine="480"/>
        <w:rPr>
          <w:rFonts w:cs="Times New Roman"/>
          <w:szCs w:val="21"/>
        </w:rPr>
      </w:pPr>
      <w:r>
        <w:rPr>
          <w:rFonts w:cs="Times New Roman"/>
          <w:szCs w:val="21"/>
        </w:rPr>
        <w:t>（2）光化法：日本东洋公司提出将丙烯腈、水和五羰基铁常温光照可以达到92-95%收率。</w:t>
      </w:r>
    </w:p>
    <w:p>
      <w:pPr>
        <w:spacing w:before="120" w:after="120"/>
        <w:ind w:firstLine="480"/>
        <w:rPr>
          <w:rFonts w:cs="Times New Roman"/>
          <w:szCs w:val="21"/>
        </w:rPr>
      </w:pPr>
      <w:r>
        <w:rPr>
          <w:rFonts w:cs="Times New Roman"/>
          <w:szCs w:val="21"/>
        </w:rPr>
        <w:t>（3）先生成中间体再还原二聚成己二腈</w:t>
      </w:r>
    </w:p>
    <w:p>
      <w:pPr>
        <w:spacing w:before="120" w:after="120"/>
        <w:ind w:firstLine="480"/>
        <w:rPr>
          <w:rFonts w:cs="Times New Roman"/>
          <w:szCs w:val="21"/>
        </w:rPr>
      </w:pPr>
      <w:r>
        <w:rPr>
          <w:rFonts w:cs="Times New Roman"/>
          <w:szCs w:val="21"/>
        </w:rPr>
        <w:t>美国海尔康公司采用卤化氢把丙烯腈卤化形成卤代丙腈后再制成己二腈，选择性可达96%以上，很多公司研究环状二聚物法，通过调节pH、温度、压强以及催化剂种类，可将反应产率提到百分之九十多，但目前暂时只在研究工作阶段。</w:t>
      </w:r>
    </w:p>
    <w:p>
      <w:pPr>
        <w:pStyle w:val="4"/>
        <w:ind w:firstLine="562"/>
        <w:rPr>
          <w:rFonts w:eastAsia="宋体" w:cs="Times New Roman"/>
        </w:rPr>
      </w:pPr>
      <w:bookmarkStart w:id="28" w:name="_Toc140678758"/>
      <w:bookmarkStart w:id="29" w:name="_Toc141633685"/>
      <w:r>
        <w:rPr>
          <w:rFonts w:eastAsia="宋体" w:cs="Times New Roman"/>
        </w:rPr>
        <w:t>2.2.3 丁二烯直接氰化法</w:t>
      </w:r>
      <w:bookmarkEnd w:id="28"/>
      <w:bookmarkEnd w:id="29"/>
    </w:p>
    <w:p>
      <w:pPr>
        <w:spacing w:before="120" w:after="120"/>
        <w:ind w:firstLine="480"/>
        <w:rPr>
          <w:rFonts w:cs="Times New Roman"/>
          <w:szCs w:val="21"/>
        </w:rPr>
      </w:pPr>
      <w:r>
        <w:rPr>
          <w:rFonts w:cs="Times New Roman"/>
          <w:szCs w:val="21"/>
        </w:rPr>
        <w:t>丁二烯直接氰化法的步骤（反应方程式）如下：</w:t>
      </w:r>
    </w:p>
    <w:p>
      <w:pPr>
        <w:spacing w:before="120" w:after="120"/>
        <w:ind w:firstLine="480"/>
        <w:rPr>
          <w:rFonts w:cs="Times New Roman"/>
          <w:szCs w:val="21"/>
        </w:rPr>
      </w:pPr>
      <w:r>
        <w:rPr>
          <w:rFonts w:cs="Times New Roman"/>
          <w:szCs w:val="21"/>
        </w:rPr>
        <w:t>一级氰化：</w:t>
      </w:r>
      <m:oMath>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r>
          <m:rPr/>
          <w:rPr>
            <w:rFonts w:ascii="Cambria Math" w:hAnsi="Cambria Math" w:cs="Times New Roman"/>
            <w:szCs w:val="21"/>
          </w:rPr>
          <m:t>CHCH</m:t>
        </m:r>
        <m:r>
          <m:rPr>
            <m:sty m:val="p"/>
          </m:rPr>
          <w:rPr>
            <w:rFonts w:ascii="Cambria Math" w:hAnsi="Cambria Math" w:cs="Times New Roman"/>
            <w:szCs w:val="21"/>
          </w:rPr>
          <m:t>+</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r>
              <m:rPr>
                <m:sty m:val="p"/>
              </m:rPr>
              <w:rPr>
                <w:rFonts w:ascii="Cambria Math" w:hAnsi="Cambria Math" w:cs="Times New Roman"/>
                <w:szCs w:val="21"/>
              </w:rPr>
              <m:t>+2</m:t>
            </m:r>
            <m:r>
              <m:rPr/>
              <w:rPr>
                <w:rFonts w:ascii="Cambria Math" w:hAnsi="Cambria Math" w:cs="Times New Roman"/>
                <w:szCs w:val="21"/>
              </w:rPr>
              <m:t>M</m:t>
            </m:r>
            <m:r>
              <m:rPr>
                <m:sty m:val="p"/>
              </m:rPr>
              <w:rPr>
                <w:rFonts w:ascii="Cambria Math" w:hAnsi="Cambria Math" w:cs="Times New Roman"/>
                <w:szCs w:val="21"/>
              </w:rPr>
              <m:t>3</m:t>
            </m:r>
            <m:r>
              <m:rPr/>
              <w:rPr>
                <w:rFonts w:ascii="Cambria Math" w:hAnsi="Cambria Math" w:cs="Times New Roman"/>
                <w:szCs w:val="21"/>
              </w:rPr>
              <m:t>BN</m:t>
            </m:r>
            <m:ctrlPr>
              <w:rPr>
                <w:rFonts w:ascii="Cambria Math" w:hAnsi="Cambria Math" w:cs="Times New Roman"/>
                <w:szCs w:val="21"/>
              </w:rPr>
            </m:ctrlPr>
          </m:e>
        </m:box>
      </m:oMath>
    </w:p>
    <w:p>
      <w:pPr>
        <w:spacing w:before="120" w:after="120"/>
        <w:ind w:firstLine="480"/>
        <w:rPr>
          <w:rFonts w:cs="Times New Roman"/>
          <w:szCs w:val="21"/>
        </w:rPr>
      </w:pPr>
      <w:r>
        <w:rPr>
          <w:rFonts w:cs="Times New Roman"/>
          <w:szCs w:val="21"/>
        </w:rPr>
        <w:t>异构化：</w:t>
      </w:r>
      <m:oMath>
        <m:r>
          <m:rPr>
            <m:sty m:val="p"/>
          </m:rPr>
          <w:rPr>
            <w:rFonts w:ascii="Cambria Math" w:hAnsi="Cambria Math" w:cs="Times New Roman"/>
            <w:szCs w:val="21"/>
          </w:rPr>
          <m:t>2</m:t>
        </m:r>
        <m:r>
          <m:rPr/>
          <w:rPr>
            <w:rFonts w:ascii="Cambria Math" w:hAnsi="Cambria Math" w:cs="Times New Roman"/>
            <w:szCs w:val="21"/>
          </w:rPr>
          <m:t>M</m:t>
        </m:r>
        <m:r>
          <m:rPr>
            <m:sty m:val="p"/>
          </m:rPr>
          <w:rPr>
            <w:rFonts w:ascii="Cambria Math" w:hAnsi="Cambria Math" w:cs="Times New Roman"/>
            <w:szCs w:val="21"/>
          </w:rPr>
          <m:t>3</m:t>
        </m:r>
        <m:r>
          <m:rPr/>
          <w:rPr>
            <w:rFonts w:ascii="Cambria Math" w:hAnsi="Cambria Math" w:cs="Times New Roman"/>
            <w:szCs w:val="21"/>
          </w:rPr>
          <m:t>BN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ctrlPr>
              <w:rPr>
                <w:rFonts w:ascii="Cambria Math" w:hAnsi="Cambria Math" w:cs="Times New Roman"/>
                <w:szCs w:val="21"/>
              </w:rPr>
            </m:ctrlPr>
          </m:e>
        </m:box>
      </m:oMath>
    </w:p>
    <w:p>
      <w:pPr>
        <w:spacing w:before="120" w:after="120"/>
        <w:ind w:firstLine="480"/>
        <w:rPr>
          <w:rFonts w:cs="Times New Roman"/>
          <w:szCs w:val="21"/>
        </w:rPr>
      </w:pPr>
      <w:r>
        <w:rPr>
          <w:rFonts w:cs="Times New Roman"/>
          <w:szCs w:val="21"/>
        </w:rPr>
        <w:t>二级氰化：</w:t>
      </w:r>
      <m:oMath>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r>
          <m:rPr>
            <m:sty m:val="p"/>
          </m:rPr>
          <w:rPr>
            <w:rFonts w:ascii="Cambria Math" w:hAnsi="Cambria Math" w:cs="Times New Roman"/>
            <w:szCs w:val="21"/>
          </w:rPr>
          <m:t>+</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催化剂体系，路易斯酸</m:t>
                </m:r>
                <m:ctrlPr>
                  <w:rPr>
                    <w:rFonts w:ascii="Cambria Math" w:hAnsi="Cambria Math" w:cs="Times New Roman"/>
                    <w:szCs w:val="21"/>
                  </w:rPr>
                </m:ctrlPr>
              </m:e>
            </m:groupChr>
            <m:r>
              <m:rPr/>
              <w:rPr>
                <w:rFonts w:ascii="Cambria Math" w:hAnsi="Cambria Math" w:cs="Times New Roman"/>
                <w:szCs w:val="21"/>
              </w:rPr>
              <m:t>ADN</m:t>
            </m:r>
            <m:ctrlPr>
              <w:rPr>
                <w:rFonts w:ascii="Cambria Math" w:hAnsi="Cambria Math" w:cs="Times New Roman"/>
                <w:szCs w:val="21"/>
              </w:rPr>
            </m:ctrlPr>
          </m:e>
        </m:box>
      </m:oMath>
    </w:p>
    <w:p>
      <w:pPr>
        <w:spacing w:before="120" w:after="120"/>
        <w:ind w:firstLine="480"/>
        <w:rPr>
          <w:rFonts w:cs="Times New Roman"/>
          <w:szCs w:val="21"/>
        </w:rPr>
      </w:pPr>
      <w:r>
        <w:rPr>
          <w:rFonts w:cs="Times New Roman"/>
          <w:szCs w:val="21"/>
        </w:rPr>
        <w:t>总方程式：</w:t>
      </w:r>
      <m:oMath>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r>
          <m:rPr/>
          <w:rPr>
            <w:rFonts w:ascii="Cambria Math" w:hAnsi="Cambria Math" w:cs="Times New Roman"/>
            <w:szCs w:val="21"/>
          </w:rPr>
          <m:t>CHCH</m:t>
        </m:r>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+2</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ctrlPr>
              <w:rPr>
                <w:rFonts w:ascii="Cambria Math" w:hAnsi="Cambria Math" w:cs="Times New Roman"/>
                <w:szCs w:val="21"/>
              </w:rPr>
            </m:ctrlPr>
          </m:e>
        </m:box>
        <m:r>
          <m:rPr/>
          <w:rPr>
            <w:rFonts w:ascii="Cambria Math" w:hAnsi="Cambria Math" w:cs="Times New Roman"/>
            <w:szCs w:val="21"/>
          </w:rPr>
          <m:t>NC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CN</m:t>
        </m:r>
      </m:oMath>
    </w:p>
    <w:p>
      <w:pPr>
        <w:spacing w:before="120" w:after="120"/>
        <w:ind w:firstLine="480"/>
        <w:rPr>
          <w:rFonts w:cs="Times New Roman"/>
          <w:szCs w:val="21"/>
        </w:rPr>
      </w:pPr>
      <w:r>
        <w:rPr>
          <w:rFonts w:cs="Times New Roman"/>
          <w:szCs w:val="21"/>
        </w:rPr>
        <w:t>丁二烯法采用剧毒、易挥发的 HCN 为生产原料，采用容易水解和氧化的物质作为催化剂，而且生产过程中生成的同系物比较多，分离纯度要求高，因此对于反应以及分离的设备要求非常高。据英威达公司表示，丁二烯法相比丙烯腈法二氧化碳排放可减少60-65%。普遍的异构化步骤中4-戊烯腈（4PN）和3-戊烯腈（3PN）单程转化率为26.4%，选择性为79.8%；目前有研究表明以二噁烷为溶剂可以实现丁二烯的完全转化，且3PN选择性为97.5%，同时目前对于双齿配体催化剂对3PN氢氰化的转化率可达70-80%以上，选择性可达85-95%。丁二烯氢氰化法生产己二腈</w:t>
      </w:r>
      <w:r>
        <w:rPr>
          <w:rFonts w:hint="eastAsia" w:cs="Times New Roman"/>
          <w:szCs w:val="21"/>
        </w:rPr>
        <w:t>（实验室研究阶段）</w:t>
      </w:r>
      <w:r>
        <w:rPr>
          <w:rFonts w:cs="Times New Roman"/>
          <w:szCs w:val="21"/>
        </w:rPr>
        <w:t>的总收率可达到95%</w:t>
      </w:r>
      <w:r>
        <w:rPr>
          <w:rFonts w:hint="eastAsia" w:cs="Times New Roman"/>
          <w:szCs w:val="21"/>
        </w:rPr>
        <w:t>。</w:t>
      </w:r>
    </w:p>
    <w:p>
      <w:pPr>
        <w:pStyle w:val="4"/>
        <w:ind w:firstLine="562"/>
        <w:rPr>
          <w:rFonts w:eastAsia="宋体" w:cs="Times New Roman"/>
        </w:rPr>
      </w:pPr>
      <w:bookmarkStart w:id="30" w:name="_Toc140678759"/>
      <w:bookmarkStart w:id="31" w:name="_Toc141633686"/>
      <w:r>
        <w:rPr>
          <w:rFonts w:eastAsia="宋体" w:cs="Times New Roman"/>
        </w:rPr>
        <w:t xml:space="preserve">2.2.4 </w:t>
      </w:r>
      <w:r>
        <w:rPr>
          <w:rFonts w:hint="eastAsia" w:eastAsia="宋体" w:cs="Times New Roman"/>
        </w:rPr>
        <w:t>己二酸催化氨化法</w:t>
      </w:r>
      <w:bookmarkEnd w:id="30"/>
      <w:bookmarkEnd w:id="31"/>
    </w:p>
    <w:p>
      <w:pPr>
        <w:spacing w:before="120" w:after="120"/>
        <w:ind w:firstLine="480"/>
        <w:rPr>
          <w:rFonts w:cs="Times New Roman"/>
          <w:szCs w:val="21"/>
        </w:rPr>
      </w:pPr>
      <w:r>
        <w:rPr>
          <w:rFonts w:hint="eastAsia" w:cs="Times New Roman"/>
          <w:szCs w:val="21"/>
        </w:rPr>
        <w:t>己二酸催化氨化法步骤（主反应方程式）如下：</w:t>
      </w:r>
    </w:p>
    <w:p>
      <w:pPr>
        <w:spacing w:before="120" w:after="120"/>
        <w:ind w:firstLine="480"/>
        <w:rPr>
          <w:rFonts w:cs="Times New Roman"/>
          <w:szCs w:val="21"/>
        </w:rPr>
      </w:pPr>
      <w:r>
        <w:rPr>
          <w:rFonts w:hint="eastAsia" w:cs="Times New Roman"/>
          <w:szCs w:val="21"/>
        </w:rPr>
        <w:t>中和反应：</w:t>
      </w:r>
      <m:oMath>
        <m:r>
          <m:rPr/>
          <w:rPr>
            <w:rFonts w:ascii="Cambria Math" w:hAnsi="Cambria Math" w:cs="Times New Roman"/>
            <w:szCs w:val="21"/>
          </w:rPr>
          <m:t>HOOC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COOH</m:t>
        </m:r>
        <m:r>
          <m:rPr>
            <m:sty m:val="p"/>
          </m:rPr>
          <w:rPr>
            <w:rFonts w:ascii="Cambria Math" w:hAnsi="Cambria Math" w:cs="Times New Roman"/>
            <w:szCs w:val="21"/>
          </w:rPr>
          <m:t>+2</m:t>
        </m:r>
        <m:r>
          <m:rPr/>
          <w:rPr>
            <w:rFonts w:ascii="Cambria Math" w:hAnsi="Cambria Math" w:cs="Times New Roman"/>
            <w:szCs w:val="21"/>
          </w:rPr>
          <m:t>N</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3</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NOC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CON</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+2</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O</m:t>
        </m:r>
      </m:oMath>
    </w:p>
    <w:p>
      <w:pPr>
        <w:spacing w:before="120" w:after="120"/>
        <w:ind w:firstLine="480"/>
        <w:rPr>
          <w:rFonts w:cs="Times New Roman"/>
          <w:szCs w:val="21"/>
        </w:rPr>
      </w:pPr>
      <w:r>
        <w:rPr>
          <w:rFonts w:hint="eastAsia" w:cs="Times New Roman"/>
          <w:szCs w:val="21"/>
        </w:rPr>
        <w:t>脱水反应：</w:t>
      </w:r>
      <m:oMath>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NOC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CON</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box>
          <m:boxPr>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hint="eastAsia" w:ascii="Cambria Math" w:hAnsi="Cambria Math" w:cs="Times New Roman"/>
                    <w:szCs w:val="21"/>
                  </w:rPr>
                  <m:t>催化剂</m:t>
                </m:r>
                <m:ctrlPr>
                  <w:rPr>
                    <w:rFonts w:ascii="Cambria Math" w:hAnsi="Cambria Math" w:cs="Times New Roman"/>
                    <w:szCs w:val="21"/>
                  </w:rPr>
                </m:ctrlPr>
              </m:e>
            </m:groupChr>
            <m:ctrlPr>
              <w:rPr>
                <w:rFonts w:ascii="Cambria Math" w:hAnsi="Cambria Math" w:cs="Times New Roman"/>
                <w:szCs w:val="21"/>
              </w:rPr>
            </m:ctrlPr>
          </m:e>
        </m:box>
        <m:r>
          <m:rPr/>
          <w:rPr>
            <w:rFonts w:ascii="Cambria Math" w:hAnsi="Cambria Math" w:cs="Times New Roman"/>
            <w:szCs w:val="21"/>
          </w:rPr>
          <m:t>NC</m:t>
        </m:r>
        <m:sSub>
          <m:sSubPr>
            <m:ctrlPr>
              <w:rPr>
                <w:rFonts w:ascii="Cambria Math" w:hAnsi="Cambria Math" w:cs="Times New Roman"/>
                <w:szCs w:val="21"/>
              </w:rPr>
            </m:ctrlPr>
          </m:sSubPr>
          <m:e>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CH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CN</m:t>
        </m:r>
        <m:r>
          <m:rPr>
            <m:sty m:val="p"/>
          </m:rPr>
          <w:rPr>
            <w:rFonts w:ascii="Cambria Math" w:hAnsi="Cambria Math" w:cs="Times New Roman"/>
            <w:szCs w:val="21"/>
          </w:rPr>
          <m:t>+2</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O</m:t>
        </m:r>
      </m:oMath>
    </w:p>
    <w:p>
      <w:pPr>
        <w:spacing w:before="120" w:after="120"/>
        <w:ind w:firstLine="480"/>
        <w:rPr>
          <w:rFonts w:cs="Times New Roman"/>
          <w:szCs w:val="21"/>
        </w:rPr>
      </w:pPr>
      <w:r>
        <w:rPr>
          <w:rFonts w:cs="Times New Roman"/>
          <w:szCs w:val="21"/>
        </w:rPr>
        <w:t>己二酸</w:t>
      </w:r>
      <w:r>
        <w:rPr>
          <w:rFonts w:hint="eastAsia" w:cs="Times New Roman"/>
          <w:szCs w:val="21"/>
        </w:rPr>
        <w:t>催化</w:t>
      </w:r>
      <w:r>
        <w:rPr>
          <w:rFonts w:cs="Times New Roman"/>
          <w:szCs w:val="21"/>
        </w:rPr>
        <w:t>氨化法首先使</w:t>
      </w:r>
      <w:r>
        <w:rPr>
          <w:rFonts w:hint="eastAsia" w:cs="Times New Roman"/>
          <w:szCs w:val="21"/>
        </w:rPr>
        <w:t>己二酸中羧基</w:t>
      </w:r>
      <w:r>
        <w:rPr>
          <w:rFonts w:cs="Times New Roman"/>
          <w:szCs w:val="21"/>
        </w:rPr>
        <w:t>与氨反应生成酰胺基，该反应不需要催化剂即可发生，然后酰胺基在高温和脱水催化剂作用下反应生成氰基。</w:t>
      </w:r>
      <w:r>
        <w:rPr>
          <w:rFonts w:hint="eastAsia" w:cs="Times New Roman"/>
          <w:szCs w:val="21"/>
        </w:rPr>
        <w:t>己二酸催化氨化法目前通过对脱水反应步骤中脱水催化剂的研究可以提高脱水率（选择性），较好的结果达到9</w:t>
      </w:r>
      <w:r>
        <w:rPr>
          <w:rFonts w:cs="Times New Roman"/>
          <w:szCs w:val="21"/>
        </w:rPr>
        <w:t>5%-97%</w:t>
      </w:r>
      <w:r>
        <w:rPr>
          <w:rFonts w:hint="eastAsia" w:cs="Times New Roman"/>
          <w:szCs w:val="21"/>
        </w:rPr>
        <w:t>，采用固体磷酸催化剂等易回收的催化剂腐蚀性低且整体己二酸的转化率可达到9</w:t>
      </w:r>
      <w:r>
        <w:rPr>
          <w:rFonts w:cs="Times New Roman"/>
          <w:szCs w:val="21"/>
        </w:rPr>
        <w:t>5%</w:t>
      </w:r>
      <w:r>
        <w:rPr>
          <w:rFonts w:hint="eastAsia" w:cs="Times New Roman"/>
          <w:szCs w:val="21"/>
        </w:rPr>
        <w:t>以上；此外，重庆华峰聚酰胺有限公司采用在</w:t>
      </w:r>
      <w:r>
        <w:rPr>
          <w:rFonts w:cs="Times New Roman"/>
          <w:szCs w:val="21"/>
        </w:rPr>
        <w:t>155～200 ℃下</w:t>
      </w:r>
      <w:r>
        <w:rPr>
          <w:rFonts w:hint="eastAsia" w:cs="Times New Roman"/>
          <w:szCs w:val="21"/>
        </w:rPr>
        <w:t>发生第一步中和反应</w:t>
      </w:r>
      <w:r>
        <w:rPr>
          <w:rFonts w:cs="Times New Roman"/>
          <w:szCs w:val="21"/>
        </w:rPr>
        <w:t>，再在磷酸或磷酸铵催化作用下脱水生成己二腈，避免己二酸在高温下生成副产物和结焦物，收率提高3%～5%，运行周期延长30～60 d，提高了催化剂</w:t>
      </w:r>
      <w:r>
        <w:rPr>
          <w:rFonts w:hint="eastAsia" w:cs="Times New Roman"/>
          <w:szCs w:val="21"/>
        </w:rPr>
        <w:t>处理量。</w:t>
      </w:r>
    </w:p>
    <w:p>
      <w:pPr>
        <w:pStyle w:val="4"/>
        <w:ind w:firstLine="562"/>
        <w:rPr>
          <w:rFonts w:eastAsia="宋体" w:cs="Times New Roman"/>
        </w:rPr>
      </w:pPr>
      <w:bookmarkStart w:id="32" w:name="_Toc140678760"/>
      <w:bookmarkStart w:id="33" w:name="_Toc141633687"/>
      <w:r>
        <w:rPr>
          <w:rFonts w:eastAsia="宋体" w:cs="Times New Roman"/>
        </w:rPr>
        <w:t>2.2.5 工艺技术方案比较</w:t>
      </w:r>
      <w:bookmarkEnd w:id="32"/>
      <w:bookmarkEnd w:id="33"/>
    </w:p>
    <w:p>
      <w:pPr>
        <w:spacing w:before="120" w:after="120"/>
        <w:ind w:firstLine="480"/>
        <w:rPr>
          <w:rFonts w:cs="Times New Roman"/>
          <w:szCs w:val="21"/>
        </w:rPr>
      </w:pPr>
      <w:r>
        <w:rPr>
          <w:rFonts w:cs="Times New Roman"/>
          <w:szCs w:val="21"/>
        </w:rPr>
        <w:t>丙烯腈电解二聚法因为丙烯腈不在阳极反应故而采用无隔膜法降低设备成本和能耗，此法原料品种单一且来源相对广泛，具有污染小、流程短、投资少、建设规模灵活、技术相对简单且便于生产管理等优点，改进后的无隔膜电解法具有产品质量高、能耗低、收率高等特点，是目前世界上广泛应用的一种工艺。但由于原料丙烯腈目前市场价格较昂贵，电解能耗大，导致生产规模一般较小，基本没有盈利空间，预计该工艺将逐步被淘汰。</w:t>
      </w:r>
    </w:p>
    <w:p>
      <w:pPr>
        <w:spacing w:before="120" w:after="120"/>
        <w:ind w:firstLine="480"/>
        <w:rPr>
          <w:rFonts w:cs="Times New Roman"/>
          <w:szCs w:val="21"/>
        </w:rPr>
      </w:pPr>
      <w:r>
        <w:rPr>
          <w:rFonts w:cs="Times New Roman"/>
          <w:szCs w:val="21"/>
        </w:rPr>
        <w:t>丙烯腈催化二聚法的研究工作进行了很多年但实际最好收率并不高，主要问题是丙烯腈氢化成丙腈和异构体，不好控制，目前有较好的工艺</w:t>
      </w:r>
      <w:r>
        <w:rPr>
          <w:rFonts w:hint="eastAsia" w:cs="Times New Roman"/>
          <w:szCs w:val="21"/>
        </w:rPr>
        <w:t>例如无隔膜法</w:t>
      </w:r>
      <w:r>
        <w:rPr>
          <w:rFonts w:cs="Times New Roman"/>
          <w:szCs w:val="21"/>
        </w:rPr>
        <w:t>，但还有待发展空间。</w:t>
      </w:r>
    </w:p>
    <w:p>
      <w:pPr>
        <w:spacing w:before="120" w:after="120"/>
        <w:ind w:firstLine="480"/>
        <w:rPr>
          <w:rFonts w:cs="Times New Roman"/>
          <w:szCs w:val="21"/>
        </w:rPr>
      </w:pPr>
      <w:r>
        <w:rPr>
          <w:rFonts w:cs="Times New Roman"/>
          <w:szCs w:val="21"/>
        </w:rPr>
        <w:t>丁二烯直接氰化法具有原料成本低、无污染、产品质量及收率高、工艺路线短、相对投资较低等特点。</w:t>
      </w:r>
      <w:r>
        <w:rPr>
          <w:rFonts w:hint="eastAsia" w:cs="Times New Roman"/>
          <w:szCs w:val="21"/>
        </w:rPr>
        <w:t>但其原料毒性较大，对生产设备、操作、管理有极高要求，且</w:t>
      </w:r>
      <w:r>
        <w:rPr>
          <w:rFonts w:cs="Times New Roman"/>
          <w:szCs w:val="21"/>
        </w:rPr>
        <w:t>1，4-丁二烯氢氰化法技术门槛较高、关键技术较多，使用氢氰酸原料阻碍了催化剂及回收方法的研究及发展，使得我国该技术路线发展缓慢</w:t>
      </w:r>
      <w:r>
        <w:rPr>
          <w:rFonts w:hint="eastAsia" w:cs="Times New Roman"/>
          <w:szCs w:val="21"/>
        </w:rPr>
        <w:t>。此工艺难点在于催化体系的选择性和稳定性，催化剂</w:t>
      </w:r>
      <w:r>
        <w:rPr>
          <w:rFonts w:cs="Times New Roman"/>
          <w:szCs w:val="21"/>
        </w:rPr>
        <w:t>在高温或氢氰酸存在下易降解、失活和回收难，反应产物沸点接近导致分离困难以及高温下易聚合造成堵塞，且该技术路线还需解决高纯氢氰酸的生产技术。</w:t>
      </w:r>
    </w:p>
    <w:p>
      <w:pPr>
        <w:spacing w:before="120" w:after="120"/>
        <w:ind w:firstLine="480"/>
        <w:rPr>
          <w:rFonts w:cs="Times New Roman"/>
          <w:szCs w:val="21"/>
        </w:rPr>
      </w:pPr>
      <w:r>
        <w:rPr>
          <w:rFonts w:hint="eastAsia" w:cs="Times New Roman"/>
          <w:szCs w:val="21"/>
        </w:rPr>
        <w:t>己二酸催化氨化法工艺技术路线相对成熟，且随着市场上己二酸供求关系的变化，己二酸氨化法生产己二腈的原料成本大幅降低，使得该生产工艺又具有了经济性优势。</w:t>
      </w:r>
    </w:p>
    <w:tbl>
      <w:tblPr>
        <w:tblStyle w:val="44"/>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top w:val="single" w:color="FFFFFF" w:themeColor="background1" w:sz="4" w:space="0"/>
              <w:left w:val="single" w:color="FFFFFF" w:themeColor="background1" w:sz="4" w:space="0"/>
              <w:right w:val="nil"/>
              <w:insideV w:val="nil"/>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技术路线</w:t>
            </w:r>
          </w:p>
        </w:tc>
        <w:tc>
          <w:tcPr>
            <w:tcW w:w="2074" w:type="dxa"/>
            <w:tcBorders>
              <w:top w:val="single" w:color="FFFFFF" w:themeColor="background1" w:sz="4" w:space="0"/>
              <w:right w:val="nil"/>
              <w:insideV w:val="nil"/>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丁二烯直接氰化法</w:t>
            </w:r>
          </w:p>
        </w:tc>
        <w:tc>
          <w:tcPr>
            <w:tcW w:w="2074" w:type="dxa"/>
            <w:tcBorders>
              <w:top w:val="single" w:color="FFFFFF" w:themeColor="background1" w:sz="4" w:space="0"/>
              <w:right w:val="nil"/>
              <w:insideV w:val="nil"/>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丙烯腈法</w:t>
            </w:r>
          </w:p>
        </w:tc>
        <w:tc>
          <w:tcPr>
            <w:tcW w:w="2074" w:type="dxa"/>
            <w:tcBorders>
              <w:top w:val="single" w:color="FFFFFF" w:themeColor="background1" w:sz="4" w:space="0"/>
              <w:right w:val="single" w:color="FFFFFF" w:themeColor="background1" w:sz="4" w:space="0"/>
              <w:insideV w:val="nil"/>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己二酸催化氨化法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原料来源</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广泛</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广泛</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广泛</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原料成本</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低</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较高</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较低</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生产难度</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高</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低</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分离提纯难度</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高</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低</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低</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能耗</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低</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较高</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产率</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高</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高</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原料安全性</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毒性极强</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毒性极强</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环保性</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一般</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危害较大</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生产规模</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大</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较小</w:t>
            </w:r>
          </w:p>
        </w:tc>
        <w:tc>
          <w:tcPr>
            <w:tcW w:w="2074" w:type="dxa"/>
            <w:shd w:val="clear" w:color="auto" w:fill="BDD6EE" w:themeFill="accent1" w:themeFillTint="66"/>
          </w:tcPr>
          <w:p>
            <w:pPr>
              <w:ind w:firstLine="360"/>
              <w:jc w:val="center"/>
              <w:rPr>
                <w:rFonts w:cs="Times New Roman"/>
                <w:sz w:val="18"/>
                <w:szCs w:val="18"/>
              </w:rPr>
            </w:pPr>
            <w:r>
              <w:rPr>
                <w:rFonts w:hint="eastAsia"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bottom w:val="single" w:color="FFFFFF" w:themeColor="background1" w:sz="4" w:space="0"/>
            </w:tcBorders>
            <w:shd w:val="clear" w:color="auto" w:fill="5B9BD5" w:themeFill="accent1"/>
          </w:tcPr>
          <w:p>
            <w:pPr>
              <w:ind w:firstLine="361"/>
              <w:jc w:val="center"/>
              <w:rPr>
                <w:rFonts w:cs="Times New Roman"/>
                <w:b/>
                <w:bCs/>
                <w:color w:val="FFFFFF" w:themeColor="background1"/>
                <w:sz w:val="18"/>
                <w:szCs w:val="18"/>
                <w14:textFill>
                  <w14:solidFill>
                    <w14:schemeClr w14:val="bg1"/>
                  </w14:solidFill>
                </w14:textFill>
              </w:rPr>
            </w:pPr>
            <w:r>
              <w:rPr>
                <w:rFonts w:hint="eastAsia" w:cs="Times New Roman"/>
                <w:b/>
                <w:bCs/>
                <w:color w:val="FFFFFF" w:themeColor="background1"/>
                <w:sz w:val="18"/>
                <w:szCs w:val="18"/>
                <w14:textFill>
                  <w14:solidFill>
                    <w14:schemeClr w14:val="bg1"/>
                  </w14:solidFill>
                </w14:textFill>
              </w:rPr>
              <w:t>投资</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较低</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较高</w:t>
            </w:r>
          </w:p>
        </w:tc>
        <w:tc>
          <w:tcPr>
            <w:tcW w:w="2074" w:type="dxa"/>
            <w:shd w:val="clear" w:color="auto" w:fill="DEEAF6" w:themeFill="accent1" w:themeFillTint="33"/>
          </w:tcPr>
          <w:p>
            <w:pPr>
              <w:ind w:firstLine="360"/>
              <w:jc w:val="center"/>
              <w:rPr>
                <w:rFonts w:cs="Times New Roman"/>
                <w:sz w:val="18"/>
                <w:szCs w:val="18"/>
              </w:rPr>
            </w:pPr>
            <w:r>
              <w:rPr>
                <w:rFonts w:hint="eastAsia" w:cs="Times New Roman"/>
                <w:sz w:val="18"/>
                <w:szCs w:val="18"/>
              </w:rPr>
              <w:t>较低</w:t>
            </w:r>
          </w:p>
        </w:tc>
      </w:tr>
    </w:tbl>
    <w:p>
      <w:pPr>
        <w:spacing w:before="120" w:after="120"/>
        <w:ind w:firstLine="361"/>
        <w:jc w:val="center"/>
        <w:rPr>
          <w:rFonts w:cs="Times New Roman"/>
          <w:b/>
          <w:sz w:val="18"/>
          <w:szCs w:val="18"/>
        </w:rPr>
      </w:pPr>
      <w:r>
        <w:rPr>
          <w:rFonts w:hint="eastAsia" w:cs="Times New Roman"/>
          <w:b/>
          <w:sz w:val="18"/>
          <w:szCs w:val="18"/>
        </w:rPr>
        <w:t>表</w:t>
      </w:r>
      <w:r>
        <w:rPr>
          <w:rFonts w:cs="Times New Roman"/>
          <w:b/>
          <w:sz w:val="18"/>
          <w:szCs w:val="18"/>
        </w:rPr>
        <w:t>2-1</w:t>
      </w:r>
      <w:r>
        <w:rPr>
          <w:rFonts w:hint="eastAsia" w:cs="Times New Roman"/>
          <w:b/>
          <w:sz w:val="18"/>
          <w:szCs w:val="18"/>
        </w:rPr>
        <w:t xml:space="preserve"> 技术路线对比</w:t>
      </w:r>
    </w:p>
    <w:p>
      <w:pPr>
        <w:spacing w:before="120" w:after="120"/>
        <w:ind w:firstLine="480"/>
        <w:rPr>
          <w:rFonts w:cs="Times New Roman"/>
          <w:szCs w:val="21"/>
        </w:rPr>
      </w:pPr>
      <w:r>
        <w:rPr>
          <w:rFonts w:hint="eastAsia" w:cs="Times New Roman"/>
          <w:szCs w:val="21"/>
        </w:rPr>
        <w:t>从上述表4</w:t>
      </w:r>
      <w:r>
        <w:rPr>
          <w:rFonts w:cs="Times New Roman"/>
          <w:szCs w:val="21"/>
        </w:rPr>
        <w:t>-1</w:t>
      </w:r>
      <w:r>
        <w:rPr>
          <w:rFonts w:hint="eastAsia" w:cs="Times New Roman"/>
          <w:szCs w:val="21"/>
        </w:rPr>
        <w:t>路线对比可以看出：己二酸法具有原料来源广泛、投资较低、环保性和原料安全性相比之下较好的优势，且随着市场上己二酸原料成本的降低，此工艺路线还具有较好的经济优势。</w:t>
      </w:r>
    </w:p>
    <w:p>
      <w:pPr>
        <w:spacing w:before="120" w:after="120"/>
        <w:ind w:firstLine="480"/>
        <w:rPr>
          <w:rFonts w:cs="Times New Roman"/>
          <w:szCs w:val="21"/>
        </w:rPr>
      </w:pPr>
      <w:r>
        <w:rPr>
          <w:rFonts w:hint="eastAsia" w:cs="Times New Roman"/>
          <w:szCs w:val="21"/>
        </w:rPr>
        <w:t>另一方面，丁二烯直接氰化法的技术难度大，且投资建设的最低经济规模不低于</w:t>
      </w:r>
      <w:r>
        <w:rPr>
          <w:rFonts w:cs="Times New Roman"/>
          <w:szCs w:val="21"/>
        </w:rPr>
        <w:t>10</w:t>
      </w:r>
      <w:r>
        <w:rPr>
          <w:rFonts w:hint="eastAsia" w:cs="Times New Roman"/>
          <w:szCs w:val="21"/>
        </w:rPr>
        <w:t>万吨，在很大程度上限制了该工艺在我国的应用和市场竞争力，己二酸的工艺流程相对成熟，可以在已有的成熟的生产工艺上进行技术整合和创新。</w:t>
      </w:r>
    </w:p>
    <w:p>
      <w:pPr>
        <w:pStyle w:val="3"/>
        <w:ind w:firstLine="643"/>
        <w:rPr>
          <w:rFonts w:hint="eastAsia" w:eastAsia="宋体"/>
        </w:rPr>
      </w:pPr>
      <w:bookmarkStart w:id="34" w:name="_Toc141633688"/>
      <w:r>
        <w:rPr>
          <w:rFonts w:eastAsia="宋体"/>
        </w:rPr>
        <w:t xml:space="preserve">2.3 </w:t>
      </w:r>
      <w:r>
        <w:rPr>
          <w:rFonts w:hint="eastAsia" w:eastAsia="宋体"/>
        </w:rPr>
        <w:t>反应工段创新</w:t>
      </w:r>
      <w:bookmarkEnd w:id="34"/>
    </w:p>
    <w:p>
      <w:pPr>
        <w:spacing w:before="120" w:after="120"/>
        <w:ind w:firstLine="480"/>
        <w:rPr>
          <w:rFonts w:hint="eastAsia" w:cs="Times New Roman"/>
          <w:szCs w:val="21"/>
        </w:rPr>
      </w:pPr>
      <w:r>
        <w:rPr>
          <w:rFonts w:hint="eastAsia" w:cs="Times New Roman"/>
          <w:szCs w:val="21"/>
        </w:rPr>
        <w:t>与市场上常见的己二酸反应制己二腈流程不同，本流程采用多釜串联、侧线进料的反应方式，采用己二酸一次进料，氨气三次进料的方式进行反应。</w:t>
      </w:r>
    </w:p>
    <w:p>
      <w:pPr>
        <w:spacing w:before="120" w:after="120"/>
        <w:ind w:firstLine="480"/>
        <w:rPr>
          <w:rFonts w:cs="Times New Roman"/>
          <w:szCs w:val="21"/>
        </w:rPr>
      </w:pPr>
      <w:r>
        <w:rPr>
          <w:rFonts w:hint="eastAsia" w:cs="Times New Roman"/>
          <w:szCs w:val="21"/>
        </w:rPr>
        <w:t>在己二酸反应生成己二腈流程中，由于氨气需大量过量，导致通常的一次进料反应器体积极大，无法实现。为此，我们采用氨气侧线多次进料的方法，既实现了己二酸的较高转化率，也减小了反应体积。我们比较了2</w:t>
      </w:r>
      <w:r>
        <w:rPr>
          <w:rFonts w:cs="Times New Roman"/>
          <w:szCs w:val="21"/>
        </w:rPr>
        <w:t>00</w:t>
      </w:r>
      <w:r>
        <w:rPr>
          <w:rFonts w:hint="eastAsia" w:cs="Times New Roman"/>
          <w:szCs w:val="21"/>
        </w:rPr>
        <w:t>℃、3bar状态下，反应釜停留时间2</w:t>
      </w:r>
      <w:r>
        <w:rPr>
          <w:rFonts w:cs="Times New Roman"/>
          <w:szCs w:val="21"/>
        </w:rPr>
        <w:t>0s</w:t>
      </w:r>
      <w:r>
        <w:rPr>
          <w:rFonts w:hint="eastAsia" w:cs="Times New Roman"/>
          <w:szCs w:val="21"/>
        </w:rPr>
        <w:t>、2</w:t>
      </w:r>
      <w:r>
        <w:rPr>
          <w:rFonts w:cs="Times New Roman"/>
          <w:szCs w:val="21"/>
        </w:rPr>
        <w:t>0</w:t>
      </w:r>
      <w:r>
        <w:rPr>
          <w:rFonts w:hint="eastAsia" w:cs="Times New Roman"/>
          <w:szCs w:val="21"/>
        </w:rPr>
        <w:t>s、5s条件下两种原料一同进料、己二酸侧线进料、氨气侧线进料三种方式的反应体积和转化率。</w:t>
      </w:r>
    </w:p>
    <w:p>
      <w:pPr>
        <w:pStyle w:val="46"/>
        <w:numPr>
          <w:ilvl w:val="0"/>
          <w:numId w:val="2"/>
        </w:numPr>
        <w:spacing w:before="120" w:after="120"/>
        <w:ind w:firstLineChars="0"/>
        <w:rPr>
          <w:rFonts w:cs="Times New Roman"/>
          <w:szCs w:val="21"/>
        </w:rPr>
      </w:pPr>
      <w:r>
        <w:rPr>
          <w:rFonts w:hint="eastAsia" w:cs="Times New Roman"/>
          <w:szCs w:val="21"/>
        </w:rPr>
        <w:t>一同进料：三反应器体积分别为9</w:t>
      </w:r>
      <w:r>
        <w:rPr>
          <w:rFonts w:cs="Times New Roman"/>
          <w:szCs w:val="21"/>
        </w:rPr>
        <w:t>0</w:t>
      </w:r>
      <w:r>
        <w:rPr>
          <w:rFonts w:hint="eastAsia" w:cs="Times New Roman"/>
          <w:szCs w:val="21"/>
        </w:rPr>
        <w:t>、9</w:t>
      </w:r>
      <w:r>
        <w:rPr>
          <w:rFonts w:cs="Times New Roman"/>
          <w:szCs w:val="21"/>
        </w:rPr>
        <w:t>0</w:t>
      </w:r>
      <w:r>
        <w:rPr>
          <w:rFonts w:hint="eastAsia" w:cs="Times New Roman"/>
          <w:szCs w:val="21"/>
        </w:rPr>
        <w:t>、2</w:t>
      </w:r>
      <w:r>
        <w:rPr>
          <w:rFonts w:cs="Times New Roman"/>
          <w:szCs w:val="21"/>
        </w:rPr>
        <w:t>5</w:t>
      </w:r>
      <w:r>
        <w:rPr>
          <w:rFonts w:hint="eastAsia" w:cs="Times New Roman"/>
          <w:szCs w:val="21"/>
        </w:rPr>
        <w:t>m³，转化的己二酸为8</w:t>
      </w:r>
      <w:r>
        <w:rPr>
          <w:rFonts w:cs="Times New Roman"/>
          <w:szCs w:val="21"/>
        </w:rPr>
        <w:t>4.6mol</w:t>
      </w:r>
    </w:p>
    <w:p>
      <w:pPr>
        <w:pStyle w:val="46"/>
        <w:numPr>
          <w:ilvl w:val="0"/>
          <w:numId w:val="2"/>
        </w:numPr>
        <w:spacing w:before="120" w:after="120"/>
        <w:ind w:firstLineChars="0"/>
        <w:rPr>
          <w:rFonts w:cs="Times New Roman"/>
          <w:szCs w:val="21"/>
        </w:rPr>
      </w:pPr>
      <w:r>
        <w:rPr>
          <w:rFonts w:hint="eastAsia" w:cs="Times New Roman"/>
          <w:szCs w:val="21"/>
        </w:rPr>
        <w:t>己二酸侧线进料：三反应器体积分别为1</w:t>
      </w:r>
      <w:r>
        <w:rPr>
          <w:rFonts w:cs="Times New Roman"/>
          <w:szCs w:val="21"/>
        </w:rPr>
        <w:t>82.5</w:t>
      </w:r>
      <w:r>
        <w:rPr>
          <w:rFonts w:hint="eastAsia" w:cs="Times New Roman"/>
          <w:szCs w:val="21"/>
        </w:rPr>
        <w:t>、1</w:t>
      </w:r>
      <w:r>
        <w:rPr>
          <w:rFonts w:cs="Times New Roman"/>
          <w:szCs w:val="21"/>
        </w:rPr>
        <w:t>82.5</w:t>
      </w:r>
      <w:r>
        <w:rPr>
          <w:rFonts w:hint="eastAsia" w:cs="Times New Roman"/>
          <w:szCs w:val="21"/>
        </w:rPr>
        <w:t>、5</w:t>
      </w:r>
      <w:r>
        <w:rPr>
          <w:rFonts w:cs="Times New Roman"/>
          <w:szCs w:val="21"/>
        </w:rPr>
        <w:t>0</w:t>
      </w:r>
      <w:r>
        <w:rPr>
          <w:rFonts w:hint="eastAsia" w:cs="Times New Roman"/>
          <w:szCs w:val="21"/>
        </w:rPr>
        <w:t>m³，转化的己二酸为9</w:t>
      </w:r>
      <w:r>
        <w:rPr>
          <w:rFonts w:cs="Times New Roman"/>
          <w:szCs w:val="21"/>
        </w:rPr>
        <w:t>1.4</w:t>
      </w:r>
      <w:r>
        <w:rPr>
          <w:rFonts w:hint="eastAsia" w:cs="Times New Roman"/>
          <w:szCs w:val="21"/>
        </w:rPr>
        <w:t>mol</w:t>
      </w:r>
    </w:p>
    <w:p>
      <w:pPr>
        <w:pStyle w:val="46"/>
        <w:numPr>
          <w:ilvl w:val="0"/>
          <w:numId w:val="2"/>
        </w:numPr>
        <w:spacing w:before="120" w:after="120"/>
        <w:ind w:firstLineChars="0"/>
        <w:rPr>
          <w:rFonts w:cs="Times New Roman"/>
          <w:szCs w:val="21"/>
        </w:rPr>
      </w:pPr>
      <w:r>
        <w:rPr>
          <w:rFonts w:hint="eastAsia" w:cs="Times New Roman"/>
          <w:szCs w:val="21"/>
        </w:rPr>
        <w:t>氨气侧线进料：三反应器体积分别为3</w:t>
      </w:r>
      <w:r>
        <w:rPr>
          <w:rFonts w:cs="Times New Roman"/>
          <w:szCs w:val="21"/>
        </w:rPr>
        <w:t>0</w:t>
      </w:r>
      <w:r>
        <w:rPr>
          <w:rFonts w:hint="eastAsia" w:cs="Times New Roman"/>
          <w:szCs w:val="21"/>
        </w:rPr>
        <w:t>、6</w:t>
      </w:r>
      <w:r>
        <w:rPr>
          <w:rFonts w:cs="Times New Roman"/>
          <w:szCs w:val="21"/>
        </w:rPr>
        <w:t>0</w:t>
      </w:r>
      <w:r>
        <w:rPr>
          <w:rFonts w:hint="eastAsia" w:cs="Times New Roman"/>
          <w:szCs w:val="21"/>
        </w:rPr>
        <w:t>、2</w:t>
      </w:r>
      <w:r>
        <w:rPr>
          <w:rFonts w:cs="Times New Roman"/>
          <w:szCs w:val="21"/>
        </w:rPr>
        <w:t>5</w:t>
      </w:r>
      <w:r>
        <w:rPr>
          <w:rFonts w:hint="eastAsia" w:cs="Times New Roman"/>
          <w:szCs w:val="21"/>
        </w:rPr>
        <w:t>m³，转化的己二酸为8</w:t>
      </w:r>
      <w:r>
        <w:rPr>
          <w:rFonts w:cs="Times New Roman"/>
          <w:szCs w:val="21"/>
        </w:rPr>
        <w:t>5</w:t>
      </w:r>
      <w:r>
        <w:rPr>
          <w:rFonts w:hint="eastAsia" w:cs="Times New Roman"/>
          <w:szCs w:val="21"/>
        </w:rPr>
        <w:t>mol</w:t>
      </w:r>
    </w:p>
    <w:p>
      <w:pPr>
        <w:pStyle w:val="3"/>
        <w:ind w:firstLine="643"/>
        <w:rPr>
          <w:rFonts w:eastAsia="宋体"/>
        </w:rPr>
      </w:pPr>
      <w:bookmarkStart w:id="35" w:name="_Toc141633689"/>
      <w:r>
        <w:rPr>
          <w:rFonts w:eastAsia="宋体"/>
        </w:rPr>
        <w:t xml:space="preserve">2.4 </w:t>
      </w:r>
      <w:r>
        <w:rPr>
          <w:rFonts w:hint="eastAsia" w:eastAsia="宋体"/>
        </w:rPr>
        <w:t>催化剂创新</w:t>
      </w:r>
      <w:bookmarkEnd w:id="35"/>
    </w:p>
    <w:p>
      <w:pPr>
        <w:spacing w:before="120" w:after="120"/>
        <w:ind w:firstLine="480"/>
        <w:rPr>
          <w:rFonts w:cs="Times New Roman"/>
          <w:szCs w:val="21"/>
        </w:rPr>
      </w:pPr>
      <w:r>
        <w:rPr>
          <w:rFonts w:hint="eastAsia" w:cs="Times New Roman"/>
          <w:szCs w:val="21"/>
        </w:rPr>
        <w:t>己二酸液相法中常用的催化剂是磷酸、磷酸酯等液体催化剂。然而这类催化剂有着诸多弊病。首先，大量的磷酸、磷酸酯会对反应器产生一定的腐蚀作用，影响到正常生产。其次，这类液体催化剂易溶于反应体系，随着反应的进行，容易流失，生产中需要源源不断地补充，增加了生产成本。此外，根据 U.S.Pat.5,202,455 所述，在反应中，磷酸和磷酸酯都会生成聚磷酸，沉积在反应器器壁上，影响外部热源的传热。</w:t>
      </w:r>
    </w:p>
    <w:p>
      <w:pPr>
        <w:spacing w:before="120" w:after="120"/>
        <w:ind w:firstLine="480"/>
        <w:rPr>
          <w:rFonts w:cs="Times New Roman"/>
          <w:szCs w:val="21"/>
        </w:rPr>
      </w:pPr>
      <w:r>
        <w:rPr>
          <w:rFonts w:hint="eastAsia" w:cs="Times New Roman"/>
          <w:szCs w:val="21"/>
        </w:rPr>
        <w:t>相比于传统的磷酸、磷酸酯等液体催化剂，固体磷酸催化剂具有相似的催化效果，此外它还能克服液体催化剂的各种弊病。反应中固体磷酸催化剂会缓慢释放磷酸，磷酸在体系中的浓度低，对反应器的腐蚀较小。同时聚磷酸生成量较少，传热也可以更好地进行。反应结束后，将催化剂过滤出来，经焙烧后还可多次使用。本工艺流程采用硅藻土载体磷酸催化剂，制备方式如下：</w:t>
      </w:r>
    </w:p>
    <w:p>
      <w:pPr>
        <w:spacing w:before="120" w:after="120"/>
        <w:ind w:firstLine="480"/>
        <w:rPr>
          <w:rFonts w:hint="eastAsia" w:cs="Times New Roman"/>
          <w:szCs w:val="21"/>
        </w:rPr>
      </w:pPr>
      <w:r>
        <w:rPr>
          <w:rFonts w:hint="eastAsia" w:cs="Times New Roman"/>
          <w:szCs w:val="21"/>
        </w:rPr>
        <w:t>将硅藻土浸渍于磷酸和硫酸盐混合溶液中，浸渍平衡后离心分离出载体，再进行干燥、焙烧。其中磷酸浓度为 55-95wt％，硫酸盐浓度为 15-25wt％，焙烧温度在 300℃ -700℃，降温后将其压片成型，筛选 10-50 目形成固体磷酸催化剂。</w:t>
      </w:r>
    </w:p>
    <w:p>
      <w:pPr>
        <w:pStyle w:val="3"/>
        <w:ind w:firstLine="643"/>
        <w:rPr>
          <w:rFonts w:eastAsia="宋体"/>
        </w:rPr>
      </w:pPr>
      <w:bookmarkStart w:id="36" w:name="_Toc140678761"/>
      <w:bookmarkStart w:id="37" w:name="_Toc141633690"/>
      <w:r>
        <w:rPr>
          <w:rFonts w:eastAsia="宋体"/>
        </w:rPr>
        <w:t>2.5 工艺流程图</w:t>
      </w:r>
      <w:bookmarkEnd w:id="36"/>
      <w:bookmarkEnd w:id="37"/>
    </w:p>
    <w:p>
      <w:pPr>
        <w:spacing w:before="120" w:after="120"/>
        <w:ind w:firstLine="480"/>
        <w:rPr>
          <w:rFonts w:cs="Times New Roman"/>
          <w:szCs w:val="21"/>
        </w:rPr>
      </w:pPr>
      <w:r>
        <w:rPr>
          <w:rFonts w:hint="eastAsia" w:cs="Times New Roman"/>
          <w:szCs w:val="21"/>
        </w:rPr>
        <w:t>出于环保、技术经济市场、国家政策、国家资源分布等多方面考虑，我们分析对比了种工艺路线的投资、转化率、选择性、能耗等，最终确定了我们的整套工艺。我们以己二酸和氨气（过量）为原料，己二腈为稀释剂，磷酸为催化剂，经过己二腈合成、己二腈精制和氨气回收三个工段，最终制得纯度为</w:t>
      </w:r>
      <w:r>
        <w:rPr>
          <w:rFonts w:cs="Times New Roman"/>
          <w:szCs w:val="21"/>
        </w:rPr>
        <w:t xml:space="preserve"> 99.99%（wt%）的</w:t>
      </w:r>
      <w:r>
        <w:rPr>
          <w:rFonts w:hint="eastAsia" w:cs="Times New Roman"/>
          <w:szCs w:val="21"/>
        </w:rPr>
        <w:t>己二腈</w:t>
      </w:r>
      <w:r>
        <w:rPr>
          <w:rFonts w:cs="Times New Roman"/>
          <w:szCs w:val="21"/>
        </w:rPr>
        <w:t>，并副产纯度为99.0%</w:t>
      </w:r>
      <w:r>
        <w:rPr>
          <w:rFonts w:hint="eastAsia" w:cs="Times New Roman"/>
          <w:szCs w:val="21"/>
        </w:rPr>
        <w:t>的I</w:t>
      </w:r>
      <w:r>
        <w:rPr>
          <w:rFonts w:cs="Times New Roman"/>
          <w:szCs w:val="21"/>
        </w:rPr>
        <w:t>CCP</w:t>
      </w:r>
      <w:r>
        <w:rPr>
          <w:rFonts w:hint="eastAsia" w:cs="Times New Roman"/>
          <w:szCs w:val="21"/>
        </w:rPr>
        <w:t>。</w:t>
      </w:r>
    </w:p>
    <w:p>
      <w:pPr>
        <w:ind w:firstLine="480"/>
      </w:pPr>
      <w:r>
        <w:drawing>
          <wp:inline distT="0" distB="0" distL="0" distR="0">
            <wp:extent cx="5274310" cy="2306955"/>
            <wp:effectExtent l="0" t="0" r="2540" b="0"/>
            <wp:docPr id="724057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57874" name="图片 1"/>
                    <pic:cNvPicPr>
                      <a:picLocks noChangeAspect="1"/>
                    </pic:cNvPicPr>
                  </pic:nvPicPr>
                  <pic:blipFill>
                    <a:blip r:embed="rId15"/>
                    <a:stretch>
                      <a:fillRect/>
                    </a:stretch>
                  </pic:blipFill>
                  <pic:spPr>
                    <a:xfrm>
                      <a:off x="0" y="0"/>
                      <a:ext cx="5274310" cy="2306955"/>
                    </a:xfrm>
                    <a:prstGeom prst="rect">
                      <a:avLst/>
                    </a:prstGeom>
                  </pic:spPr>
                </pic:pic>
              </a:graphicData>
            </a:graphic>
          </wp:inline>
        </w:drawing>
      </w:r>
    </w:p>
    <w:p>
      <w:pPr>
        <w:ind w:firstLine="482"/>
        <w:jc w:val="center"/>
      </w:pPr>
      <w:r>
        <w:rPr>
          <w:rFonts w:hint="eastAsia"/>
          <w:b/>
          <w:bCs/>
          <w:szCs w:val="21"/>
        </w:rPr>
        <w:t>图</w:t>
      </w:r>
      <w:r>
        <w:rPr>
          <w:rFonts w:cs="Times New Roman"/>
          <w:b/>
          <w:bCs/>
          <w:szCs w:val="21"/>
        </w:rPr>
        <w:t>2-1</w:t>
      </w:r>
      <w:r>
        <w:rPr>
          <w:b/>
          <w:bCs/>
          <w:szCs w:val="21"/>
        </w:rPr>
        <w:t xml:space="preserve"> </w:t>
      </w:r>
      <w:r>
        <w:rPr>
          <w:rFonts w:hint="eastAsia"/>
          <w:b/>
          <w:bCs/>
          <w:szCs w:val="21"/>
        </w:rPr>
        <w:t>工艺流程图</w:t>
      </w:r>
    </w:p>
    <w:p>
      <w:pPr>
        <w:pStyle w:val="2"/>
      </w:pPr>
      <w:bookmarkStart w:id="38" w:name="_Toc16872177"/>
      <w:bookmarkStart w:id="39" w:name="_Toc29430"/>
      <w:bookmarkStart w:id="40" w:name="_Toc26621_WPSOffice_Level1"/>
      <w:bookmarkStart w:id="41" w:name="_Toc141633691"/>
      <w:bookmarkStart w:id="42" w:name="_Toc29659_WPSOffice_Level1"/>
      <w:bookmarkStart w:id="43" w:name="_Toc77705465"/>
      <w:bookmarkStart w:id="44" w:name="_Toc17849"/>
      <w:r>
        <w:rPr>
          <w:rFonts w:hint="eastAsia"/>
          <w:highlight w:val="lightGray"/>
        </w:rPr>
        <w:t>第三章</w:t>
      </w:r>
      <w:r>
        <w:rPr>
          <w:rFonts w:hint="eastAsia"/>
        </w:rPr>
        <w:t xml:space="preserve"> </w:t>
      </w:r>
      <w:r>
        <w:t>过程节能降耗技术创新</w:t>
      </w:r>
      <w:bookmarkEnd w:id="38"/>
      <w:bookmarkEnd w:id="39"/>
      <w:bookmarkEnd w:id="40"/>
      <w:bookmarkEnd w:id="41"/>
      <w:bookmarkEnd w:id="42"/>
      <w:bookmarkEnd w:id="43"/>
      <w:bookmarkEnd w:id="44"/>
    </w:p>
    <w:p>
      <w:pPr>
        <w:pStyle w:val="5"/>
        <w:ind w:firstLine="643"/>
        <w:rPr>
          <w:rFonts w:ascii="Times New Roman" w:hAnsi="Times New Roman" w:eastAsia="宋体" w:cs="Times New Roman"/>
          <w:b w:val="0"/>
          <w:bCs w:val="0"/>
        </w:rPr>
      </w:pPr>
      <w:bookmarkStart w:id="45" w:name="_Toc109887258"/>
      <w:bookmarkStart w:id="46" w:name="_Toc2346"/>
      <w:bookmarkStart w:id="47" w:name="_Toc5953"/>
      <w:bookmarkStart w:id="48" w:name="_Toc3154_WPSOffice_Level2"/>
      <w:bookmarkStart w:id="49" w:name="_Toc21151_WPSOffice_Level2"/>
      <w:bookmarkStart w:id="50" w:name="_Toc16872178"/>
      <w:bookmarkStart w:id="51" w:name="_Toc12827"/>
      <w:r>
        <w:rPr>
          <w:rFonts w:ascii="Times New Roman" w:hAnsi="Times New Roman" w:eastAsia="宋体" w:cs="Times New Roman"/>
        </w:rPr>
        <w:t>3.1 热集成</w:t>
      </w:r>
      <w:bookmarkEnd w:id="45"/>
      <w:bookmarkEnd w:id="46"/>
      <w:bookmarkEnd w:id="47"/>
      <w:bookmarkEnd w:id="48"/>
      <w:bookmarkEnd w:id="49"/>
      <w:bookmarkEnd w:id="50"/>
      <w:bookmarkEnd w:id="51"/>
    </w:p>
    <w:p>
      <w:pPr>
        <w:widowControl/>
        <w:spacing w:before="120" w:after="120"/>
        <w:ind w:firstLine="480"/>
        <w:rPr>
          <w:szCs w:val="24"/>
        </w:rPr>
      </w:pPr>
      <w:bookmarkStart w:id="52" w:name="_Toc10010_WPSOffice_Level2"/>
      <w:bookmarkStart w:id="53" w:name="_Toc5420"/>
      <w:bookmarkStart w:id="54" w:name="_Toc16267"/>
      <w:bookmarkStart w:id="55" w:name="_Toc21391_WPSOffice_Level2"/>
      <w:bookmarkStart w:id="56" w:name="_Toc16872179"/>
      <w:r>
        <w:rPr>
          <w:rFonts w:hint="eastAsia"/>
          <w:szCs w:val="24"/>
        </w:rPr>
        <w:t>最初的原始换热网络见图</w:t>
      </w:r>
      <w:r>
        <w:rPr>
          <w:szCs w:val="24"/>
        </w:rPr>
        <w:t>3-1</w:t>
      </w:r>
      <w:r>
        <w:rPr>
          <w:rFonts w:hint="eastAsia"/>
          <w:szCs w:val="24"/>
        </w:rPr>
        <w:t>：</w:t>
      </w:r>
    </w:p>
    <w:p>
      <w:pPr>
        <w:widowControl/>
        <w:spacing w:before="156" w:after="156"/>
        <w:ind w:firstLine="480"/>
        <w:rPr>
          <w:rFonts w:ascii="宋体" w:hAnsi="宋体" w:cs="宋体"/>
          <w:szCs w:val="24"/>
        </w:rPr>
      </w:pPr>
      <w:r>
        <w:rPr>
          <w:rFonts w:ascii="宋体" w:hAnsi="宋体" w:cs="宋体"/>
          <w:szCs w:val="24"/>
        </w:rPr>
        <w:drawing>
          <wp:inline distT="0" distB="0" distL="0" distR="0">
            <wp:extent cx="5274310" cy="2440940"/>
            <wp:effectExtent l="0" t="0" r="2540" b="0"/>
            <wp:docPr id="188105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978" name="图片 1"/>
                    <pic:cNvPicPr>
                      <a:picLocks noChangeAspect="1"/>
                    </pic:cNvPicPr>
                  </pic:nvPicPr>
                  <pic:blipFill>
                    <a:blip r:embed="rId16"/>
                    <a:stretch>
                      <a:fillRect/>
                    </a:stretch>
                  </pic:blipFill>
                  <pic:spPr>
                    <a:xfrm>
                      <a:off x="0" y="0"/>
                      <a:ext cx="5274310" cy="2440940"/>
                    </a:xfrm>
                    <a:prstGeom prst="rect">
                      <a:avLst/>
                    </a:prstGeom>
                  </pic:spPr>
                </pic:pic>
              </a:graphicData>
            </a:graphic>
          </wp:inline>
        </w:drawing>
      </w:r>
    </w:p>
    <w:p>
      <w:pPr>
        <w:spacing w:before="156" w:after="156" w:line="300" w:lineRule="auto"/>
        <w:ind w:firstLine="482"/>
        <w:jc w:val="center"/>
        <w:rPr>
          <w:b/>
          <w:bCs/>
          <w:szCs w:val="24"/>
        </w:rPr>
      </w:pPr>
      <w:r>
        <w:rPr>
          <w:rFonts w:hint="eastAsia"/>
          <w:b/>
          <w:bCs/>
          <w:szCs w:val="24"/>
        </w:rPr>
        <w:t>图</w:t>
      </w:r>
      <w:r>
        <w:rPr>
          <w:b/>
          <w:bCs/>
          <w:szCs w:val="24"/>
        </w:rPr>
        <w:t xml:space="preserve">3-1 </w:t>
      </w:r>
      <w:r>
        <w:rPr>
          <w:rFonts w:hint="eastAsia"/>
          <w:b/>
          <w:bCs/>
          <w:szCs w:val="24"/>
        </w:rPr>
        <w:t>原始换热网络图</w:t>
      </w:r>
    </w:p>
    <w:p>
      <w:pPr>
        <w:spacing w:before="156" w:after="156" w:line="300" w:lineRule="auto"/>
        <w:ind w:firstLine="480"/>
        <w:rPr>
          <w:bCs/>
          <w:szCs w:val="24"/>
        </w:rPr>
      </w:pPr>
      <w:r>
        <w:rPr>
          <w:rFonts w:hint="eastAsia"/>
          <w:bCs/>
          <w:szCs w:val="24"/>
        </w:rPr>
        <w:t>使用方案推荐生成</w:t>
      </w:r>
      <w:r>
        <w:rPr>
          <w:bCs/>
          <w:szCs w:val="24"/>
        </w:rPr>
        <w:t xml:space="preserve"> A_Design2 至 A_Design11 共十种方案， </w:t>
      </w:r>
      <w:r>
        <w:rPr>
          <w:rFonts w:hint="eastAsia"/>
          <w:bCs/>
          <w:szCs w:val="24"/>
        </w:rPr>
        <w:t>分析比较</w:t>
      </w:r>
      <w:r>
        <w:rPr>
          <w:bCs/>
          <w:szCs w:val="24"/>
        </w:rPr>
        <w:t>10种Design的Total Cost，综合考虑所需费用</w:t>
      </w:r>
      <w:r>
        <w:rPr>
          <w:rFonts w:hint="eastAsia"/>
          <w:bCs/>
          <w:szCs w:val="24"/>
        </w:rPr>
        <w:t>，</w:t>
      </w:r>
      <w:r>
        <w:rPr>
          <w:bCs/>
          <w:szCs w:val="24"/>
        </w:rPr>
        <w:t>换热面积，选用Design 8进行后续的优化过程。</w:t>
      </w:r>
    </w:p>
    <w:p>
      <w:pPr>
        <w:spacing w:before="156" w:after="156" w:line="300" w:lineRule="auto"/>
        <w:ind w:firstLine="480"/>
        <w:rPr>
          <w:bCs/>
          <w:szCs w:val="24"/>
        </w:rPr>
      </w:pPr>
      <w:r>
        <w:rPr>
          <w:rFonts w:hint="eastAsia"/>
          <w:bCs/>
          <w:szCs w:val="24"/>
        </w:rPr>
        <w:t>优化前的换热网络：</w:t>
      </w:r>
    </w:p>
    <w:p>
      <w:pPr>
        <w:widowControl/>
        <w:spacing w:before="156" w:after="156"/>
        <w:ind w:firstLine="480"/>
        <w:jc w:val="center"/>
        <w:rPr>
          <w:rFonts w:ascii="宋体" w:hAnsi="宋体" w:cs="宋体"/>
          <w:szCs w:val="24"/>
        </w:rPr>
      </w:pPr>
      <w:r>
        <w:rPr>
          <w:rFonts w:ascii="宋体" w:hAnsi="宋体" w:cs="宋体"/>
          <w:szCs w:val="24"/>
        </w:rPr>
        <w:drawing>
          <wp:inline distT="0" distB="0" distL="0" distR="0">
            <wp:extent cx="5274310" cy="2524125"/>
            <wp:effectExtent l="0" t="0" r="2540" b="9525"/>
            <wp:docPr id="122312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22701" name="图片 1"/>
                    <pic:cNvPicPr>
                      <a:picLocks noChangeAspect="1"/>
                    </pic:cNvPicPr>
                  </pic:nvPicPr>
                  <pic:blipFill>
                    <a:blip r:embed="rId17"/>
                    <a:stretch>
                      <a:fillRect/>
                    </a:stretch>
                  </pic:blipFill>
                  <pic:spPr>
                    <a:xfrm>
                      <a:off x="0" y="0"/>
                      <a:ext cx="5274310" cy="2524125"/>
                    </a:xfrm>
                    <a:prstGeom prst="rect">
                      <a:avLst/>
                    </a:prstGeom>
                  </pic:spPr>
                </pic:pic>
              </a:graphicData>
            </a:graphic>
          </wp:inline>
        </w:drawing>
      </w:r>
    </w:p>
    <w:p>
      <w:pPr>
        <w:widowControl/>
        <w:spacing w:before="156" w:after="156"/>
        <w:ind w:firstLine="482"/>
        <w:jc w:val="center"/>
        <w:rPr>
          <w:rFonts w:cs="宋体"/>
          <w:b/>
          <w:bCs/>
          <w:szCs w:val="21"/>
        </w:rPr>
      </w:pPr>
      <w:r>
        <w:rPr>
          <w:rFonts w:hint="eastAsia" w:cs="宋体"/>
          <w:b/>
          <w:bCs/>
          <w:szCs w:val="21"/>
        </w:rPr>
        <w:t>图</w:t>
      </w:r>
      <w:r>
        <w:rPr>
          <w:rFonts w:cs="宋体"/>
          <w:b/>
          <w:bCs/>
          <w:szCs w:val="21"/>
        </w:rPr>
        <w:t xml:space="preserve">3-2 </w:t>
      </w:r>
      <w:r>
        <w:rPr>
          <w:rFonts w:hint="eastAsia" w:cs="宋体"/>
          <w:b/>
          <w:bCs/>
          <w:szCs w:val="21"/>
        </w:rPr>
        <w:t>优化前的换热网络</w:t>
      </w:r>
    </w:p>
    <w:p>
      <w:pPr>
        <w:widowControl/>
        <w:spacing w:before="156" w:after="156"/>
        <w:ind w:firstLine="480"/>
        <w:rPr>
          <w:rFonts w:cs="宋体"/>
          <w:szCs w:val="24"/>
        </w:rPr>
      </w:pPr>
      <w:r>
        <w:rPr>
          <w:rFonts w:hint="eastAsia" w:cs="宋体"/>
          <w:szCs w:val="24"/>
        </w:rPr>
        <w:t>此换热网络中还存在</w:t>
      </w:r>
      <w:r>
        <w:rPr>
          <w:rFonts w:cs="宋体"/>
          <w:szCs w:val="24"/>
        </w:rPr>
        <w:t>loop回路</w:t>
      </w:r>
      <w:r>
        <w:rPr>
          <w:rFonts w:hint="eastAsia" w:cs="宋体"/>
          <w:szCs w:val="24"/>
        </w:rPr>
        <w:t>，因此需要删除loop回路。</w:t>
      </w:r>
    </w:p>
    <w:p>
      <w:pPr>
        <w:widowControl/>
        <w:spacing w:before="156" w:after="156"/>
        <w:ind w:firstLine="480"/>
        <w:rPr>
          <w:rFonts w:ascii="宋体" w:hAnsi="宋体" w:cs="宋体"/>
          <w:szCs w:val="24"/>
        </w:rPr>
      </w:pPr>
      <w:r>
        <w:rPr>
          <w:rFonts w:ascii="宋体" w:hAnsi="宋体" w:cs="宋体"/>
          <w:szCs w:val="24"/>
        </w:rPr>
        <w:drawing>
          <wp:inline distT="0" distB="0" distL="0" distR="0">
            <wp:extent cx="5274310" cy="2489200"/>
            <wp:effectExtent l="0" t="0" r="2540" b="6350"/>
            <wp:docPr id="998805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5667" name="图片 1"/>
                    <pic:cNvPicPr>
                      <a:picLocks noChangeAspect="1"/>
                    </pic:cNvPicPr>
                  </pic:nvPicPr>
                  <pic:blipFill>
                    <a:blip r:embed="rId18"/>
                    <a:stretch>
                      <a:fillRect/>
                    </a:stretch>
                  </pic:blipFill>
                  <pic:spPr>
                    <a:xfrm>
                      <a:off x="0" y="0"/>
                      <a:ext cx="5274310" cy="2489200"/>
                    </a:xfrm>
                    <a:prstGeom prst="rect">
                      <a:avLst/>
                    </a:prstGeom>
                  </pic:spPr>
                </pic:pic>
              </a:graphicData>
            </a:graphic>
          </wp:inline>
        </w:drawing>
      </w:r>
    </w:p>
    <w:p>
      <w:pPr>
        <w:widowControl/>
        <w:spacing w:before="156" w:after="156"/>
        <w:ind w:firstLine="0" w:firstLineChars="0"/>
        <w:rPr>
          <w:rFonts w:ascii="宋体" w:hAnsi="宋体" w:cs="宋体"/>
          <w:szCs w:val="24"/>
        </w:rPr>
      </w:pPr>
      <w:r>
        <w:rPr>
          <w:rFonts w:ascii="宋体" w:hAnsi="宋体" w:cs="宋体"/>
          <w:szCs w:val="24"/>
        </w:rPr>
        <w:drawing>
          <wp:inline distT="0" distB="0" distL="0" distR="0">
            <wp:extent cx="5274310" cy="2521585"/>
            <wp:effectExtent l="0" t="0" r="2540" b="0"/>
            <wp:docPr id="722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34" name="图片 1"/>
                    <pic:cNvPicPr>
                      <a:picLocks noChangeAspect="1"/>
                    </pic:cNvPicPr>
                  </pic:nvPicPr>
                  <pic:blipFill>
                    <a:blip r:embed="rId19"/>
                    <a:stretch>
                      <a:fillRect/>
                    </a:stretch>
                  </pic:blipFill>
                  <pic:spPr>
                    <a:xfrm>
                      <a:off x="0" y="0"/>
                      <a:ext cx="5274310" cy="2521585"/>
                    </a:xfrm>
                    <a:prstGeom prst="rect">
                      <a:avLst/>
                    </a:prstGeom>
                  </pic:spPr>
                </pic:pic>
              </a:graphicData>
            </a:graphic>
          </wp:inline>
        </w:drawing>
      </w:r>
      <w:r>
        <w:rPr>
          <w:rFonts w:ascii="宋体" w:hAnsi="宋体" w:cs="宋体"/>
          <w:szCs w:val="24"/>
        </w:rPr>
        <w:drawing>
          <wp:inline distT="0" distB="0" distL="0" distR="0">
            <wp:extent cx="5274310" cy="2503805"/>
            <wp:effectExtent l="0" t="0" r="2540" b="0"/>
            <wp:docPr id="1148392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2412" name="图片 1"/>
                    <pic:cNvPicPr>
                      <a:picLocks noChangeAspect="1"/>
                    </pic:cNvPicPr>
                  </pic:nvPicPr>
                  <pic:blipFill>
                    <a:blip r:embed="rId20"/>
                    <a:stretch>
                      <a:fillRect/>
                    </a:stretch>
                  </pic:blipFill>
                  <pic:spPr>
                    <a:xfrm>
                      <a:off x="0" y="0"/>
                      <a:ext cx="5274310" cy="2503805"/>
                    </a:xfrm>
                    <a:prstGeom prst="rect">
                      <a:avLst/>
                    </a:prstGeom>
                  </pic:spPr>
                </pic:pic>
              </a:graphicData>
            </a:graphic>
          </wp:inline>
        </w:drawing>
      </w:r>
    </w:p>
    <w:p>
      <w:pPr>
        <w:widowControl/>
        <w:spacing w:before="156" w:after="156"/>
        <w:ind w:firstLine="482"/>
        <w:jc w:val="center"/>
        <w:rPr>
          <w:rFonts w:cs="宋体"/>
          <w:b/>
          <w:bCs/>
          <w:szCs w:val="21"/>
        </w:rPr>
      </w:pPr>
      <w:r>
        <w:rPr>
          <w:rFonts w:hint="eastAsia" w:cs="宋体"/>
          <w:b/>
          <w:bCs/>
          <w:szCs w:val="21"/>
        </w:rPr>
        <w:t>图</w:t>
      </w:r>
      <w:r>
        <w:rPr>
          <w:rFonts w:cs="宋体"/>
          <w:b/>
          <w:bCs/>
          <w:szCs w:val="21"/>
        </w:rPr>
        <w:t xml:space="preserve">3-3 </w:t>
      </w:r>
      <w:r>
        <w:rPr>
          <w:rFonts w:hint="eastAsia" w:cs="宋体"/>
          <w:b/>
          <w:bCs/>
          <w:szCs w:val="21"/>
        </w:rPr>
        <w:t>loop回路</w:t>
      </w:r>
    </w:p>
    <w:p>
      <w:pPr>
        <w:widowControl/>
        <w:spacing w:before="156" w:after="156" w:line="300" w:lineRule="auto"/>
        <w:ind w:firstLine="480"/>
        <w:rPr>
          <w:rFonts w:cs="宋体"/>
          <w:szCs w:val="24"/>
        </w:rPr>
      </w:pPr>
      <w:r>
        <w:rPr>
          <w:rFonts w:hint="eastAsia" w:cs="宋体"/>
          <w:szCs w:val="24"/>
        </w:rPr>
        <w:t>在实际操作中，一般不能有</w:t>
      </w:r>
      <w:r>
        <w:rPr>
          <w:rFonts w:cs="宋体"/>
          <w:szCs w:val="24"/>
        </w:rPr>
        <w:t>loop回路的存在，故应该删去负荷或者换热面积较小的换热器，将其合并到其他换热器，打破回路，减少换热器数目。再通过path通路来调节换热量，使换热器的热负荷得到松弛，另外，相距较远的物流间换热会使管路成本增大，增加设备投资成本，且操作不稳定，此类换热器也需要删除。</w:t>
      </w:r>
    </w:p>
    <w:p>
      <w:pPr>
        <w:widowControl/>
        <w:spacing w:before="156" w:after="156" w:line="300" w:lineRule="auto"/>
        <w:ind w:firstLine="480"/>
        <w:rPr>
          <w:rFonts w:cs="宋体"/>
          <w:szCs w:val="24"/>
        </w:rPr>
      </w:pPr>
      <w:r>
        <w:rPr>
          <w:rFonts w:hint="eastAsia" w:cs="宋体"/>
          <w:szCs w:val="24"/>
        </w:rPr>
        <w:t>依照以上原则，经以下几步优化换热网络：</w:t>
      </w:r>
    </w:p>
    <w:p>
      <w:pPr>
        <w:widowControl/>
        <w:spacing w:before="156" w:after="156"/>
        <w:ind w:firstLine="480"/>
        <w:jc w:val="center"/>
        <w:rPr>
          <w:rFonts w:ascii="宋体" w:hAnsi="宋体" w:cs="宋体"/>
          <w:szCs w:val="24"/>
        </w:rPr>
      </w:pPr>
      <w:r>
        <w:rPr>
          <w:rFonts w:ascii="宋体" w:hAnsi="宋体" w:cs="宋体"/>
          <w:szCs w:val="24"/>
        </w:rPr>
        <w:drawing>
          <wp:inline distT="0" distB="0" distL="0" distR="0">
            <wp:extent cx="5274310" cy="2524125"/>
            <wp:effectExtent l="0" t="0" r="2540" b="9525"/>
            <wp:docPr id="213851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7145" name="图片 1"/>
                    <pic:cNvPicPr>
                      <a:picLocks noChangeAspect="1"/>
                    </pic:cNvPicPr>
                  </pic:nvPicPr>
                  <pic:blipFill>
                    <a:blip r:embed="rId21"/>
                    <a:stretch>
                      <a:fillRect/>
                    </a:stretch>
                  </pic:blipFill>
                  <pic:spPr>
                    <a:xfrm>
                      <a:off x="0" y="0"/>
                      <a:ext cx="5274310" cy="2524125"/>
                    </a:xfrm>
                    <a:prstGeom prst="rect">
                      <a:avLst/>
                    </a:prstGeom>
                  </pic:spPr>
                </pic:pic>
              </a:graphicData>
            </a:graphic>
          </wp:inline>
        </w:drawing>
      </w:r>
    </w:p>
    <w:p>
      <w:pPr>
        <w:widowControl/>
        <w:spacing w:before="156" w:after="156"/>
        <w:ind w:firstLine="482"/>
        <w:jc w:val="center"/>
        <w:rPr>
          <w:b/>
          <w:bCs/>
          <w:szCs w:val="21"/>
        </w:rPr>
      </w:pPr>
      <w:r>
        <w:rPr>
          <w:rFonts w:hint="eastAsia"/>
          <w:b/>
          <w:bCs/>
          <w:szCs w:val="21"/>
        </w:rPr>
        <w:t>图</w:t>
      </w:r>
      <w:r>
        <w:rPr>
          <w:b/>
          <w:bCs/>
          <w:szCs w:val="21"/>
        </w:rPr>
        <w:t xml:space="preserve">3-4 </w:t>
      </w:r>
      <w:r>
        <w:rPr>
          <w:rFonts w:hint="eastAsia"/>
          <w:b/>
          <w:bCs/>
          <w:szCs w:val="21"/>
        </w:rPr>
        <w:t>step</w:t>
      </w:r>
      <w:r>
        <w:rPr>
          <w:b/>
          <w:bCs/>
          <w:szCs w:val="21"/>
        </w:rPr>
        <w:t xml:space="preserve">_1 </w:t>
      </w:r>
      <w:r>
        <w:rPr>
          <w:rFonts w:hint="eastAsia"/>
          <w:b/>
          <w:bCs/>
          <w:szCs w:val="21"/>
        </w:rPr>
        <w:t>去除回路后的换热网络</w:t>
      </w:r>
    </w:p>
    <w:p>
      <w:pPr>
        <w:widowControl/>
        <w:spacing w:before="156" w:after="156"/>
        <w:ind w:firstLine="480"/>
        <w:rPr>
          <w:rFonts w:ascii="宋体" w:hAnsi="宋体" w:cs="宋体"/>
          <w:szCs w:val="24"/>
        </w:rPr>
      </w:pPr>
      <w:r>
        <w:rPr>
          <w:rFonts w:ascii="宋体" w:hAnsi="宋体" w:cs="宋体"/>
          <w:szCs w:val="24"/>
        </w:rPr>
        <w:drawing>
          <wp:inline distT="0" distB="0" distL="0" distR="0">
            <wp:extent cx="5274310" cy="2497455"/>
            <wp:effectExtent l="0" t="0" r="2540" b="0"/>
            <wp:docPr id="1382021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21283" name="图片 1"/>
                    <pic:cNvPicPr>
                      <a:picLocks noChangeAspect="1"/>
                    </pic:cNvPicPr>
                  </pic:nvPicPr>
                  <pic:blipFill>
                    <a:blip r:embed="rId22"/>
                    <a:stretch>
                      <a:fillRect/>
                    </a:stretch>
                  </pic:blipFill>
                  <pic:spPr>
                    <a:xfrm>
                      <a:off x="0" y="0"/>
                      <a:ext cx="5274310" cy="2497455"/>
                    </a:xfrm>
                    <a:prstGeom prst="rect">
                      <a:avLst/>
                    </a:prstGeom>
                  </pic:spPr>
                </pic:pic>
              </a:graphicData>
            </a:graphic>
          </wp:inline>
        </w:drawing>
      </w:r>
    </w:p>
    <w:p>
      <w:pPr>
        <w:widowControl/>
        <w:spacing w:before="156" w:after="156"/>
        <w:ind w:firstLine="482"/>
        <w:jc w:val="center"/>
        <w:rPr>
          <w:b/>
          <w:bCs/>
          <w:szCs w:val="21"/>
        </w:rPr>
      </w:pPr>
      <w:r>
        <w:rPr>
          <w:rFonts w:hint="eastAsia"/>
          <w:b/>
          <w:bCs/>
          <w:szCs w:val="21"/>
        </w:rPr>
        <w:t>图</w:t>
      </w:r>
      <w:r>
        <w:rPr>
          <w:b/>
          <w:bCs/>
          <w:szCs w:val="21"/>
        </w:rPr>
        <w:t xml:space="preserve">3-5 </w:t>
      </w:r>
      <w:r>
        <w:rPr>
          <w:rFonts w:hint="eastAsia"/>
          <w:b/>
          <w:bCs/>
          <w:szCs w:val="21"/>
        </w:rPr>
        <w:t>step</w:t>
      </w:r>
      <w:r>
        <w:rPr>
          <w:b/>
          <w:bCs/>
          <w:szCs w:val="21"/>
        </w:rPr>
        <w:t xml:space="preserve">_2 </w:t>
      </w:r>
      <w:r>
        <w:rPr>
          <w:rFonts w:hint="eastAsia"/>
          <w:b/>
          <w:bCs/>
          <w:szCs w:val="21"/>
        </w:rPr>
        <w:t>删除远距离换热后的换热网络</w:t>
      </w:r>
    </w:p>
    <w:p>
      <w:pPr>
        <w:widowControl/>
        <w:spacing w:before="156" w:after="156"/>
        <w:ind w:firstLine="480"/>
        <w:rPr>
          <w:rFonts w:ascii="宋体" w:hAnsi="宋体" w:cs="宋体"/>
          <w:szCs w:val="24"/>
        </w:rPr>
      </w:pPr>
      <w:r>
        <w:rPr>
          <w:rFonts w:ascii="宋体" w:hAnsi="宋体" w:cs="宋体"/>
          <w:szCs w:val="24"/>
        </w:rPr>
        <w:drawing>
          <wp:inline distT="0" distB="0" distL="0" distR="0">
            <wp:extent cx="5274310" cy="2523490"/>
            <wp:effectExtent l="0" t="0" r="2540" b="0"/>
            <wp:docPr id="109397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2557" name="图片 1"/>
                    <pic:cNvPicPr>
                      <a:picLocks noChangeAspect="1"/>
                    </pic:cNvPicPr>
                  </pic:nvPicPr>
                  <pic:blipFill>
                    <a:blip r:embed="rId23"/>
                    <a:stretch>
                      <a:fillRect/>
                    </a:stretch>
                  </pic:blipFill>
                  <pic:spPr>
                    <a:xfrm>
                      <a:off x="0" y="0"/>
                      <a:ext cx="5274310" cy="2523490"/>
                    </a:xfrm>
                    <a:prstGeom prst="rect">
                      <a:avLst/>
                    </a:prstGeom>
                  </pic:spPr>
                </pic:pic>
              </a:graphicData>
            </a:graphic>
          </wp:inline>
        </w:drawing>
      </w:r>
    </w:p>
    <w:p>
      <w:pPr>
        <w:widowControl/>
        <w:spacing w:before="156" w:after="156"/>
        <w:ind w:firstLine="482"/>
        <w:jc w:val="center"/>
        <w:rPr>
          <w:b/>
          <w:bCs/>
          <w:szCs w:val="21"/>
        </w:rPr>
      </w:pPr>
      <w:r>
        <w:rPr>
          <w:rFonts w:hint="eastAsia"/>
          <w:b/>
          <w:bCs/>
          <w:szCs w:val="21"/>
        </w:rPr>
        <w:t>图</w:t>
      </w:r>
      <w:r>
        <w:rPr>
          <w:b/>
          <w:bCs/>
          <w:szCs w:val="21"/>
        </w:rPr>
        <w:t xml:space="preserve">3-6 </w:t>
      </w:r>
      <w:r>
        <w:rPr>
          <w:rFonts w:hint="eastAsia"/>
          <w:b/>
          <w:bCs/>
          <w:szCs w:val="21"/>
        </w:rPr>
        <w:t>step</w:t>
      </w:r>
      <w:r>
        <w:rPr>
          <w:b/>
          <w:bCs/>
          <w:szCs w:val="21"/>
        </w:rPr>
        <w:t xml:space="preserve">_3 </w:t>
      </w:r>
      <w:r>
        <w:rPr>
          <w:rFonts w:hint="eastAsia"/>
          <w:b/>
          <w:bCs/>
          <w:szCs w:val="21"/>
        </w:rPr>
        <w:t>调整分率后的换热网络</w:t>
      </w:r>
    </w:p>
    <w:p>
      <w:pPr>
        <w:widowControl/>
        <w:spacing w:before="156" w:after="156" w:line="300" w:lineRule="auto"/>
        <w:ind w:firstLine="480"/>
        <w:rPr>
          <w:szCs w:val="24"/>
        </w:rPr>
      </w:pPr>
      <w:r>
        <w:rPr>
          <w:rFonts w:hint="eastAsia"/>
          <w:szCs w:val="24"/>
        </w:rPr>
        <w:t>综上，以节能综合经济效益为目标，经过以上五个步骤调整后，将换热网络优化为下图：</w:t>
      </w:r>
    </w:p>
    <w:p>
      <w:pPr>
        <w:widowControl/>
        <w:spacing w:before="156" w:after="156"/>
        <w:ind w:firstLine="480"/>
        <w:rPr>
          <w:rFonts w:ascii="宋体" w:hAnsi="宋体" w:cs="宋体"/>
          <w:szCs w:val="24"/>
        </w:rPr>
      </w:pPr>
      <w:r>
        <w:rPr>
          <w:rFonts w:ascii="宋体" w:hAnsi="宋体" w:cs="宋体"/>
          <w:szCs w:val="24"/>
        </w:rPr>
        <w:drawing>
          <wp:inline distT="0" distB="0" distL="0" distR="0">
            <wp:extent cx="5274310" cy="2518410"/>
            <wp:effectExtent l="0" t="0" r="2540" b="0"/>
            <wp:docPr id="1924893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3541" name="图片 1"/>
                    <pic:cNvPicPr>
                      <a:picLocks noChangeAspect="1"/>
                    </pic:cNvPicPr>
                  </pic:nvPicPr>
                  <pic:blipFill>
                    <a:blip r:embed="rId24"/>
                    <a:stretch>
                      <a:fillRect/>
                    </a:stretch>
                  </pic:blipFill>
                  <pic:spPr>
                    <a:xfrm>
                      <a:off x="0" y="0"/>
                      <a:ext cx="5274310" cy="2518410"/>
                    </a:xfrm>
                    <a:prstGeom prst="rect">
                      <a:avLst/>
                    </a:prstGeom>
                  </pic:spPr>
                </pic:pic>
              </a:graphicData>
            </a:graphic>
          </wp:inline>
        </w:drawing>
      </w:r>
    </w:p>
    <w:p>
      <w:pPr>
        <w:widowControl/>
        <w:spacing w:before="156" w:after="156"/>
        <w:ind w:firstLine="482"/>
        <w:jc w:val="center"/>
        <w:rPr>
          <w:b/>
          <w:bCs/>
          <w:szCs w:val="21"/>
        </w:rPr>
      </w:pPr>
      <w:r>
        <w:rPr>
          <w:rFonts w:hint="eastAsia"/>
          <w:b/>
          <w:bCs/>
          <w:szCs w:val="21"/>
        </w:rPr>
        <w:t>图</w:t>
      </w:r>
      <w:r>
        <w:rPr>
          <w:b/>
          <w:bCs/>
          <w:szCs w:val="21"/>
        </w:rPr>
        <w:t xml:space="preserve">3-7  </w:t>
      </w:r>
      <w:r>
        <w:rPr>
          <w:rFonts w:hint="eastAsia"/>
          <w:b/>
          <w:bCs/>
          <w:szCs w:val="21"/>
        </w:rPr>
        <w:t>优化后的换热网络</w:t>
      </w:r>
    </w:p>
    <w:p>
      <w:pPr>
        <w:widowControl/>
        <w:spacing w:before="156" w:after="156" w:line="300" w:lineRule="auto"/>
        <w:ind w:firstLine="480"/>
        <w:rPr>
          <w:szCs w:val="24"/>
        </w:rPr>
      </w:pPr>
      <w:r>
        <w:rPr>
          <w:rFonts w:hint="eastAsia"/>
          <w:szCs w:val="24"/>
        </w:rPr>
        <w:t>优化后的换热网络所需要的换热器数目为</w:t>
      </w:r>
      <w:r>
        <w:rPr>
          <w:szCs w:val="24"/>
        </w:rPr>
        <w:t>37台，包括3台热量回收利用换热器。</w:t>
      </w:r>
    </w:p>
    <w:p>
      <w:pPr>
        <w:widowControl/>
        <w:spacing w:before="120" w:after="120"/>
        <w:ind w:firstLine="480"/>
        <w:rPr>
          <w:szCs w:val="21"/>
        </w:rPr>
      </w:pPr>
    </w:p>
    <w:p>
      <w:pPr>
        <w:keepNext/>
        <w:keepLines/>
        <w:spacing w:before="260" w:after="260" w:line="416" w:lineRule="auto"/>
        <w:ind w:firstLine="643"/>
        <w:outlineLvl w:val="1"/>
        <w:rPr>
          <w:rFonts w:cs="Times New Roman"/>
          <w:b/>
          <w:bCs/>
          <w:sz w:val="32"/>
          <w:szCs w:val="32"/>
        </w:rPr>
      </w:pPr>
      <w:bookmarkStart w:id="57" w:name="_Toc141633692"/>
      <w:bookmarkStart w:id="58" w:name="_Toc29601"/>
      <w:bookmarkStart w:id="59" w:name="_Toc109887259"/>
      <w:r>
        <w:rPr>
          <w:rFonts w:cs="Times New Roman"/>
          <w:b/>
          <w:bCs/>
          <w:sz w:val="32"/>
          <w:szCs w:val="32"/>
        </w:rPr>
        <w:t>3</w:t>
      </w:r>
      <w:r>
        <w:rPr>
          <w:rFonts w:hint="eastAsia" w:cs="Times New Roman"/>
          <w:b/>
          <w:bCs/>
          <w:sz w:val="32"/>
          <w:szCs w:val="32"/>
        </w:rPr>
        <w:t>.</w:t>
      </w:r>
      <w:r>
        <w:rPr>
          <w:rFonts w:cs="Times New Roman"/>
          <w:b/>
          <w:bCs/>
          <w:sz w:val="32"/>
          <w:szCs w:val="32"/>
        </w:rPr>
        <w:t>2</w:t>
      </w:r>
      <w:r>
        <w:rPr>
          <w:rFonts w:hint="eastAsia" w:ascii="宋体" w:hAnsi="宋体" w:eastAsia="宋体" w:cs="Times New Roman"/>
          <w:b/>
          <w:bCs/>
          <w:sz w:val="32"/>
          <w:szCs w:val="32"/>
        </w:rPr>
        <w:t>热泵精馏</w:t>
      </w:r>
      <w:r>
        <w:rPr>
          <w:rFonts w:ascii="宋体" w:hAnsi="宋体" w:eastAsia="宋体" w:cs="Times New Roman"/>
          <w:b/>
          <w:bCs/>
          <w:sz w:val="32"/>
          <w:szCs w:val="32"/>
        </w:rPr>
        <w:t>技术</w:t>
      </w:r>
      <w:bookmarkEnd w:id="52"/>
      <w:bookmarkEnd w:id="53"/>
      <w:bookmarkEnd w:id="54"/>
      <w:bookmarkEnd w:id="55"/>
      <w:bookmarkEnd w:id="56"/>
      <w:bookmarkEnd w:id="57"/>
      <w:bookmarkEnd w:id="58"/>
      <w:bookmarkEnd w:id="59"/>
    </w:p>
    <w:p>
      <w:pPr>
        <w:spacing w:before="120" w:after="120" w:line="300" w:lineRule="auto"/>
        <w:ind w:firstLine="480"/>
        <w:rPr>
          <w:szCs w:val="24"/>
        </w:rPr>
      </w:pPr>
      <w:r>
        <w:rPr>
          <w:rFonts w:hint="eastAsia"/>
          <w:szCs w:val="24"/>
        </w:rPr>
        <w:t>在无热泵技术的情况下，组合曲线如图</w:t>
      </w:r>
      <w:r>
        <w:rPr>
          <w:szCs w:val="24"/>
        </w:rPr>
        <w:t>3-8所示:</w:t>
      </w:r>
    </w:p>
    <w:p>
      <w:pPr>
        <w:spacing w:before="120" w:after="120"/>
        <w:ind w:firstLine="480"/>
        <w:jc w:val="center"/>
        <w:rPr>
          <w:b/>
          <w:bCs/>
        </w:rPr>
      </w:pPr>
      <w:r>
        <w:rPr>
          <w:rFonts w:ascii="宋体" w:hAnsi="宋体" w:cs="宋体"/>
          <w:szCs w:val="24"/>
        </w:rPr>
        <w:drawing>
          <wp:inline distT="0" distB="0" distL="0" distR="0">
            <wp:extent cx="5274310" cy="1718945"/>
            <wp:effectExtent l="0" t="0" r="2540" b="0"/>
            <wp:docPr id="1596734914" name="图片 159673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4914" name="图片 1596734914"/>
                    <pic:cNvPicPr>
                      <a:picLocks noChangeAspect="1"/>
                    </pic:cNvPicPr>
                  </pic:nvPicPr>
                  <pic:blipFill>
                    <a:blip r:embed="rId25"/>
                    <a:stretch>
                      <a:fillRect/>
                    </a:stretch>
                  </pic:blipFill>
                  <pic:spPr>
                    <a:xfrm>
                      <a:off x="0" y="0"/>
                      <a:ext cx="5274310" cy="1718945"/>
                    </a:xfrm>
                    <a:prstGeom prst="rect">
                      <a:avLst/>
                    </a:prstGeom>
                  </pic:spPr>
                </pic:pic>
              </a:graphicData>
            </a:graphic>
          </wp:inline>
        </w:drawing>
      </w:r>
    </w:p>
    <w:p>
      <w:pPr>
        <w:spacing w:before="120" w:after="120"/>
        <w:ind w:firstLine="482"/>
        <w:jc w:val="center"/>
        <w:rPr>
          <w:b/>
          <w:bCs/>
        </w:rPr>
      </w:pPr>
      <w:r>
        <w:rPr>
          <w:rFonts w:hint="eastAsia"/>
          <w:b/>
          <w:bCs/>
        </w:rPr>
        <w:t>图</w:t>
      </w:r>
      <w:r>
        <w:rPr>
          <w:b/>
          <w:bCs/>
        </w:rPr>
        <w:t xml:space="preserve">3-8 </w:t>
      </w:r>
      <w:r>
        <w:rPr>
          <w:rFonts w:hint="eastAsia"/>
          <w:b/>
          <w:bCs/>
        </w:rPr>
        <w:t>组合曲线（不含热泵精馏）</w:t>
      </w:r>
    </w:p>
    <w:p>
      <w:pPr>
        <w:spacing w:before="120" w:after="120" w:line="300" w:lineRule="auto"/>
        <w:ind w:firstLine="480"/>
        <w:rPr>
          <w:szCs w:val="24"/>
        </w:rPr>
      </w:pPr>
      <w:r>
        <w:rPr>
          <w:rFonts w:hint="eastAsia"/>
          <w:szCs w:val="24"/>
        </w:rPr>
        <w:t>热流体温焓曲线在</w:t>
      </w:r>
      <w:r>
        <w:rPr>
          <w:szCs w:val="24"/>
        </w:rPr>
        <w:t>270℃的平台区（T0302冷凝器）温位略低于冷流体温焓曲线在320℃的平台区（T0302再沸器），T0302塔顶和塔底温差较小，且存在较大的相变热，故考虑采用热泵精馏以达到较好的节能效果。由组合曲线可知热平台能量较大但温差较小不足以达到最小传热温差，使过程中可供回收的热量很少，如果通过改变物质的汽化温度，使两平台“错开”，从而回收更多的能量。结合以上两点，采用热泵技术的技术进行能量的回收利用。通过热泵技术，将功转化成热能，提高流股的温位，使原本不能换热的流股可以进行换热，从而减少公用工程的</w:t>
      </w:r>
      <w:r>
        <w:rPr>
          <w:rFonts w:hint="eastAsia"/>
          <w:szCs w:val="24"/>
        </w:rPr>
        <w:t>用量。这样，消耗少量电能（用以做功）便可以节省大量的冷量与热量，从而节能。将精馏塔</w:t>
      </w:r>
      <w:r>
        <w:rPr>
          <w:szCs w:val="24"/>
        </w:rPr>
        <w:t>T0302的冷凝器取消，直接引出塔顶气相，通过压缩机加压，使得塔顶气相的温度提高一个等级，作为热源至塔釜再沸器换热，放出热量冷凝，再经节流阀减压降温，分流后，一部分液体回流至塔内进行再次分离，一部分经循环冷却水降温后进入</w:t>
      </w:r>
      <w:r>
        <w:rPr>
          <w:rFonts w:hint="eastAsia"/>
          <w:szCs w:val="24"/>
        </w:rPr>
        <w:t>下一精馏塔</w:t>
      </w:r>
      <w:r>
        <w:rPr>
          <w:szCs w:val="24"/>
        </w:rPr>
        <w:t>，塔釜则在换热过程中已经达到再沸负荷的要求，其结构如图3-9所示：</w:t>
      </w:r>
    </w:p>
    <w:p>
      <w:pPr>
        <w:widowControl/>
        <w:spacing w:before="120" w:after="120"/>
        <w:ind w:firstLine="480"/>
        <w:jc w:val="center"/>
        <w:rPr>
          <w:rFonts w:ascii="宋体" w:hAnsi="宋体" w:cs="宋体"/>
          <w:szCs w:val="24"/>
        </w:rPr>
      </w:pPr>
      <w:r>
        <w:rPr>
          <w:rFonts w:ascii="宋体" w:hAnsi="宋体" w:cs="宋体"/>
          <w:szCs w:val="24"/>
        </w:rPr>
        <w:drawing>
          <wp:inline distT="0" distB="0" distL="0" distR="0">
            <wp:extent cx="5274310" cy="4358640"/>
            <wp:effectExtent l="0" t="0" r="2540" b="3810"/>
            <wp:docPr id="196795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53937" name="图片 1"/>
                    <pic:cNvPicPr>
                      <a:picLocks noChangeAspect="1"/>
                    </pic:cNvPicPr>
                  </pic:nvPicPr>
                  <pic:blipFill>
                    <a:blip r:embed="rId26"/>
                    <a:stretch>
                      <a:fillRect/>
                    </a:stretch>
                  </pic:blipFill>
                  <pic:spPr>
                    <a:xfrm>
                      <a:off x="0" y="0"/>
                      <a:ext cx="5274310" cy="4358640"/>
                    </a:xfrm>
                    <a:prstGeom prst="rect">
                      <a:avLst/>
                    </a:prstGeom>
                  </pic:spPr>
                </pic:pic>
              </a:graphicData>
            </a:graphic>
          </wp:inline>
        </w:drawing>
      </w:r>
    </w:p>
    <w:p>
      <w:pPr>
        <w:spacing w:before="120" w:after="120"/>
        <w:ind w:firstLine="482"/>
        <w:jc w:val="center"/>
        <w:rPr>
          <w:b/>
          <w:bCs/>
        </w:rPr>
      </w:pPr>
      <w:r>
        <w:rPr>
          <w:rFonts w:hint="eastAsia"/>
          <w:b/>
          <w:bCs/>
        </w:rPr>
        <w:t>图</w:t>
      </w:r>
      <w:r>
        <w:rPr>
          <w:b/>
          <w:bCs/>
        </w:rPr>
        <w:t xml:space="preserve">3-9 </w:t>
      </w:r>
      <w:r>
        <w:rPr>
          <w:rFonts w:hint="eastAsia"/>
          <w:b/>
          <w:bCs/>
        </w:rPr>
        <w:t>热泵技术</w:t>
      </w:r>
      <w:r>
        <w:rPr>
          <w:b/>
          <w:bCs/>
        </w:rPr>
        <w:t>应用前后流程对比</w:t>
      </w:r>
    </w:p>
    <w:p>
      <w:pPr>
        <w:spacing w:before="120" w:after="120"/>
        <w:ind w:firstLine="482"/>
        <w:jc w:val="center"/>
        <w:rPr>
          <w:b/>
          <w:bCs/>
        </w:rPr>
      </w:pPr>
      <w:r>
        <w:rPr>
          <w:rFonts w:hint="eastAsia"/>
          <w:b/>
          <w:bCs/>
        </w:rPr>
        <w:t>表</w:t>
      </w:r>
      <w:r>
        <w:rPr>
          <w:b/>
          <w:bCs/>
        </w:rPr>
        <w:t xml:space="preserve">3-1  </w:t>
      </w:r>
      <w:r>
        <w:rPr>
          <w:rFonts w:hint="eastAsia"/>
          <w:b/>
          <w:bCs/>
        </w:rPr>
        <w:t>热泵技术</w:t>
      </w:r>
      <w:r>
        <w:rPr>
          <w:b/>
          <w:bCs/>
        </w:rPr>
        <w:t>应用前后能耗对比表</w:t>
      </w:r>
    </w:p>
    <w:tbl>
      <w:tblPr>
        <w:tblStyle w:val="24"/>
        <w:tblW w:w="8755"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3540"/>
        <w:gridCol w:w="2480"/>
        <w:gridCol w:w="2735"/>
      </w:tblGrid>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385" w:hRule="atLeast"/>
        </w:trPr>
        <w:tc>
          <w:tcPr>
            <w:tcW w:w="3540"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vAlign w:val="center"/>
          </w:tcPr>
          <w:p>
            <w:pPr>
              <w:widowControl/>
              <w:spacing w:before="120" w:after="120"/>
              <w:ind w:firstLine="482"/>
              <w:jc w:val="center"/>
              <w:rPr>
                <w:b/>
                <w:bCs/>
                <w:color w:val="FFFFFF" w:themeColor="background1"/>
                <w:szCs w:val="21"/>
                <w14:textFill>
                  <w14:solidFill>
                    <w14:schemeClr w14:val="bg1"/>
                  </w14:solidFill>
                </w14:textFill>
              </w:rPr>
            </w:pPr>
            <w:r>
              <w:rPr>
                <w:rFonts w:hint="eastAsia"/>
                <w:b/>
                <w:bCs/>
                <w:color w:val="FFFFFF"/>
                <w:kern w:val="24"/>
                <w:szCs w:val="21"/>
              </w:rPr>
              <w:t>项目</w:t>
            </w:r>
          </w:p>
        </w:tc>
        <w:tc>
          <w:tcPr>
            <w:tcW w:w="2480" w:type="dxa"/>
            <w:tcBorders>
              <w:top w:val="single" w:color="5B9BD5" w:themeColor="accent1" w:sz="4" w:space="0"/>
              <w:bottom w:val="single" w:color="5B9BD5" w:themeColor="accent1" w:sz="4" w:space="0"/>
              <w:right w:val="nil"/>
              <w:insideH w:val="single" w:sz="4" w:space="0"/>
              <w:insideV w:val="nil"/>
            </w:tcBorders>
            <w:shd w:val="clear" w:color="auto" w:fill="5B9BD5" w:themeFill="accent1"/>
            <w:vAlign w:val="center"/>
          </w:tcPr>
          <w:p>
            <w:pPr>
              <w:widowControl/>
              <w:spacing w:before="120" w:after="120"/>
              <w:ind w:firstLine="482"/>
              <w:jc w:val="center"/>
              <w:rPr>
                <w:b/>
                <w:bCs/>
                <w:color w:val="FFFFFF" w:themeColor="background1"/>
                <w:szCs w:val="21"/>
                <w14:textFill>
                  <w14:solidFill>
                    <w14:schemeClr w14:val="bg1"/>
                  </w14:solidFill>
                </w14:textFill>
              </w:rPr>
            </w:pPr>
            <w:r>
              <w:rPr>
                <w:rFonts w:hint="eastAsia"/>
                <w:b/>
                <w:bCs/>
                <w:color w:val="FFFFFF"/>
                <w:kern w:val="24"/>
                <w:szCs w:val="21"/>
              </w:rPr>
              <w:t>普通精馏</w:t>
            </w:r>
          </w:p>
        </w:tc>
        <w:tc>
          <w:tcPr>
            <w:tcW w:w="2735"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vAlign w:val="center"/>
          </w:tcPr>
          <w:p>
            <w:pPr>
              <w:widowControl/>
              <w:spacing w:before="120" w:after="120"/>
              <w:ind w:firstLine="482"/>
              <w:jc w:val="center"/>
              <w:rPr>
                <w:b/>
                <w:bCs/>
                <w:color w:val="FFFFFF" w:themeColor="background1"/>
                <w:szCs w:val="21"/>
                <w14:textFill>
                  <w14:solidFill>
                    <w14:schemeClr w14:val="bg1"/>
                  </w14:solidFill>
                </w14:textFill>
              </w:rPr>
            </w:pPr>
            <w:r>
              <w:rPr>
                <w:rFonts w:hint="eastAsia"/>
                <w:b/>
                <w:bCs/>
                <w:color w:val="FFFFFF"/>
                <w:kern w:val="24"/>
                <w:szCs w:val="21"/>
              </w:rPr>
              <w:t>热泵</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16" w:hRule="atLeast"/>
        </w:trPr>
        <w:tc>
          <w:tcPr>
            <w:tcW w:w="3540" w:type="dxa"/>
            <w:shd w:val="clear" w:color="auto" w:fill="DEEAF6" w:themeFill="accent1" w:themeFillTint="33"/>
            <w:vAlign w:val="center"/>
          </w:tcPr>
          <w:p>
            <w:pPr>
              <w:widowControl/>
              <w:spacing w:before="120" w:after="120"/>
              <w:ind w:firstLine="482"/>
              <w:jc w:val="center"/>
              <w:rPr>
                <w:b/>
                <w:bCs/>
                <w:color w:val="000000" w:themeColor="text1"/>
                <w:szCs w:val="21"/>
                <w14:textFill>
                  <w14:solidFill>
                    <w14:schemeClr w14:val="tx1"/>
                  </w14:solidFill>
                </w14:textFill>
              </w:rPr>
            </w:pPr>
            <w:r>
              <w:rPr>
                <w:rFonts w:hint="eastAsia"/>
                <w:b/>
                <w:bCs/>
                <w:color w:val="000000" w:themeColor="text1"/>
                <w:kern w:val="24"/>
                <w:szCs w:val="21"/>
                <w14:textFill>
                  <w14:solidFill>
                    <w14:schemeClr w14:val="tx1"/>
                  </w14:solidFill>
                </w14:textFill>
              </w:rPr>
              <w:t>热公用工程/kW</w:t>
            </w:r>
          </w:p>
        </w:tc>
        <w:tc>
          <w:tcPr>
            <w:tcW w:w="2480" w:type="dxa"/>
            <w:shd w:val="clear" w:color="auto" w:fill="DEEAF6" w:themeFill="accent1" w:themeFillTint="33"/>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19325.5</w:t>
            </w:r>
          </w:p>
        </w:tc>
        <w:tc>
          <w:tcPr>
            <w:tcW w:w="2735" w:type="dxa"/>
            <w:shd w:val="clear" w:color="auto" w:fill="DEEAF6" w:themeFill="accent1" w:themeFillTint="33"/>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4989.42</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16" w:hRule="atLeast"/>
        </w:trPr>
        <w:tc>
          <w:tcPr>
            <w:tcW w:w="3540" w:type="dxa"/>
            <w:vAlign w:val="center"/>
          </w:tcPr>
          <w:p>
            <w:pPr>
              <w:widowControl/>
              <w:spacing w:before="120" w:after="120"/>
              <w:ind w:firstLine="482"/>
              <w:jc w:val="center"/>
              <w:rPr>
                <w:b/>
                <w:bCs/>
                <w:color w:val="000000" w:themeColor="text1"/>
                <w:szCs w:val="21"/>
                <w14:textFill>
                  <w14:solidFill>
                    <w14:schemeClr w14:val="tx1"/>
                  </w14:solidFill>
                </w14:textFill>
              </w:rPr>
            </w:pPr>
            <w:r>
              <w:rPr>
                <w:rFonts w:hint="eastAsia"/>
                <w:b/>
                <w:bCs/>
                <w:color w:val="000000" w:themeColor="text1"/>
                <w:kern w:val="24"/>
                <w:szCs w:val="21"/>
                <w14:textFill>
                  <w14:solidFill>
                    <w14:schemeClr w14:val="tx1"/>
                  </w14:solidFill>
                </w14:textFill>
              </w:rPr>
              <w:t>冷公用工程/kW</w:t>
            </w:r>
          </w:p>
        </w:tc>
        <w:tc>
          <w:tcPr>
            <w:tcW w:w="2480" w:type="dxa"/>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17021.1</w:t>
            </w:r>
          </w:p>
        </w:tc>
        <w:tc>
          <w:tcPr>
            <w:tcW w:w="2735" w:type="dxa"/>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4316.8</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08" w:hRule="atLeast"/>
        </w:trPr>
        <w:tc>
          <w:tcPr>
            <w:tcW w:w="3540" w:type="dxa"/>
            <w:shd w:val="clear" w:color="auto" w:fill="DEEAF6" w:themeFill="accent1" w:themeFillTint="33"/>
            <w:vAlign w:val="center"/>
          </w:tcPr>
          <w:p>
            <w:pPr>
              <w:widowControl/>
              <w:spacing w:before="120" w:after="120"/>
              <w:ind w:firstLine="482"/>
              <w:jc w:val="center"/>
              <w:rPr>
                <w:b/>
                <w:bCs/>
                <w:color w:val="000000" w:themeColor="text1"/>
                <w:szCs w:val="21"/>
                <w14:textFill>
                  <w14:solidFill>
                    <w14:schemeClr w14:val="tx1"/>
                  </w14:solidFill>
                </w14:textFill>
              </w:rPr>
            </w:pPr>
            <w:r>
              <w:rPr>
                <w:rFonts w:hint="eastAsia"/>
                <w:b/>
                <w:bCs/>
                <w:color w:val="000000" w:themeColor="text1"/>
                <w:kern w:val="24"/>
                <w:szCs w:val="21"/>
                <w14:textFill>
                  <w14:solidFill>
                    <w14:schemeClr w14:val="tx1"/>
                  </w14:solidFill>
                </w14:textFill>
              </w:rPr>
              <w:t>泵能耗/kW</w:t>
            </w:r>
          </w:p>
        </w:tc>
        <w:tc>
          <w:tcPr>
            <w:tcW w:w="2480" w:type="dxa"/>
            <w:shd w:val="clear" w:color="auto" w:fill="DEEAF6" w:themeFill="accent1" w:themeFillTint="33"/>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0</w:t>
            </w:r>
          </w:p>
        </w:tc>
        <w:tc>
          <w:tcPr>
            <w:tcW w:w="2735" w:type="dxa"/>
            <w:shd w:val="clear" w:color="auto" w:fill="DEEAF6" w:themeFill="accent1" w:themeFillTint="33"/>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181.3 *2.56=</w:t>
            </w:r>
            <w:r>
              <w:t xml:space="preserve"> </w:t>
            </w:r>
            <w:r>
              <w:rPr>
                <w:rFonts w:cs="Times New Roman"/>
                <w:color w:val="000000" w:themeColor="text1"/>
                <w:kern w:val="24"/>
                <w:szCs w:val="21"/>
                <w14:textFill>
                  <w14:solidFill>
                    <w14:schemeClr w14:val="tx1"/>
                  </w14:solidFill>
                </w14:textFill>
              </w:rPr>
              <w:t>464.13</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27" w:hRule="atLeast"/>
        </w:trPr>
        <w:tc>
          <w:tcPr>
            <w:tcW w:w="3540" w:type="dxa"/>
            <w:vAlign w:val="center"/>
          </w:tcPr>
          <w:p>
            <w:pPr>
              <w:widowControl/>
              <w:spacing w:before="120" w:after="120"/>
              <w:ind w:firstLine="482"/>
              <w:jc w:val="center"/>
              <w:rPr>
                <w:b/>
                <w:bCs/>
                <w:color w:val="000000" w:themeColor="text1"/>
                <w:szCs w:val="21"/>
                <w14:textFill>
                  <w14:solidFill>
                    <w14:schemeClr w14:val="tx1"/>
                  </w14:solidFill>
                </w14:textFill>
              </w:rPr>
            </w:pPr>
            <w:r>
              <w:rPr>
                <w:rFonts w:hint="eastAsia"/>
                <w:b/>
                <w:bCs/>
                <w:color w:val="000000" w:themeColor="text1"/>
                <w:kern w:val="24"/>
                <w:szCs w:val="21"/>
                <w14:textFill>
                  <w14:solidFill>
                    <w14:schemeClr w14:val="tx1"/>
                  </w14:solidFill>
                </w14:textFill>
              </w:rPr>
              <w:t>总能耗/kW</w:t>
            </w:r>
          </w:p>
        </w:tc>
        <w:tc>
          <w:tcPr>
            <w:tcW w:w="2480" w:type="dxa"/>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36346.6</w:t>
            </w:r>
          </w:p>
        </w:tc>
        <w:tc>
          <w:tcPr>
            <w:tcW w:w="2735" w:type="dxa"/>
            <w:vAlign w:val="center"/>
          </w:tcPr>
          <w:p>
            <w:pPr>
              <w:widowControl/>
              <w:spacing w:before="120" w:after="120"/>
              <w:ind w:firstLine="480"/>
              <w:jc w:val="center"/>
              <w:rPr>
                <w:rFonts w:cs="Times New Roman"/>
                <w:color w:val="000000" w:themeColor="text1"/>
                <w:szCs w:val="21"/>
                <w14:textFill>
                  <w14:solidFill>
                    <w14:schemeClr w14:val="tx1"/>
                  </w14:solidFill>
                </w14:textFill>
              </w:rPr>
            </w:pPr>
            <w:r>
              <w:rPr>
                <w:rFonts w:cs="Times New Roman"/>
                <w:color w:val="000000" w:themeColor="text1"/>
                <w:kern w:val="24"/>
                <w:szCs w:val="21"/>
                <w14:textFill>
                  <w14:solidFill>
                    <w14:schemeClr w14:val="tx1"/>
                  </w14:solidFill>
                </w14:textFill>
              </w:rPr>
              <w:t>9770.35</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27" w:hRule="atLeast"/>
        </w:trPr>
        <w:tc>
          <w:tcPr>
            <w:tcW w:w="3540" w:type="dxa"/>
            <w:shd w:val="clear" w:color="auto" w:fill="DEEAF6" w:themeFill="accent1" w:themeFillTint="33"/>
            <w:vAlign w:val="center"/>
          </w:tcPr>
          <w:p>
            <w:pPr>
              <w:widowControl/>
              <w:spacing w:before="120" w:after="120"/>
              <w:ind w:firstLine="482"/>
              <w:jc w:val="center"/>
              <w:rPr>
                <w:b/>
                <w:bCs/>
                <w:color w:val="000000" w:themeColor="text1"/>
                <w:kern w:val="24"/>
                <w:szCs w:val="21"/>
                <w14:textFill>
                  <w14:solidFill>
                    <w14:schemeClr w14:val="tx1"/>
                  </w14:solidFill>
                </w14:textFill>
              </w:rPr>
            </w:pPr>
            <w:r>
              <w:rPr>
                <w:rFonts w:hint="eastAsia"/>
                <w:b/>
                <w:bCs/>
                <w:color w:val="000000" w:themeColor="text1"/>
                <w:kern w:val="24"/>
                <w:szCs w:val="21"/>
                <w14:textFill>
                  <w14:solidFill>
                    <w14:schemeClr w14:val="tx1"/>
                  </w14:solidFill>
                </w14:textFill>
              </w:rPr>
              <w:t>节省能耗（k</w:t>
            </w:r>
            <w:r>
              <w:rPr>
                <w:b/>
                <w:bCs/>
                <w:color w:val="000000" w:themeColor="text1"/>
                <w:kern w:val="24"/>
                <w:szCs w:val="21"/>
                <w14:textFill>
                  <w14:solidFill>
                    <w14:schemeClr w14:val="tx1"/>
                  </w14:solidFill>
                </w14:textFill>
              </w:rPr>
              <w:t>W</w:t>
            </w:r>
            <w:r>
              <w:rPr>
                <w:rFonts w:hint="eastAsia"/>
                <w:b/>
                <w:bCs/>
                <w:color w:val="000000" w:themeColor="text1"/>
                <w:kern w:val="24"/>
                <w:szCs w:val="21"/>
                <w14:textFill>
                  <w14:solidFill>
                    <w14:schemeClr w14:val="tx1"/>
                  </w14:solidFill>
                </w14:textFill>
              </w:rPr>
              <w:t>）</w:t>
            </w:r>
          </w:p>
        </w:tc>
        <w:tc>
          <w:tcPr>
            <w:tcW w:w="5215" w:type="dxa"/>
            <w:gridSpan w:val="2"/>
            <w:shd w:val="clear" w:color="auto" w:fill="DEEAF6" w:themeFill="accent1" w:themeFillTint="33"/>
            <w:vAlign w:val="center"/>
          </w:tcPr>
          <w:p>
            <w:pPr>
              <w:widowControl/>
              <w:spacing w:before="120" w:after="120"/>
              <w:ind w:firstLine="480"/>
              <w:jc w:val="center"/>
              <w:rPr>
                <w:rFonts w:cs="Times New Roman"/>
                <w:color w:val="000000" w:themeColor="text1"/>
                <w:kern w:val="24"/>
                <w:szCs w:val="21"/>
                <w14:textFill>
                  <w14:solidFill>
                    <w14:schemeClr w14:val="tx1"/>
                  </w14:solidFill>
                </w14:textFill>
              </w:rPr>
            </w:pPr>
            <w:r>
              <w:rPr>
                <w:rFonts w:cs="Times New Roman"/>
                <w:color w:val="000000" w:themeColor="text1"/>
                <w:kern w:val="24"/>
                <w:szCs w:val="21"/>
                <w14:textFill>
                  <w14:solidFill>
                    <w14:schemeClr w14:val="tx1"/>
                  </w14:solidFill>
                </w14:textFill>
              </w:rPr>
              <w:t>26576.25</w:t>
            </w:r>
          </w:p>
        </w:tc>
      </w:tr>
    </w:tbl>
    <w:p>
      <w:pPr>
        <w:spacing w:before="120" w:after="120" w:line="300" w:lineRule="auto"/>
        <w:ind w:firstLine="480"/>
        <w:rPr>
          <w:szCs w:val="24"/>
        </w:rPr>
      </w:pPr>
      <w:r>
        <w:rPr>
          <w:rFonts w:hint="eastAsia"/>
          <w:szCs w:val="24"/>
        </w:rPr>
        <w:t>从表</w:t>
      </w:r>
      <w:r>
        <w:rPr>
          <w:szCs w:val="24"/>
        </w:rPr>
        <w:t>3-1中可以看出，使用热泵精馏虽然将增加部分设备投资费用，但是同时也将大大节约能耗，综合考虑，使用热泵精馏技术可以使本流程更为经济节能。</w:t>
      </w:r>
    </w:p>
    <w:p>
      <w:pPr>
        <w:spacing w:before="120" w:after="120" w:line="300" w:lineRule="auto"/>
        <w:ind w:firstLine="480"/>
        <w:rPr>
          <w:szCs w:val="24"/>
        </w:rPr>
      </w:pPr>
      <w:r>
        <w:rPr>
          <w:rFonts w:hint="eastAsia"/>
          <w:szCs w:val="24"/>
        </w:rPr>
        <w:t>表中数据表明，热泵技术相比于无热泵技术的</w:t>
      </w:r>
      <w:r>
        <w:rPr>
          <w:szCs w:val="24"/>
        </w:rPr>
        <w:t>T0302精制塔减少能耗</w:t>
      </w:r>
      <w:r>
        <w:rPr>
          <w:rFonts w:cs="Times New Roman"/>
          <w:color w:val="000000" w:themeColor="text1"/>
          <w:kern w:val="24"/>
          <w:szCs w:val="21"/>
          <w14:textFill>
            <w14:solidFill>
              <w14:schemeClr w14:val="tx1"/>
            </w14:solidFill>
          </w14:textFill>
        </w:rPr>
        <w:t>26576.25</w:t>
      </w:r>
      <w:r>
        <w:rPr>
          <w:szCs w:val="24"/>
        </w:rPr>
        <w:t>kW</w:t>
      </w:r>
      <w:r>
        <w:rPr>
          <w:rFonts w:hint="eastAsia"/>
          <w:szCs w:val="24"/>
        </w:rPr>
        <w:t>，</w:t>
      </w:r>
      <w:r>
        <w:rPr>
          <w:szCs w:val="24"/>
        </w:rPr>
        <w:t>节省幅度达73.12%，可见利用热泵技术通过改变组合曲线的温位，改变</w:t>
      </w:r>
      <w:r>
        <w:rPr>
          <w:rFonts w:hint="eastAsia"/>
          <w:szCs w:val="24"/>
        </w:rPr>
        <w:t>组合曲线热平台，实现了更大程度的热回收，成功达到了节能的目的。</w:t>
      </w:r>
    </w:p>
    <w:p>
      <w:pPr>
        <w:spacing w:before="120" w:after="120" w:line="300" w:lineRule="auto"/>
        <w:ind w:firstLine="480"/>
        <w:rPr>
          <w:rFonts w:cs="Times New Roman"/>
          <w:szCs w:val="21"/>
        </w:rPr>
      </w:pPr>
      <w:r>
        <w:rPr>
          <w:rFonts w:hint="eastAsia" w:cs="Times New Roman"/>
          <w:szCs w:val="21"/>
        </w:rPr>
        <w:t>优化前后能耗对比见表</w:t>
      </w:r>
      <w:r>
        <w:rPr>
          <w:rFonts w:cs="Times New Roman"/>
          <w:szCs w:val="21"/>
        </w:rPr>
        <w:t>3-2</w:t>
      </w:r>
      <w:r>
        <w:rPr>
          <w:rFonts w:hint="eastAsia" w:cs="Times New Roman"/>
          <w:szCs w:val="21"/>
        </w:rPr>
        <w:t>：</w:t>
      </w:r>
    </w:p>
    <w:p>
      <w:pPr>
        <w:spacing w:before="120" w:after="120" w:line="300" w:lineRule="auto"/>
        <w:ind w:firstLine="482"/>
        <w:jc w:val="center"/>
        <w:rPr>
          <w:rFonts w:cs="Times New Roman"/>
          <w:b/>
          <w:bCs/>
        </w:rPr>
      </w:pPr>
      <w:r>
        <w:rPr>
          <w:rFonts w:cs="Times New Roman"/>
          <w:b/>
          <w:bCs/>
          <w:szCs w:val="21"/>
        </w:rPr>
        <w:t>表3-2</w:t>
      </w:r>
      <w:r>
        <w:rPr>
          <w:rFonts w:cs="Times New Roman"/>
          <w:b/>
          <w:bCs/>
        </w:rPr>
        <w:t>优化前后公用工程信息表</w:t>
      </w:r>
    </w:p>
    <w:tbl>
      <w:tblPr>
        <w:tblStyle w:val="30"/>
        <w:tblW w:w="0" w:type="auto"/>
        <w:jc w:val="cente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1037"/>
        <w:gridCol w:w="1368"/>
        <w:gridCol w:w="1758"/>
        <w:gridCol w:w="1801"/>
        <w:gridCol w:w="1843"/>
      </w:tblGrid>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397" w:hRule="atLeast"/>
          <w:jc w:val="center"/>
        </w:trPr>
        <w:tc>
          <w:tcPr>
            <w:tcW w:w="2405" w:type="dxa"/>
            <w:gridSpan w:val="2"/>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pPr>
              <w:spacing w:before="120" w:after="120"/>
              <w:ind w:firstLine="482"/>
              <w:jc w:val="center"/>
              <w:rPr>
                <w:rFonts w:cs="Times New Roman"/>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项目</w:t>
            </w:r>
          </w:p>
        </w:tc>
        <w:tc>
          <w:tcPr>
            <w:tcW w:w="1758"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pPr>
              <w:spacing w:before="120" w:after="120"/>
              <w:ind w:firstLine="482"/>
              <w:jc w:val="center"/>
              <w:rPr>
                <w:rFonts w:cs="Times New Roman"/>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原始工艺流股</w:t>
            </w:r>
          </w:p>
        </w:tc>
        <w:tc>
          <w:tcPr>
            <w:tcW w:w="1801"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pPr>
              <w:spacing w:before="120" w:after="120"/>
              <w:ind w:firstLine="482"/>
              <w:jc w:val="center"/>
              <w:rPr>
                <w:rFonts w:cs="Times New Roman"/>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改进工艺流股</w:t>
            </w:r>
          </w:p>
        </w:tc>
        <w:tc>
          <w:tcPr>
            <w:tcW w:w="1843"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pPr>
              <w:spacing w:before="120" w:after="120"/>
              <w:ind w:firstLine="482"/>
              <w:jc w:val="center"/>
              <w:rPr>
                <w:rFonts w:cs="Times New Roman"/>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换热网络优化</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397" w:hRule="atLeast"/>
          <w:jc w:val="center"/>
        </w:trPr>
        <w:tc>
          <w:tcPr>
            <w:tcW w:w="2405" w:type="dxa"/>
            <w:gridSpan w:val="2"/>
            <w:shd w:val="clear" w:color="auto" w:fill="D9E2F3"/>
          </w:tcPr>
          <w:p>
            <w:pPr>
              <w:spacing w:before="120" w:after="120"/>
              <w:ind w:firstLine="482"/>
              <w:jc w:val="center"/>
              <w:rPr>
                <w:rFonts w:cs="Times New Roman"/>
                <w:b/>
                <w:bCs/>
              </w:rPr>
            </w:pPr>
            <w:r>
              <w:rPr>
                <w:rFonts w:hint="eastAsia"/>
                <w:b/>
                <w:bCs/>
              </w:rPr>
              <w:t>热公用工程/kW</w:t>
            </w:r>
          </w:p>
        </w:tc>
        <w:tc>
          <w:tcPr>
            <w:tcW w:w="1758" w:type="dxa"/>
            <w:shd w:val="clear" w:color="auto" w:fill="D9E2F3"/>
          </w:tcPr>
          <w:p>
            <w:pPr>
              <w:spacing w:before="120" w:after="120"/>
              <w:ind w:firstLine="480"/>
              <w:jc w:val="center"/>
              <w:rPr>
                <w:rFonts w:cs="Times New Roman"/>
              </w:rPr>
            </w:pPr>
            <w:r>
              <w:rPr>
                <w:rFonts w:hint="eastAsia"/>
              </w:rPr>
              <w:t>5.84E+04</w:t>
            </w:r>
          </w:p>
        </w:tc>
        <w:tc>
          <w:tcPr>
            <w:tcW w:w="1801" w:type="dxa"/>
            <w:shd w:val="clear" w:color="auto" w:fill="D9E2F3"/>
          </w:tcPr>
          <w:p>
            <w:pPr>
              <w:widowControl/>
              <w:spacing w:before="120" w:after="120"/>
              <w:ind w:firstLine="480"/>
              <w:jc w:val="center"/>
              <w:rPr>
                <w:rFonts w:cs="Times New Roman"/>
                <w:color w:val="000000"/>
              </w:rPr>
            </w:pPr>
            <w:r>
              <w:rPr>
                <w:rFonts w:hint="eastAsia"/>
              </w:rPr>
              <w:t>4.40E+04</w:t>
            </w:r>
          </w:p>
        </w:tc>
        <w:tc>
          <w:tcPr>
            <w:tcW w:w="1843" w:type="dxa"/>
            <w:shd w:val="clear" w:color="auto" w:fill="D9E2F3"/>
          </w:tcPr>
          <w:p>
            <w:pPr>
              <w:spacing w:before="120" w:after="120"/>
              <w:ind w:firstLine="480"/>
              <w:jc w:val="center"/>
              <w:rPr>
                <w:rFonts w:cs="Times New Roman"/>
              </w:rPr>
            </w:pPr>
            <w:r>
              <w:rPr>
                <w:rFonts w:hint="eastAsia"/>
              </w:rPr>
              <w:t>4.07E+04</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397" w:hRule="atLeast"/>
          <w:jc w:val="center"/>
        </w:trPr>
        <w:tc>
          <w:tcPr>
            <w:tcW w:w="2405" w:type="dxa"/>
            <w:gridSpan w:val="2"/>
          </w:tcPr>
          <w:p>
            <w:pPr>
              <w:spacing w:before="120" w:after="120"/>
              <w:ind w:firstLine="482"/>
              <w:jc w:val="center"/>
              <w:rPr>
                <w:rFonts w:cs="Times New Roman"/>
                <w:b/>
                <w:bCs/>
              </w:rPr>
            </w:pPr>
            <w:r>
              <w:rPr>
                <w:rFonts w:hint="eastAsia"/>
                <w:b/>
                <w:bCs/>
              </w:rPr>
              <w:t>冷公用工程/kW</w:t>
            </w:r>
          </w:p>
        </w:tc>
        <w:tc>
          <w:tcPr>
            <w:tcW w:w="1758" w:type="dxa"/>
          </w:tcPr>
          <w:p>
            <w:pPr>
              <w:widowControl/>
              <w:spacing w:before="120" w:after="120"/>
              <w:ind w:firstLine="480"/>
              <w:jc w:val="center"/>
              <w:rPr>
                <w:rFonts w:cs="Times New Roman"/>
                <w:color w:val="000000"/>
              </w:rPr>
            </w:pPr>
            <w:r>
              <w:rPr>
                <w:rFonts w:hint="eastAsia"/>
              </w:rPr>
              <w:t>5.69E+04</w:t>
            </w:r>
          </w:p>
        </w:tc>
        <w:tc>
          <w:tcPr>
            <w:tcW w:w="1801" w:type="dxa"/>
          </w:tcPr>
          <w:p>
            <w:pPr>
              <w:spacing w:before="120" w:after="120"/>
              <w:ind w:firstLine="480"/>
              <w:jc w:val="center"/>
              <w:rPr>
                <w:rFonts w:cs="Times New Roman"/>
                <w:color w:val="000000"/>
              </w:rPr>
            </w:pPr>
            <w:r>
              <w:rPr>
                <w:rFonts w:hint="eastAsia"/>
              </w:rPr>
              <w:t>4.38E+04</w:t>
            </w:r>
          </w:p>
        </w:tc>
        <w:tc>
          <w:tcPr>
            <w:tcW w:w="1843" w:type="dxa"/>
          </w:tcPr>
          <w:p>
            <w:pPr>
              <w:spacing w:before="120" w:after="120"/>
              <w:ind w:firstLine="480"/>
              <w:jc w:val="center"/>
              <w:rPr>
                <w:rFonts w:cs="Times New Roman"/>
              </w:rPr>
            </w:pPr>
            <w:r>
              <w:rPr>
                <w:rFonts w:hint="eastAsia"/>
              </w:rPr>
              <w:t>4.05E+04</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Ex>
        <w:trPr>
          <w:trHeight w:val="287" w:hRule="atLeast"/>
          <w:jc w:val="center"/>
        </w:trPr>
        <w:tc>
          <w:tcPr>
            <w:tcW w:w="2405" w:type="dxa"/>
            <w:gridSpan w:val="2"/>
            <w:shd w:val="clear" w:color="auto" w:fill="D9E2F3"/>
          </w:tcPr>
          <w:p>
            <w:pPr>
              <w:spacing w:before="120" w:after="120"/>
              <w:ind w:firstLine="482"/>
              <w:jc w:val="center"/>
              <w:rPr>
                <w:rFonts w:cs="Times New Roman"/>
                <w:b/>
                <w:bCs/>
              </w:rPr>
            </w:pPr>
            <w:r>
              <w:rPr>
                <w:rFonts w:hint="eastAsia"/>
                <w:b/>
                <w:bCs/>
              </w:rPr>
              <w:t>合计/kW</w:t>
            </w:r>
          </w:p>
        </w:tc>
        <w:tc>
          <w:tcPr>
            <w:tcW w:w="1758" w:type="dxa"/>
            <w:shd w:val="clear" w:color="auto" w:fill="D9E2F3"/>
          </w:tcPr>
          <w:p>
            <w:pPr>
              <w:spacing w:before="120" w:after="120"/>
              <w:ind w:firstLine="480"/>
              <w:jc w:val="center"/>
              <w:rPr>
                <w:rFonts w:cs="Times New Roman"/>
              </w:rPr>
            </w:pPr>
            <w:r>
              <w:rPr>
                <w:rFonts w:hint="eastAsia"/>
              </w:rPr>
              <w:t>1.153E+05</w:t>
            </w:r>
          </w:p>
        </w:tc>
        <w:tc>
          <w:tcPr>
            <w:tcW w:w="1801" w:type="dxa"/>
            <w:shd w:val="clear" w:color="auto" w:fill="D9E2F3"/>
          </w:tcPr>
          <w:p>
            <w:pPr>
              <w:spacing w:before="120" w:after="120"/>
              <w:ind w:firstLine="480"/>
              <w:jc w:val="center"/>
              <w:rPr>
                <w:rFonts w:cs="Times New Roman"/>
              </w:rPr>
            </w:pPr>
            <w:r>
              <w:rPr>
                <w:rFonts w:hint="eastAsia"/>
              </w:rPr>
              <w:t>8.78E+04</w:t>
            </w:r>
          </w:p>
        </w:tc>
        <w:tc>
          <w:tcPr>
            <w:tcW w:w="1843" w:type="dxa"/>
            <w:shd w:val="clear" w:color="auto" w:fill="D9E2F3"/>
          </w:tcPr>
          <w:p>
            <w:pPr>
              <w:spacing w:before="120" w:after="120"/>
              <w:ind w:firstLine="480"/>
              <w:jc w:val="center"/>
              <w:rPr>
                <w:rFonts w:cs="Times New Roman"/>
              </w:rPr>
            </w:pPr>
            <w:r>
              <w:rPr>
                <w:rFonts w:hint="eastAsia"/>
              </w:rPr>
              <w:t>8.12E+04</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397" w:hRule="atLeast"/>
          <w:jc w:val="center"/>
        </w:trPr>
        <w:tc>
          <w:tcPr>
            <w:tcW w:w="1037" w:type="dxa"/>
            <w:vMerge w:val="restart"/>
          </w:tcPr>
          <w:p>
            <w:pPr>
              <w:spacing w:before="120" w:after="120"/>
              <w:ind w:firstLine="482"/>
              <w:jc w:val="center"/>
              <w:rPr>
                <w:rFonts w:cs="Times New Roman"/>
                <w:b w:val="0"/>
                <w:bCs w:val="0"/>
              </w:rPr>
            </w:pPr>
            <w:r>
              <w:rPr>
                <w:rFonts w:hint="eastAsia"/>
                <w:b/>
                <w:bCs/>
              </w:rPr>
              <w:t>能耗减少量/%</w:t>
            </w:r>
          </w:p>
          <w:p>
            <w:pPr>
              <w:spacing w:before="120" w:after="120"/>
              <w:ind w:firstLine="482"/>
              <w:jc w:val="center"/>
              <w:rPr>
                <w:rFonts w:cs="Times New Roman"/>
                <w:b/>
                <w:bCs/>
              </w:rPr>
            </w:pPr>
          </w:p>
        </w:tc>
        <w:tc>
          <w:tcPr>
            <w:tcW w:w="1368" w:type="dxa"/>
          </w:tcPr>
          <w:p>
            <w:pPr>
              <w:spacing w:before="120" w:after="120"/>
              <w:ind w:firstLine="480"/>
              <w:jc w:val="center"/>
              <w:rPr>
                <w:rFonts w:cs="Times New Roman"/>
              </w:rPr>
            </w:pPr>
            <w:r>
              <w:rPr>
                <w:rFonts w:hint="eastAsia"/>
              </w:rPr>
              <w:t>热公用工程</w:t>
            </w:r>
          </w:p>
        </w:tc>
        <w:tc>
          <w:tcPr>
            <w:tcW w:w="1758" w:type="dxa"/>
          </w:tcPr>
          <w:p>
            <w:pPr>
              <w:spacing w:before="120" w:after="120"/>
              <w:ind w:firstLine="480"/>
              <w:jc w:val="center"/>
              <w:rPr>
                <w:rFonts w:cs="Times New Roman"/>
              </w:rPr>
            </w:pPr>
            <w:r>
              <w:rPr>
                <w:rFonts w:hint="eastAsia"/>
              </w:rPr>
              <w:t>-</w:t>
            </w:r>
          </w:p>
        </w:tc>
        <w:tc>
          <w:tcPr>
            <w:tcW w:w="1801" w:type="dxa"/>
          </w:tcPr>
          <w:p>
            <w:pPr>
              <w:widowControl/>
              <w:spacing w:before="120" w:after="120"/>
              <w:ind w:firstLine="480"/>
              <w:jc w:val="center"/>
              <w:rPr>
                <w:rFonts w:cs="Times New Roman"/>
                <w:color w:val="000000"/>
              </w:rPr>
            </w:pPr>
            <w:r>
              <w:rPr>
                <w:rFonts w:hint="eastAsia"/>
              </w:rPr>
              <w:t>24.66%</w:t>
            </w:r>
          </w:p>
        </w:tc>
        <w:tc>
          <w:tcPr>
            <w:tcW w:w="1843" w:type="dxa"/>
          </w:tcPr>
          <w:p>
            <w:pPr>
              <w:spacing w:before="120" w:after="120"/>
              <w:ind w:firstLine="480"/>
              <w:jc w:val="center"/>
              <w:rPr>
                <w:rFonts w:cs="Times New Roman"/>
              </w:rPr>
            </w:pPr>
            <w:r>
              <w:rPr>
                <w:rFonts w:hint="eastAsia"/>
              </w:rPr>
              <w:t>30.31%</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287" w:hRule="atLeast"/>
          <w:jc w:val="center"/>
        </w:trPr>
        <w:tc>
          <w:tcPr>
            <w:tcW w:w="1037" w:type="dxa"/>
            <w:vMerge w:val="continue"/>
            <w:shd w:val="clear" w:color="auto" w:fill="D9E2F3"/>
          </w:tcPr>
          <w:p>
            <w:pPr>
              <w:spacing w:before="120" w:after="120"/>
              <w:ind w:firstLine="482"/>
              <w:jc w:val="center"/>
              <w:rPr>
                <w:rFonts w:cs="Times New Roman"/>
                <w:b/>
                <w:bCs/>
              </w:rPr>
            </w:pPr>
          </w:p>
        </w:tc>
        <w:tc>
          <w:tcPr>
            <w:tcW w:w="1368" w:type="dxa"/>
            <w:shd w:val="clear" w:color="auto" w:fill="D9E2F3"/>
          </w:tcPr>
          <w:p>
            <w:pPr>
              <w:spacing w:before="120" w:after="120"/>
              <w:ind w:firstLine="480"/>
              <w:jc w:val="center"/>
              <w:rPr>
                <w:rFonts w:cs="Times New Roman"/>
              </w:rPr>
            </w:pPr>
            <w:r>
              <w:rPr>
                <w:rFonts w:hint="eastAsia"/>
              </w:rPr>
              <w:t>冷公用工程</w:t>
            </w:r>
          </w:p>
        </w:tc>
        <w:tc>
          <w:tcPr>
            <w:tcW w:w="1758" w:type="dxa"/>
            <w:shd w:val="clear" w:color="auto" w:fill="D9E2F3"/>
          </w:tcPr>
          <w:p>
            <w:pPr>
              <w:spacing w:before="120" w:after="120"/>
              <w:ind w:firstLine="480"/>
              <w:jc w:val="center"/>
              <w:rPr>
                <w:rFonts w:cs="Times New Roman"/>
              </w:rPr>
            </w:pPr>
            <w:r>
              <w:rPr>
                <w:rFonts w:hint="eastAsia"/>
              </w:rPr>
              <w:t>-</w:t>
            </w:r>
          </w:p>
        </w:tc>
        <w:tc>
          <w:tcPr>
            <w:tcW w:w="1801" w:type="dxa"/>
            <w:shd w:val="clear" w:color="auto" w:fill="D9E2F3"/>
          </w:tcPr>
          <w:p>
            <w:pPr>
              <w:widowControl/>
              <w:spacing w:before="120" w:after="120"/>
              <w:ind w:firstLine="480"/>
              <w:jc w:val="center"/>
              <w:rPr>
                <w:rFonts w:cs="Times New Roman"/>
                <w:color w:val="000000"/>
              </w:rPr>
            </w:pPr>
            <w:r>
              <w:rPr>
                <w:rFonts w:hint="eastAsia"/>
              </w:rPr>
              <w:t>23.02%</w:t>
            </w:r>
          </w:p>
        </w:tc>
        <w:tc>
          <w:tcPr>
            <w:tcW w:w="1843" w:type="dxa"/>
            <w:shd w:val="clear" w:color="auto" w:fill="D9E2F3"/>
          </w:tcPr>
          <w:p>
            <w:pPr>
              <w:spacing w:before="120" w:after="120"/>
              <w:ind w:firstLine="480"/>
              <w:jc w:val="center"/>
              <w:rPr>
                <w:rFonts w:cs="Times New Roman"/>
                <w:color w:val="000000"/>
                <w:szCs w:val="21"/>
              </w:rPr>
            </w:pPr>
            <w:r>
              <w:rPr>
                <w:rFonts w:hint="eastAsia"/>
              </w:rPr>
              <w:t>28.82%</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Ex>
        <w:trPr>
          <w:trHeight w:val="287" w:hRule="atLeast"/>
          <w:jc w:val="center"/>
        </w:trPr>
        <w:tc>
          <w:tcPr>
            <w:tcW w:w="1037" w:type="dxa"/>
            <w:vMerge w:val="continue"/>
          </w:tcPr>
          <w:p>
            <w:pPr>
              <w:spacing w:before="120" w:after="120"/>
              <w:ind w:firstLine="482"/>
              <w:jc w:val="center"/>
              <w:rPr>
                <w:rFonts w:cs="Times New Roman"/>
                <w:b/>
                <w:bCs/>
              </w:rPr>
            </w:pPr>
          </w:p>
        </w:tc>
        <w:tc>
          <w:tcPr>
            <w:tcW w:w="1368" w:type="dxa"/>
          </w:tcPr>
          <w:p>
            <w:pPr>
              <w:spacing w:before="120" w:after="120"/>
              <w:ind w:firstLine="480"/>
              <w:jc w:val="center"/>
              <w:rPr>
                <w:rFonts w:cs="Times New Roman"/>
              </w:rPr>
            </w:pPr>
            <w:r>
              <w:rPr>
                <w:rFonts w:hint="eastAsia"/>
              </w:rPr>
              <w:t>合计</w:t>
            </w:r>
          </w:p>
        </w:tc>
        <w:tc>
          <w:tcPr>
            <w:tcW w:w="1758" w:type="dxa"/>
          </w:tcPr>
          <w:p>
            <w:pPr>
              <w:spacing w:before="120" w:after="120"/>
              <w:ind w:firstLine="480"/>
              <w:jc w:val="center"/>
              <w:rPr>
                <w:rFonts w:cs="Times New Roman"/>
              </w:rPr>
            </w:pPr>
            <w:r>
              <w:rPr>
                <w:rFonts w:hint="eastAsia"/>
              </w:rPr>
              <w:t>-</w:t>
            </w:r>
          </w:p>
        </w:tc>
        <w:tc>
          <w:tcPr>
            <w:tcW w:w="1801" w:type="dxa"/>
          </w:tcPr>
          <w:p>
            <w:pPr>
              <w:widowControl/>
              <w:spacing w:before="120" w:after="120"/>
              <w:ind w:firstLine="480"/>
              <w:jc w:val="center"/>
              <w:rPr>
                <w:rFonts w:cs="Times New Roman"/>
                <w:color w:val="000000"/>
              </w:rPr>
            </w:pPr>
            <w:r>
              <w:rPr>
                <w:rFonts w:hint="eastAsia"/>
              </w:rPr>
              <w:t>23.85%</w:t>
            </w:r>
          </w:p>
        </w:tc>
        <w:tc>
          <w:tcPr>
            <w:tcW w:w="1843" w:type="dxa"/>
          </w:tcPr>
          <w:p>
            <w:pPr>
              <w:spacing w:before="120" w:after="120"/>
              <w:ind w:firstLine="480"/>
              <w:jc w:val="center"/>
              <w:rPr>
                <w:rFonts w:cs="Times New Roman"/>
              </w:rPr>
            </w:pPr>
            <w:r>
              <w:rPr>
                <w:rFonts w:hint="eastAsia"/>
              </w:rPr>
              <w:t>29.58%</w:t>
            </w:r>
          </w:p>
        </w:tc>
      </w:tr>
    </w:tbl>
    <w:p>
      <w:pPr>
        <w:spacing w:before="120" w:after="120" w:line="300" w:lineRule="auto"/>
        <w:ind w:firstLine="480"/>
        <w:rPr>
          <w:rFonts w:cs="Times New Roman"/>
          <w:szCs w:val="21"/>
        </w:rPr>
      </w:pPr>
    </w:p>
    <w:p>
      <w:pPr>
        <w:ind w:firstLine="480"/>
      </w:pPr>
    </w:p>
    <w:p>
      <w:pPr>
        <w:pStyle w:val="2"/>
      </w:pPr>
      <w:bookmarkStart w:id="60" w:name="_Toc14444"/>
      <w:bookmarkStart w:id="61" w:name="_Toc141633693"/>
      <w:bookmarkStart w:id="62" w:name="_Toc77705469"/>
      <w:bookmarkStart w:id="63" w:name="_Toc22131_WPSOffice_Level1"/>
      <w:bookmarkStart w:id="64" w:name="_Toc5470_WPSOffice_Level1"/>
      <w:r>
        <w:rPr>
          <w:rFonts w:hint="eastAsia"/>
        </w:rPr>
        <w:t>第四章 环境保护创新</w:t>
      </w:r>
      <w:bookmarkEnd w:id="60"/>
      <w:bookmarkEnd w:id="61"/>
      <w:bookmarkEnd w:id="62"/>
      <w:bookmarkEnd w:id="63"/>
      <w:bookmarkEnd w:id="64"/>
    </w:p>
    <w:p>
      <w:pPr>
        <w:pStyle w:val="3"/>
        <w:ind w:firstLine="643"/>
      </w:pPr>
      <w:bookmarkStart w:id="65" w:name="_Toc141633694"/>
      <w:r>
        <w:t>4</w:t>
      </w:r>
      <w:r>
        <w:rPr>
          <w:rFonts w:hint="eastAsia"/>
        </w:rPr>
        <w:t>.1</w:t>
      </w:r>
      <w:r>
        <w:t>三废总量一览表</w:t>
      </w:r>
      <w:bookmarkEnd w:id="65"/>
    </w:p>
    <w:p>
      <w:pPr>
        <w:pStyle w:val="19"/>
        <w:spacing w:before="156" w:beforeLines="50" w:line="360" w:lineRule="auto"/>
        <w:rPr>
          <w:rFonts w:ascii="Times New Roman" w:hAnsi="Times New Roman"/>
        </w:rPr>
      </w:pPr>
      <w:bookmarkStart w:id="66" w:name="_Hlk44574587"/>
      <w:r>
        <w:rPr>
          <w:rFonts w:ascii="Times New Roman" w:hAnsi="Times New Roman"/>
        </w:rPr>
        <w:t>表</w:t>
      </w:r>
      <w:r>
        <w:rPr>
          <w:rFonts w:hint="eastAsia" w:ascii="Times New Roman" w:hAnsi="Times New Roman"/>
        </w:rPr>
        <w:t>5-1</w:t>
      </w:r>
      <w:r>
        <w:rPr>
          <w:rFonts w:ascii="Times New Roman" w:hAnsi="Times New Roman"/>
        </w:rPr>
        <w:t xml:space="preserve"> 三废总量</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4F81BD" w:sz="8" w:space="0"/>
              <w:left w:val="single" w:color="4F81BD" w:sz="8" w:space="0"/>
              <w:bottom w:val="single" w:color="FFFFFF" w:sz="18" w:space="0"/>
              <w:right w:val="single" w:color="4F81BD" w:sz="8" w:space="0"/>
            </w:tcBorders>
            <w:shd w:val="clear" w:color="auto" w:fill="4F81BD"/>
          </w:tcPr>
          <w:p>
            <w:pPr>
              <w:pStyle w:val="19"/>
              <w:spacing w:line="276" w:lineRule="auto"/>
              <w:rPr>
                <w:rFonts w:ascii="Times New Roman" w:hAnsi="Times New Roman"/>
                <w:color w:val="FFFFFF"/>
              </w:rPr>
            </w:pPr>
            <w:r>
              <w:rPr>
                <w:rFonts w:ascii="Times New Roman" w:hAnsi="Times New Roman"/>
                <w:color w:val="FFFFFF"/>
              </w:rPr>
              <w:t>三废名称</w:t>
            </w:r>
          </w:p>
        </w:tc>
        <w:tc>
          <w:tcPr>
            <w:tcW w:w="2130" w:type="dxa"/>
            <w:tcBorders>
              <w:top w:val="single" w:color="4F81BD" w:sz="8" w:space="0"/>
              <w:left w:val="single" w:color="4F81BD" w:sz="8" w:space="0"/>
              <w:bottom w:val="single" w:color="FFFFFF" w:sz="18" w:space="0"/>
              <w:right w:val="single" w:color="4F81BD" w:sz="8" w:space="0"/>
            </w:tcBorders>
            <w:shd w:val="clear" w:color="auto" w:fill="4F81BD"/>
          </w:tcPr>
          <w:p>
            <w:pPr>
              <w:pStyle w:val="19"/>
              <w:spacing w:line="276" w:lineRule="auto"/>
              <w:rPr>
                <w:rFonts w:ascii="Times New Roman" w:hAnsi="Times New Roman"/>
                <w:color w:val="FFFFFF"/>
              </w:rPr>
            </w:pPr>
            <w:r>
              <w:rPr>
                <w:rFonts w:ascii="Times New Roman" w:hAnsi="Times New Roman"/>
                <w:color w:val="FFFFFF"/>
              </w:rPr>
              <w:t>废水（t/a）</w:t>
            </w:r>
          </w:p>
        </w:tc>
        <w:tc>
          <w:tcPr>
            <w:tcW w:w="2131" w:type="dxa"/>
            <w:tcBorders>
              <w:top w:val="single" w:color="4F81BD" w:sz="8" w:space="0"/>
              <w:left w:val="single" w:color="4F81BD" w:sz="8" w:space="0"/>
              <w:bottom w:val="single" w:color="FFFFFF" w:sz="18" w:space="0"/>
              <w:right w:val="single" w:color="4F81BD" w:sz="8" w:space="0"/>
            </w:tcBorders>
            <w:shd w:val="clear" w:color="auto" w:fill="4F81BD"/>
          </w:tcPr>
          <w:p>
            <w:pPr>
              <w:pStyle w:val="19"/>
              <w:spacing w:line="276" w:lineRule="auto"/>
              <w:rPr>
                <w:rFonts w:ascii="Times New Roman" w:hAnsi="Times New Roman"/>
                <w:color w:val="FFFFFF"/>
              </w:rPr>
            </w:pPr>
            <w:r>
              <w:rPr>
                <w:rFonts w:ascii="Times New Roman" w:hAnsi="Times New Roman"/>
                <w:color w:val="FFFFFF"/>
              </w:rPr>
              <w:t>废气（m³/h）</w:t>
            </w:r>
          </w:p>
        </w:tc>
        <w:tc>
          <w:tcPr>
            <w:tcW w:w="2131" w:type="dxa"/>
            <w:tcBorders>
              <w:top w:val="single" w:color="4F81BD" w:sz="8" w:space="0"/>
              <w:left w:val="single" w:color="4F81BD" w:sz="8" w:space="0"/>
              <w:bottom w:val="single" w:color="FFFFFF" w:sz="18" w:space="0"/>
              <w:right w:val="single" w:color="4F81BD" w:sz="8" w:space="0"/>
            </w:tcBorders>
            <w:shd w:val="clear" w:color="auto" w:fill="4F81BD"/>
          </w:tcPr>
          <w:p>
            <w:pPr>
              <w:pStyle w:val="19"/>
              <w:spacing w:line="276" w:lineRule="auto"/>
              <w:rPr>
                <w:rFonts w:ascii="Times New Roman" w:hAnsi="Times New Roman"/>
                <w:color w:val="FFFFFF"/>
              </w:rPr>
            </w:pPr>
            <w:r>
              <w:rPr>
                <w:rFonts w:ascii="Times New Roman" w:hAnsi="Times New Roman"/>
                <w:color w:val="FFFFFF"/>
              </w:rPr>
              <w:t>废固（t/a）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FFFFFF" w:sz="18" w:space="0"/>
              <w:left w:val="single" w:color="4F81BD" w:sz="8" w:space="0"/>
              <w:bottom w:val="single" w:color="4F81BD" w:sz="8" w:space="0"/>
              <w:right w:val="single" w:color="4F81BD" w:sz="8" w:space="0"/>
            </w:tcBorders>
            <w:shd w:val="clear" w:color="auto" w:fill="B8CCE4"/>
          </w:tcPr>
          <w:p>
            <w:pPr>
              <w:pStyle w:val="19"/>
              <w:spacing w:line="276" w:lineRule="auto"/>
              <w:rPr>
                <w:rFonts w:ascii="Times New Roman" w:hAnsi="Times New Roman"/>
                <w:color w:val="000000"/>
              </w:rPr>
            </w:pPr>
            <w:r>
              <w:rPr>
                <w:rFonts w:ascii="Times New Roman" w:hAnsi="Times New Roman"/>
                <w:b w:val="0"/>
                <w:bCs/>
                <w:color w:val="000000"/>
              </w:rPr>
              <w:t>总量</w:t>
            </w:r>
          </w:p>
        </w:tc>
        <w:tc>
          <w:tcPr>
            <w:tcW w:w="2130" w:type="dxa"/>
            <w:tcBorders>
              <w:top w:val="single" w:color="FFFFFF" w:sz="18" w:space="0"/>
              <w:left w:val="single" w:color="4F81BD" w:sz="8" w:space="0"/>
              <w:bottom w:val="single" w:color="4F81BD" w:sz="8" w:space="0"/>
              <w:right w:val="single" w:color="4F81BD" w:sz="8" w:space="0"/>
            </w:tcBorders>
            <w:shd w:val="clear" w:color="auto" w:fill="B8CCE4"/>
          </w:tcPr>
          <w:p>
            <w:pPr>
              <w:widowControl/>
              <w:spacing w:line="240" w:lineRule="auto"/>
              <w:ind w:firstLine="0" w:firstLineChars="0"/>
              <w:jc w:val="center"/>
              <w:rPr>
                <w:rFonts w:eastAsia="宋体"/>
                <w:color w:val="000000"/>
                <w:kern w:val="0"/>
                <w:sz w:val="22"/>
              </w:rPr>
            </w:pPr>
            <w:r>
              <w:rPr>
                <w:rFonts w:hint="eastAsia"/>
                <w:color w:val="000000"/>
                <w:sz w:val="22"/>
              </w:rPr>
              <w:t>89242.4733</w:t>
            </w:r>
          </w:p>
        </w:tc>
        <w:tc>
          <w:tcPr>
            <w:tcW w:w="2131" w:type="dxa"/>
            <w:tcBorders>
              <w:top w:val="single" w:color="FFFFFF" w:sz="18" w:space="0"/>
              <w:left w:val="single" w:color="4F81BD" w:sz="8" w:space="0"/>
              <w:bottom w:val="single" w:color="4F81BD" w:sz="8" w:space="0"/>
              <w:right w:val="single" w:color="4F81BD" w:sz="8" w:space="0"/>
            </w:tcBorders>
            <w:shd w:val="clear" w:color="auto" w:fill="B8CCE4"/>
          </w:tcPr>
          <w:p>
            <w:pPr>
              <w:ind w:firstLine="0" w:firstLineChars="0"/>
              <w:jc w:val="center"/>
              <w:rPr>
                <w:rFonts w:cs="Times New Roman"/>
                <w:color w:val="000000"/>
                <w:sz w:val="21"/>
                <w:szCs w:val="21"/>
              </w:rPr>
            </w:pPr>
            <w:r>
              <w:rPr>
                <w:rFonts w:cs="Times New Roman"/>
                <w:color w:val="000000"/>
                <w:sz w:val="21"/>
                <w:szCs w:val="21"/>
              </w:rPr>
              <w:t>0</w:t>
            </w:r>
          </w:p>
        </w:tc>
        <w:tc>
          <w:tcPr>
            <w:tcW w:w="2131" w:type="dxa"/>
            <w:tcBorders>
              <w:top w:val="single" w:color="FFFFFF" w:sz="18" w:space="0"/>
              <w:left w:val="single" w:color="4F81BD" w:sz="8" w:space="0"/>
              <w:bottom w:val="single" w:color="4F81BD" w:sz="8" w:space="0"/>
              <w:right w:val="single" w:color="4F81BD" w:sz="8" w:space="0"/>
            </w:tcBorders>
            <w:shd w:val="clear" w:color="auto" w:fill="B8CCE4"/>
          </w:tcPr>
          <w:p>
            <w:pPr>
              <w:ind w:firstLine="0" w:firstLineChars="0"/>
              <w:jc w:val="center"/>
              <w:rPr>
                <w:rFonts w:cs="Times New Roman"/>
                <w:color w:val="000000"/>
                <w:sz w:val="21"/>
                <w:szCs w:val="21"/>
              </w:rPr>
            </w:pPr>
            <w:r>
              <w:rPr>
                <w:rFonts w:cs="Times New Roman"/>
                <w:color w:val="000000"/>
                <w:sz w:val="21"/>
                <w:szCs w:val="21"/>
              </w:rPr>
              <w:t>0</w:t>
            </w:r>
          </w:p>
        </w:tc>
      </w:tr>
      <w:bookmarkEnd w:id="66"/>
    </w:tbl>
    <w:p>
      <w:pPr>
        <w:pStyle w:val="3"/>
        <w:ind w:firstLine="643"/>
      </w:pPr>
      <w:bookmarkStart w:id="67" w:name="_Toc141633695"/>
      <w:bookmarkStart w:id="68" w:name="_Toc77430040"/>
      <w:bookmarkStart w:id="69" w:name="_Toc77705471"/>
      <w:r>
        <w:t>4.2 废水</w:t>
      </w:r>
      <w:bookmarkEnd w:id="67"/>
      <w:bookmarkEnd w:id="68"/>
      <w:bookmarkEnd w:id="69"/>
    </w:p>
    <w:p>
      <w:pPr>
        <w:ind w:firstLine="482"/>
        <w:rPr>
          <w:b/>
          <w:bCs/>
        </w:rPr>
      </w:pPr>
      <w:r>
        <w:rPr>
          <w:b/>
          <w:bCs/>
        </w:rPr>
        <w:t>1. 废水排放一览表</w:t>
      </w:r>
    </w:p>
    <w:p>
      <w:pPr>
        <w:pStyle w:val="19"/>
        <w:spacing w:before="156" w:beforeLines="50" w:line="360" w:lineRule="auto"/>
        <w:rPr>
          <w:rFonts w:ascii="Times New Roman" w:hAnsi="Times New Roman"/>
        </w:rPr>
      </w:pPr>
      <w:r>
        <w:rPr>
          <w:rFonts w:ascii="Times New Roman" w:hAnsi="Times New Roman"/>
        </w:rPr>
        <w:t>表4-2 废水排放一览表</w:t>
      </w:r>
    </w:p>
    <w:tbl>
      <w:tblPr>
        <w:tblStyle w:val="12"/>
        <w:tblW w:w="10778" w:type="dxa"/>
        <w:tblInd w:w="-1428" w:type="dxa"/>
        <w:tblLayout w:type="fixed"/>
        <w:tblCellMar>
          <w:top w:w="0" w:type="dxa"/>
          <w:left w:w="108" w:type="dxa"/>
          <w:bottom w:w="0" w:type="dxa"/>
          <w:right w:w="108" w:type="dxa"/>
        </w:tblCellMar>
      </w:tblPr>
      <w:tblGrid>
        <w:gridCol w:w="567"/>
        <w:gridCol w:w="993"/>
        <w:gridCol w:w="1276"/>
        <w:gridCol w:w="1134"/>
        <w:gridCol w:w="992"/>
        <w:gridCol w:w="992"/>
        <w:gridCol w:w="1133"/>
        <w:gridCol w:w="871"/>
        <w:gridCol w:w="1115"/>
        <w:gridCol w:w="1705"/>
      </w:tblGrid>
      <w:tr>
        <w:tblPrEx>
          <w:tblCellMar>
            <w:top w:w="0" w:type="dxa"/>
            <w:left w:w="108" w:type="dxa"/>
            <w:bottom w:w="0" w:type="dxa"/>
            <w:right w:w="108" w:type="dxa"/>
          </w:tblCellMar>
        </w:tblPrEx>
        <w:trPr>
          <w:trHeight w:val="320" w:hRule="atLeast"/>
        </w:trPr>
        <w:tc>
          <w:tcPr>
            <w:tcW w:w="567" w:type="dxa"/>
            <w:vMerge w:val="restart"/>
            <w:tcBorders>
              <w:top w:val="single" w:color="4F81BD" w:sz="8" w:space="0"/>
              <w:left w:val="single" w:color="4F81BD" w:sz="8" w:space="0"/>
              <w:bottom w:val="single" w:color="4F81BD" w:sz="8" w:space="0"/>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序号</w:t>
            </w:r>
          </w:p>
        </w:tc>
        <w:tc>
          <w:tcPr>
            <w:tcW w:w="993" w:type="dxa"/>
            <w:tcBorders>
              <w:top w:val="single" w:color="4F81BD" w:sz="8" w:space="0"/>
              <w:left w:val="nil"/>
              <w:bottom w:val="nil"/>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废水（液）</w:t>
            </w:r>
          </w:p>
        </w:tc>
        <w:tc>
          <w:tcPr>
            <w:tcW w:w="2410" w:type="dxa"/>
            <w:gridSpan w:val="2"/>
            <w:tcBorders>
              <w:top w:val="single" w:color="4F81BD" w:sz="8" w:space="0"/>
              <w:left w:val="nil"/>
              <w:bottom w:val="single" w:color="FFFFFF" w:sz="12" w:space="0"/>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组成及特性</w:t>
            </w:r>
          </w:p>
        </w:tc>
        <w:tc>
          <w:tcPr>
            <w:tcW w:w="3117" w:type="dxa"/>
            <w:gridSpan w:val="3"/>
            <w:tcBorders>
              <w:top w:val="single" w:color="4F81BD" w:sz="8" w:space="0"/>
              <w:left w:val="nil"/>
              <w:bottom w:val="single" w:color="FFFFFF" w:sz="12" w:space="0"/>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排放特性</w:t>
            </w:r>
          </w:p>
        </w:tc>
        <w:tc>
          <w:tcPr>
            <w:tcW w:w="871" w:type="dxa"/>
            <w:tcBorders>
              <w:top w:val="single" w:color="4F81BD" w:sz="8" w:space="0"/>
              <w:left w:val="nil"/>
              <w:bottom w:val="nil"/>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排放数量</w:t>
            </w:r>
          </w:p>
        </w:tc>
        <w:tc>
          <w:tcPr>
            <w:tcW w:w="1115" w:type="dxa"/>
            <w:vMerge w:val="restart"/>
            <w:tcBorders>
              <w:top w:val="single" w:color="4F81BD" w:sz="8" w:space="0"/>
              <w:left w:val="single" w:color="4F81BD" w:sz="8" w:space="0"/>
              <w:bottom w:val="single" w:color="4F81BD" w:sz="8" w:space="0"/>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排放地点</w:t>
            </w:r>
          </w:p>
        </w:tc>
        <w:tc>
          <w:tcPr>
            <w:tcW w:w="1705" w:type="dxa"/>
            <w:vMerge w:val="restart"/>
            <w:tcBorders>
              <w:top w:val="single" w:color="4F81BD" w:sz="8" w:space="0"/>
              <w:left w:val="single" w:color="4F81BD" w:sz="8" w:space="0"/>
              <w:bottom w:val="single" w:color="4F81BD" w:sz="8" w:space="0"/>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备注</w:t>
            </w:r>
          </w:p>
        </w:tc>
      </w:tr>
      <w:tr>
        <w:tblPrEx>
          <w:tblCellMar>
            <w:top w:w="0" w:type="dxa"/>
            <w:left w:w="108" w:type="dxa"/>
            <w:bottom w:w="0" w:type="dxa"/>
            <w:right w:w="108" w:type="dxa"/>
          </w:tblCellMar>
        </w:tblPrEx>
        <w:trPr>
          <w:trHeight w:val="570" w:hRule="atLeast"/>
        </w:trPr>
        <w:tc>
          <w:tcPr>
            <w:tcW w:w="567" w:type="dxa"/>
            <w:vMerge w:val="continue"/>
            <w:tcBorders>
              <w:top w:val="single" w:color="4F81BD" w:sz="8" w:space="0"/>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b/>
                <w:bCs/>
                <w:color w:val="FFFFFF"/>
                <w:kern w:val="0"/>
                <w:sz w:val="21"/>
                <w:szCs w:val="21"/>
              </w:rPr>
            </w:pPr>
          </w:p>
        </w:tc>
        <w:tc>
          <w:tcPr>
            <w:tcW w:w="993" w:type="dxa"/>
            <w:tcBorders>
              <w:top w:val="nil"/>
              <w:left w:val="nil"/>
              <w:bottom w:val="single" w:color="4F81BD" w:sz="8" w:space="0"/>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名称</w:t>
            </w:r>
          </w:p>
        </w:tc>
        <w:tc>
          <w:tcPr>
            <w:tcW w:w="1276"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ascii="仿宋" w:hAnsi="仿宋"/>
                <w:b/>
                <w:bCs/>
                <w:color w:val="000000"/>
                <w:kern w:val="0"/>
                <w:sz w:val="21"/>
                <w:szCs w:val="21"/>
              </w:rPr>
            </w:pPr>
            <w:r>
              <w:rPr>
                <w:rFonts w:hint="eastAsia" w:ascii="仿宋" w:hAnsi="仿宋"/>
                <w:b/>
                <w:bCs/>
                <w:color w:val="000000"/>
                <w:kern w:val="0"/>
                <w:sz w:val="21"/>
                <w:szCs w:val="21"/>
              </w:rPr>
              <w:t>名称</w:t>
            </w:r>
          </w:p>
        </w:tc>
        <w:tc>
          <w:tcPr>
            <w:tcW w:w="1134"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ascii="仿宋" w:hAnsi="仿宋"/>
                <w:b/>
                <w:bCs/>
                <w:color w:val="000000"/>
                <w:kern w:val="0"/>
                <w:sz w:val="21"/>
                <w:szCs w:val="21"/>
              </w:rPr>
            </w:pPr>
            <w:r>
              <w:rPr>
                <w:rFonts w:hint="eastAsia" w:ascii="仿宋" w:hAnsi="仿宋"/>
                <w:b/>
                <w:bCs/>
                <w:color w:val="000000"/>
                <w:kern w:val="0"/>
                <w:sz w:val="21"/>
                <w:szCs w:val="21"/>
              </w:rPr>
              <w:t>质量分数</w:t>
            </w:r>
          </w:p>
        </w:tc>
        <w:tc>
          <w:tcPr>
            <w:tcW w:w="992"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ascii="仿宋" w:hAnsi="仿宋"/>
                <w:b/>
                <w:bCs/>
                <w:color w:val="000000"/>
                <w:kern w:val="0"/>
                <w:sz w:val="21"/>
                <w:szCs w:val="21"/>
              </w:rPr>
            </w:pPr>
            <w:r>
              <w:rPr>
                <w:rFonts w:hint="eastAsia" w:ascii="仿宋" w:hAnsi="仿宋"/>
                <w:b/>
                <w:bCs/>
                <w:color w:val="000000"/>
                <w:kern w:val="0"/>
                <w:sz w:val="21"/>
                <w:szCs w:val="21"/>
              </w:rPr>
              <w:t>温度</w:t>
            </w:r>
            <w:r>
              <w:rPr>
                <w:rFonts w:cs="Times New Roman"/>
                <w:b/>
                <w:bCs/>
                <w:color w:val="000000"/>
                <w:kern w:val="0"/>
                <w:sz w:val="21"/>
                <w:szCs w:val="21"/>
              </w:rPr>
              <w:t>℃</w:t>
            </w:r>
          </w:p>
        </w:tc>
        <w:tc>
          <w:tcPr>
            <w:tcW w:w="992"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ascii="仿宋" w:hAnsi="仿宋"/>
                <w:b/>
                <w:bCs/>
                <w:color w:val="000000"/>
                <w:kern w:val="0"/>
                <w:sz w:val="21"/>
                <w:szCs w:val="21"/>
              </w:rPr>
            </w:pPr>
            <w:r>
              <w:rPr>
                <w:rFonts w:hint="eastAsia" w:ascii="仿宋" w:hAnsi="仿宋"/>
                <w:b/>
                <w:bCs/>
                <w:color w:val="000000"/>
                <w:kern w:val="0"/>
                <w:sz w:val="21"/>
                <w:szCs w:val="21"/>
              </w:rPr>
              <w:t>压力（</w:t>
            </w:r>
            <w:r>
              <w:rPr>
                <w:rFonts w:cs="Times New Roman"/>
                <w:b/>
                <w:bCs/>
                <w:color w:val="000000"/>
                <w:kern w:val="0"/>
                <w:sz w:val="21"/>
                <w:szCs w:val="21"/>
              </w:rPr>
              <w:t>kPa</w:t>
            </w:r>
            <w:r>
              <w:rPr>
                <w:rFonts w:hint="eastAsia" w:ascii="仿宋" w:hAnsi="仿宋"/>
                <w:b/>
                <w:bCs/>
                <w:color w:val="000000"/>
                <w:kern w:val="0"/>
                <w:sz w:val="21"/>
                <w:szCs w:val="21"/>
              </w:rPr>
              <w:t>）</w:t>
            </w:r>
          </w:p>
        </w:tc>
        <w:tc>
          <w:tcPr>
            <w:tcW w:w="1133"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ascii="仿宋" w:hAnsi="仿宋"/>
                <w:b/>
                <w:bCs/>
                <w:color w:val="000000"/>
                <w:kern w:val="0"/>
                <w:sz w:val="21"/>
                <w:szCs w:val="21"/>
              </w:rPr>
            </w:pPr>
            <w:r>
              <w:rPr>
                <w:rFonts w:hint="eastAsia" w:ascii="仿宋" w:hAnsi="仿宋"/>
                <w:b/>
                <w:bCs/>
                <w:color w:val="000000"/>
                <w:kern w:val="0"/>
                <w:sz w:val="21"/>
                <w:szCs w:val="21"/>
              </w:rPr>
              <w:t>排放规律</w:t>
            </w:r>
          </w:p>
        </w:tc>
        <w:tc>
          <w:tcPr>
            <w:tcW w:w="871" w:type="dxa"/>
            <w:tcBorders>
              <w:top w:val="nil"/>
              <w:left w:val="nil"/>
              <w:bottom w:val="single" w:color="4F81BD" w:sz="8" w:space="0"/>
              <w:right w:val="single" w:color="4F81BD" w:sz="8" w:space="0"/>
            </w:tcBorders>
            <w:shd w:val="clear" w:color="000000" w:fill="4F81BD"/>
            <w:vAlign w:val="center"/>
          </w:tcPr>
          <w:p>
            <w:pPr>
              <w:widowControl/>
              <w:spacing w:line="240" w:lineRule="auto"/>
              <w:ind w:firstLine="0" w:firstLineChars="0"/>
              <w:jc w:val="center"/>
              <w:rPr>
                <w:rFonts w:ascii="仿宋" w:hAnsi="仿宋"/>
                <w:b/>
                <w:bCs/>
                <w:color w:val="FFFFFF"/>
                <w:kern w:val="0"/>
                <w:sz w:val="21"/>
                <w:szCs w:val="21"/>
              </w:rPr>
            </w:pPr>
            <w:r>
              <w:rPr>
                <w:rFonts w:hint="eastAsia" w:ascii="仿宋" w:hAnsi="仿宋"/>
                <w:b/>
                <w:bCs/>
                <w:color w:val="FFFFFF"/>
                <w:kern w:val="0"/>
                <w:sz w:val="21"/>
                <w:szCs w:val="21"/>
              </w:rPr>
              <w:t>（</w:t>
            </w:r>
            <w:r>
              <w:rPr>
                <w:rFonts w:cs="Times New Roman"/>
                <w:b/>
                <w:bCs/>
                <w:color w:val="FFFFFF"/>
                <w:kern w:val="0"/>
                <w:sz w:val="21"/>
                <w:szCs w:val="21"/>
              </w:rPr>
              <w:t>t/a</w:t>
            </w:r>
            <w:r>
              <w:rPr>
                <w:rFonts w:hint="eastAsia" w:ascii="仿宋" w:hAnsi="仿宋"/>
                <w:b/>
                <w:bCs/>
                <w:color w:val="FFFFFF"/>
                <w:kern w:val="0"/>
                <w:sz w:val="21"/>
                <w:szCs w:val="21"/>
              </w:rPr>
              <w:t>）</w:t>
            </w:r>
          </w:p>
        </w:tc>
        <w:tc>
          <w:tcPr>
            <w:tcW w:w="1115" w:type="dxa"/>
            <w:vMerge w:val="continue"/>
            <w:tcBorders>
              <w:top w:val="single" w:color="4F81BD" w:sz="8" w:space="0"/>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b/>
                <w:bCs/>
                <w:color w:val="FFFFFF"/>
                <w:kern w:val="0"/>
                <w:sz w:val="21"/>
                <w:szCs w:val="21"/>
              </w:rPr>
            </w:pPr>
          </w:p>
        </w:tc>
        <w:tc>
          <w:tcPr>
            <w:tcW w:w="1705" w:type="dxa"/>
            <w:vMerge w:val="continue"/>
            <w:tcBorders>
              <w:top w:val="single" w:color="4F81BD" w:sz="8" w:space="0"/>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b/>
                <w:bCs/>
                <w:color w:val="FFFFFF"/>
                <w:kern w:val="0"/>
                <w:sz w:val="21"/>
                <w:szCs w:val="21"/>
              </w:rPr>
            </w:pPr>
          </w:p>
        </w:tc>
      </w:tr>
      <w:tr>
        <w:tblPrEx>
          <w:tblCellMar>
            <w:top w:w="0" w:type="dxa"/>
            <w:left w:w="108" w:type="dxa"/>
            <w:bottom w:w="0" w:type="dxa"/>
            <w:right w:w="108" w:type="dxa"/>
          </w:tblCellMar>
        </w:tblPrEx>
        <w:trPr>
          <w:trHeight w:val="320" w:hRule="atLeast"/>
        </w:trPr>
        <w:tc>
          <w:tcPr>
            <w:tcW w:w="567" w:type="dxa"/>
            <w:vMerge w:val="restart"/>
            <w:tcBorders>
              <w:top w:val="nil"/>
              <w:left w:val="single" w:color="4F81BD" w:sz="8" w:space="0"/>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eastAsia="宋体" w:cs="Times New Roman"/>
                <w:color w:val="000000"/>
                <w:kern w:val="0"/>
                <w:sz w:val="21"/>
                <w:szCs w:val="21"/>
              </w:rPr>
            </w:pPr>
            <w:bookmarkStart w:id="70" w:name="RANGE!A28"/>
            <w:r>
              <w:rPr>
                <w:rFonts w:eastAsia="宋体" w:cs="Times New Roman"/>
                <w:color w:val="000000"/>
                <w:kern w:val="0"/>
                <w:sz w:val="21"/>
                <w:szCs w:val="21"/>
              </w:rPr>
              <w:t>1</w:t>
            </w:r>
            <w:bookmarkEnd w:id="70"/>
          </w:p>
        </w:tc>
        <w:tc>
          <w:tcPr>
            <w:tcW w:w="993" w:type="dxa"/>
            <w:vMerge w:val="restart"/>
            <w:tcBorders>
              <w:top w:val="nil"/>
              <w:left w:val="single" w:color="4F81BD" w:sz="8" w:space="0"/>
              <w:bottom w:val="nil"/>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氨分离塔废水</w:t>
            </w:r>
          </w:p>
        </w:tc>
        <w:tc>
          <w:tcPr>
            <w:tcW w:w="1276" w:type="dxa"/>
            <w:tcBorders>
              <w:top w:val="nil"/>
              <w:left w:val="nil"/>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水</w:t>
            </w:r>
          </w:p>
        </w:tc>
        <w:tc>
          <w:tcPr>
            <w:tcW w:w="1134" w:type="dxa"/>
            <w:tcBorders>
              <w:top w:val="nil"/>
              <w:left w:val="nil"/>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0.98294</w:t>
            </w:r>
          </w:p>
        </w:tc>
        <w:tc>
          <w:tcPr>
            <w:tcW w:w="992" w:type="dxa"/>
            <w:vMerge w:val="restart"/>
            <w:tcBorders>
              <w:top w:val="nil"/>
              <w:left w:val="single" w:color="4F81BD" w:sz="8" w:space="0"/>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常温</w:t>
            </w:r>
          </w:p>
        </w:tc>
        <w:tc>
          <w:tcPr>
            <w:tcW w:w="992" w:type="dxa"/>
            <w:vMerge w:val="restart"/>
            <w:tcBorders>
              <w:top w:val="nil"/>
              <w:left w:val="single" w:color="4F81BD" w:sz="8" w:space="0"/>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常压</w:t>
            </w:r>
          </w:p>
        </w:tc>
        <w:tc>
          <w:tcPr>
            <w:tcW w:w="1133" w:type="dxa"/>
            <w:vMerge w:val="restart"/>
            <w:tcBorders>
              <w:top w:val="nil"/>
              <w:left w:val="single" w:color="4F81BD" w:sz="8" w:space="0"/>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连续</w:t>
            </w:r>
          </w:p>
        </w:tc>
        <w:tc>
          <w:tcPr>
            <w:tcW w:w="871" w:type="dxa"/>
            <w:vMerge w:val="restart"/>
            <w:tcBorders>
              <w:top w:val="nil"/>
              <w:left w:val="single" w:color="4F81BD" w:sz="8" w:space="0"/>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29923</w:t>
            </w:r>
          </w:p>
        </w:tc>
        <w:tc>
          <w:tcPr>
            <w:tcW w:w="1115" w:type="dxa"/>
            <w:vMerge w:val="restart"/>
            <w:tcBorders>
              <w:top w:val="nil"/>
              <w:left w:val="single" w:color="4F81BD" w:sz="8" w:space="0"/>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送厂区污水处理厂</w:t>
            </w:r>
          </w:p>
        </w:tc>
        <w:tc>
          <w:tcPr>
            <w:tcW w:w="1705" w:type="dxa"/>
            <w:vMerge w:val="restart"/>
            <w:tcBorders>
              <w:top w:val="nil"/>
              <w:left w:val="single" w:color="4F81BD" w:sz="8" w:space="0"/>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总厂污水处理场处理后回用</w:t>
            </w: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氨</w:t>
            </w:r>
          </w:p>
        </w:tc>
        <w:tc>
          <w:tcPr>
            <w:tcW w:w="1134"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0.003457</w:t>
            </w: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AND</w:t>
            </w:r>
          </w:p>
        </w:tc>
        <w:tc>
          <w:tcPr>
            <w:tcW w:w="1134" w:type="dxa"/>
            <w:tcBorders>
              <w:top w:val="nil"/>
              <w:left w:val="nil"/>
              <w:bottom w:val="single" w:color="4F81BD" w:sz="8" w:space="0"/>
              <w:right w:val="single" w:color="4F81BD" w:sz="8" w:space="0"/>
            </w:tcBorders>
            <w:shd w:val="clear" w:color="000000" w:fill="FFFFFF"/>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0.00414</w:t>
            </w: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环戊酮</w:t>
            </w:r>
          </w:p>
        </w:tc>
        <w:tc>
          <w:tcPr>
            <w:tcW w:w="1134" w:type="dxa"/>
            <w:tcBorders>
              <w:top w:val="nil"/>
              <w:left w:val="nil"/>
              <w:bottom w:val="single" w:color="4F81BD" w:sz="8" w:space="0"/>
              <w:right w:val="single" w:color="4F81BD"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0.0021</w:t>
            </w: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nil"/>
              <w:right w:val="single" w:color="4F81BD" w:sz="8" w:space="0"/>
            </w:tcBorders>
            <w:shd w:val="clear" w:color="000000" w:fill="FFFFFF"/>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碳酸铵</w:t>
            </w:r>
          </w:p>
        </w:tc>
        <w:tc>
          <w:tcPr>
            <w:tcW w:w="1134" w:type="dxa"/>
            <w:tcBorders>
              <w:top w:val="nil"/>
              <w:left w:val="nil"/>
              <w:bottom w:val="nil"/>
              <w:right w:val="single" w:color="4F81BD" w:sz="8" w:space="0"/>
            </w:tcBorders>
            <w:shd w:val="clear" w:color="000000" w:fill="FFFFFF"/>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0.007363</w:t>
            </w: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F81BD" w:sz="8" w:space="0"/>
              <w:bottom w:val="single" w:color="4F81BD" w:sz="8" w:space="0"/>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490" w:hRule="atLeast"/>
        </w:trPr>
        <w:tc>
          <w:tcPr>
            <w:tcW w:w="567" w:type="dxa"/>
            <w:vMerge w:val="restart"/>
            <w:tcBorders>
              <w:top w:val="nil"/>
              <w:left w:val="single" w:color="4F81BD" w:sz="8" w:space="0"/>
              <w:bottom w:val="nil"/>
              <w:right w:val="nil"/>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w:t>
            </w:r>
          </w:p>
        </w:tc>
        <w:tc>
          <w:tcPr>
            <w:tcW w:w="993" w:type="dxa"/>
            <w:vMerge w:val="restart"/>
            <w:tcBorders>
              <w:top w:val="single" w:color="4472C4" w:sz="8" w:space="0"/>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预分离罐废水</w:t>
            </w:r>
          </w:p>
        </w:tc>
        <w:tc>
          <w:tcPr>
            <w:tcW w:w="1276" w:type="dxa"/>
            <w:tcBorders>
              <w:top w:val="single" w:color="4472C4" w:sz="8" w:space="0"/>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己二酸</w:t>
            </w:r>
          </w:p>
        </w:tc>
        <w:tc>
          <w:tcPr>
            <w:tcW w:w="1134" w:type="dxa"/>
            <w:tcBorders>
              <w:top w:val="single" w:color="4472C4" w:sz="8" w:space="0"/>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0.05467</w:t>
            </w:r>
          </w:p>
        </w:tc>
        <w:tc>
          <w:tcPr>
            <w:tcW w:w="992" w:type="dxa"/>
            <w:vMerge w:val="restart"/>
            <w:tcBorders>
              <w:top w:val="nil"/>
              <w:left w:val="nil"/>
              <w:bottom w:val="nil"/>
              <w:right w:val="single" w:color="4F81BD"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常温</w:t>
            </w:r>
          </w:p>
        </w:tc>
        <w:tc>
          <w:tcPr>
            <w:tcW w:w="992" w:type="dxa"/>
            <w:vMerge w:val="restart"/>
            <w:tcBorders>
              <w:top w:val="nil"/>
              <w:left w:val="single" w:color="4F81BD" w:sz="8" w:space="0"/>
              <w:bottom w:val="nil"/>
              <w:right w:val="single" w:color="4F81BD"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常压</w:t>
            </w:r>
          </w:p>
        </w:tc>
        <w:tc>
          <w:tcPr>
            <w:tcW w:w="1133" w:type="dxa"/>
            <w:vMerge w:val="restart"/>
            <w:tcBorders>
              <w:top w:val="nil"/>
              <w:left w:val="single" w:color="4F81BD" w:sz="8" w:space="0"/>
              <w:bottom w:val="nil"/>
              <w:right w:val="single" w:color="4F81BD"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连续</w:t>
            </w:r>
          </w:p>
        </w:tc>
        <w:tc>
          <w:tcPr>
            <w:tcW w:w="871" w:type="dxa"/>
            <w:vMerge w:val="restart"/>
            <w:tcBorders>
              <w:top w:val="nil"/>
              <w:left w:val="single" w:color="4F81BD" w:sz="8" w:space="0"/>
              <w:bottom w:val="nil"/>
              <w:right w:val="single" w:color="4F81BD"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33538</w:t>
            </w:r>
          </w:p>
        </w:tc>
        <w:tc>
          <w:tcPr>
            <w:tcW w:w="1115" w:type="dxa"/>
            <w:vMerge w:val="restart"/>
            <w:tcBorders>
              <w:top w:val="nil"/>
              <w:left w:val="single" w:color="4F81BD" w:sz="8" w:space="0"/>
              <w:bottom w:val="nil"/>
              <w:right w:val="single" w:color="4F81BD"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送厂区污水处理厂</w:t>
            </w:r>
          </w:p>
        </w:tc>
        <w:tc>
          <w:tcPr>
            <w:tcW w:w="1705" w:type="dxa"/>
            <w:vMerge w:val="restart"/>
            <w:tcBorders>
              <w:top w:val="nil"/>
              <w:left w:val="single" w:color="4F81BD" w:sz="8" w:space="0"/>
              <w:bottom w:val="nil"/>
              <w:right w:val="single" w:color="4F81BD"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总厂污水处理场处理后回用</w:t>
            </w: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F81BD" w:sz="8" w:space="0"/>
              <w:bottom w:val="nil"/>
              <w:right w:val="nil"/>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水</w:t>
            </w:r>
          </w:p>
        </w:tc>
        <w:tc>
          <w:tcPr>
            <w:tcW w:w="1134"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0.93133</w:t>
            </w:r>
          </w:p>
        </w:tc>
        <w:tc>
          <w:tcPr>
            <w:tcW w:w="992" w:type="dxa"/>
            <w:vMerge w:val="continue"/>
            <w:tcBorders>
              <w:top w:val="nil"/>
              <w:left w:val="nil"/>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F81BD" w:sz="8" w:space="0"/>
              <w:bottom w:val="nil"/>
              <w:right w:val="nil"/>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AND</w:t>
            </w:r>
          </w:p>
        </w:tc>
        <w:tc>
          <w:tcPr>
            <w:tcW w:w="1134" w:type="dxa"/>
            <w:tcBorders>
              <w:top w:val="nil"/>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0.01176</w:t>
            </w:r>
          </w:p>
        </w:tc>
        <w:tc>
          <w:tcPr>
            <w:tcW w:w="992" w:type="dxa"/>
            <w:vMerge w:val="continue"/>
            <w:tcBorders>
              <w:top w:val="nil"/>
              <w:left w:val="nil"/>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F81BD" w:sz="8" w:space="0"/>
              <w:bottom w:val="nil"/>
              <w:right w:val="nil"/>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nil"/>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环戊酮</w:t>
            </w:r>
          </w:p>
        </w:tc>
        <w:tc>
          <w:tcPr>
            <w:tcW w:w="1134" w:type="dxa"/>
            <w:tcBorders>
              <w:top w:val="nil"/>
              <w:left w:val="nil"/>
              <w:bottom w:val="nil"/>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0.00210</w:t>
            </w:r>
          </w:p>
        </w:tc>
        <w:tc>
          <w:tcPr>
            <w:tcW w:w="992" w:type="dxa"/>
            <w:vMerge w:val="continue"/>
            <w:tcBorders>
              <w:top w:val="nil"/>
              <w:left w:val="nil"/>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F81BD" w:sz="8" w:space="0"/>
              <w:bottom w:val="nil"/>
              <w:right w:val="single" w:color="4F81BD"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3</w:t>
            </w:r>
          </w:p>
        </w:tc>
        <w:tc>
          <w:tcPr>
            <w:tcW w:w="993"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粗分离塔废水</w:t>
            </w:r>
          </w:p>
        </w:tc>
        <w:tc>
          <w:tcPr>
            <w:tcW w:w="1276" w:type="dxa"/>
            <w:tcBorders>
              <w:top w:val="single" w:color="4472C4" w:sz="8" w:space="0"/>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己二酸</w:t>
            </w:r>
          </w:p>
        </w:tc>
        <w:tc>
          <w:tcPr>
            <w:tcW w:w="1134" w:type="dxa"/>
            <w:tcBorders>
              <w:top w:val="single" w:color="4472C4" w:sz="8" w:space="0"/>
              <w:left w:val="nil"/>
              <w:bottom w:val="single" w:color="4472C4" w:sz="8" w:space="0"/>
              <w:right w:val="single" w:color="4472C4" w:sz="8" w:space="0"/>
            </w:tcBorders>
            <w:shd w:val="clear" w:color="000000" w:fill="8EA9DB"/>
            <w:noWrap/>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0.00083</w:t>
            </w:r>
          </w:p>
        </w:tc>
        <w:tc>
          <w:tcPr>
            <w:tcW w:w="992"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常温</w:t>
            </w:r>
          </w:p>
        </w:tc>
        <w:tc>
          <w:tcPr>
            <w:tcW w:w="992"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常压</w:t>
            </w:r>
          </w:p>
        </w:tc>
        <w:tc>
          <w:tcPr>
            <w:tcW w:w="1133"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连续</w:t>
            </w:r>
          </w:p>
        </w:tc>
        <w:tc>
          <w:tcPr>
            <w:tcW w:w="871"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20262</w:t>
            </w:r>
          </w:p>
        </w:tc>
        <w:tc>
          <w:tcPr>
            <w:tcW w:w="1115"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送厂区污水处理厂</w:t>
            </w:r>
          </w:p>
        </w:tc>
        <w:tc>
          <w:tcPr>
            <w:tcW w:w="1705" w:type="dxa"/>
            <w:vMerge w:val="restart"/>
            <w:tcBorders>
              <w:top w:val="single" w:color="4472C4" w:sz="8" w:space="0"/>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总厂污水处理场处理后回用</w:t>
            </w:r>
          </w:p>
        </w:tc>
      </w:tr>
      <w:tr>
        <w:tblPrEx>
          <w:tblCellMar>
            <w:top w:w="0" w:type="dxa"/>
            <w:left w:w="108" w:type="dxa"/>
            <w:bottom w:w="0" w:type="dxa"/>
            <w:right w:w="108" w:type="dxa"/>
          </w:tblCellMar>
        </w:tblPrEx>
        <w:trPr>
          <w:trHeight w:val="320" w:hRule="atLeast"/>
        </w:trPr>
        <w:tc>
          <w:tcPr>
            <w:tcW w:w="567"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水</w:t>
            </w:r>
          </w:p>
        </w:tc>
        <w:tc>
          <w:tcPr>
            <w:tcW w:w="1134" w:type="dxa"/>
            <w:tcBorders>
              <w:top w:val="nil"/>
              <w:left w:val="nil"/>
              <w:bottom w:val="single" w:color="4472C4" w:sz="8" w:space="0"/>
              <w:right w:val="single" w:color="4472C4" w:sz="8" w:space="0"/>
            </w:tcBorders>
            <w:shd w:val="clear" w:color="auto" w:fill="auto"/>
            <w:noWrap/>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0.99449</w:t>
            </w:r>
          </w:p>
        </w:tc>
        <w:tc>
          <w:tcPr>
            <w:tcW w:w="992"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AND</w:t>
            </w:r>
          </w:p>
        </w:tc>
        <w:tc>
          <w:tcPr>
            <w:tcW w:w="1134" w:type="dxa"/>
            <w:tcBorders>
              <w:top w:val="nil"/>
              <w:left w:val="nil"/>
              <w:bottom w:val="single" w:color="4472C4" w:sz="8" w:space="0"/>
              <w:right w:val="single" w:color="4472C4" w:sz="8" w:space="0"/>
            </w:tcBorders>
            <w:shd w:val="clear" w:color="000000" w:fill="8EA9DB"/>
            <w:noWrap/>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0.00468</w:t>
            </w:r>
          </w:p>
        </w:tc>
        <w:tc>
          <w:tcPr>
            <w:tcW w:w="992"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single" w:color="4472C4" w:sz="8" w:space="0"/>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4</w:t>
            </w:r>
          </w:p>
        </w:tc>
        <w:tc>
          <w:tcPr>
            <w:tcW w:w="993"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ICCP分离塔废水</w:t>
            </w:r>
          </w:p>
        </w:tc>
        <w:tc>
          <w:tcPr>
            <w:tcW w:w="1276"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半腈</w:t>
            </w:r>
          </w:p>
        </w:tc>
        <w:tc>
          <w:tcPr>
            <w:tcW w:w="1134"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0.00028</w:t>
            </w:r>
          </w:p>
        </w:tc>
        <w:tc>
          <w:tcPr>
            <w:tcW w:w="992"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常温</w:t>
            </w:r>
          </w:p>
        </w:tc>
        <w:tc>
          <w:tcPr>
            <w:tcW w:w="992"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常压</w:t>
            </w:r>
          </w:p>
        </w:tc>
        <w:tc>
          <w:tcPr>
            <w:tcW w:w="1133"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连续</w:t>
            </w:r>
          </w:p>
        </w:tc>
        <w:tc>
          <w:tcPr>
            <w:tcW w:w="871"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5512</w:t>
            </w:r>
          </w:p>
        </w:tc>
        <w:tc>
          <w:tcPr>
            <w:tcW w:w="1115"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送厂区污水处理厂</w:t>
            </w:r>
          </w:p>
        </w:tc>
        <w:tc>
          <w:tcPr>
            <w:tcW w:w="1705" w:type="dxa"/>
            <w:vMerge w:val="restart"/>
            <w:tcBorders>
              <w:top w:val="nil"/>
              <w:left w:val="single" w:color="4472C4" w:sz="8" w:space="0"/>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总厂污水处理场处理后回用</w:t>
            </w: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ICCP</w:t>
            </w:r>
          </w:p>
        </w:tc>
        <w:tc>
          <w:tcPr>
            <w:tcW w:w="1134" w:type="dxa"/>
            <w:tcBorders>
              <w:top w:val="nil"/>
              <w:left w:val="nil"/>
              <w:bottom w:val="single" w:color="4472C4" w:sz="8" w:space="0"/>
              <w:right w:val="single" w:color="4472C4" w:sz="8" w:space="0"/>
            </w:tcBorders>
            <w:shd w:val="clear" w:color="000000" w:fill="8EA9DB"/>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0.01178</w:t>
            </w:r>
          </w:p>
        </w:tc>
        <w:tc>
          <w:tcPr>
            <w:tcW w:w="992"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320" w:hRule="atLeast"/>
        </w:trPr>
        <w:tc>
          <w:tcPr>
            <w:tcW w:w="567"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993"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276"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AND二聚物</w:t>
            </w:r>
          </w:p>
        </w:tc>
        <w:tc>
          <w:tcPr>
            <w:tcW w:w="1134"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0.98784</w:t>
            </w:r>
          </w:p>
        </w:tc>
        <w:tc>
          <w:tcPr>
            <w:tcW w:w="992"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992"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133"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871"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eastAsia="宋体" w:cs="Times New Roman"/>
                <w:color w:val="000000"/>
                <w:kern w:val="0"/>
                <w:sz w:val="21"/>
                <w:szCs w:val="21"/>
              </w:rPr>
            </w:pPr>
          </w:p>
        </w:tc>
        <w:tc>
          <w:tcPr>
            <w:tcW w:w="1115"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c>
          <w:tcPr>
            <w:tcW w:w="1705" w:type="dxa"/>
            <w:vMerge w:val="continue"/>
            <w:tcBorders>
              <w:top w:val="nil"/>
              <w:left w:val="single" w:color="4472C4" w:sz="8" w:space="0"/>
              <w:bottom w:val="single" w:color="4472C4" w:sz="8" w:space="0"/>
              <w:right w:val="single" w:color="4472C4" w:sz="8" w:space="0"/>
            </w:tcBorders>
            <w:vAlign w:val="center"/>
          </w:tcPr>
          <w:p>
            <w:pPr>
              <w:widowControl/>
              <w:spacing w:line="240" w:lineRule="auto"/>
              <w:ind w:firstLine="0" w:firstLineChars="0"/>
              <w:jc w:val="left"/>
              <w:rPr>
                <w:rFonts w:ascii="仿宋" w:hAnsi="仿宋"/>
                <w:color w:val="000000"/>
                <w:kern w:val="0"/>
                <w:sz w:val="21"/>
                <w:szCs w:val="21"/>
              </w:rPr>
            </w:pPr>
          </w:p>
        </w:tc>
      </w:tr>
      <w:tr>
        <w:tblPrEx>
          <w:tblCellMar>
            <w:top w:w="0" w:type="dxa"/>
            <w:left w:w="108" w:type="dxa"/>
            <w:bottom w:w="0" w:type="dxa"/>
            <w:right w:w="108" w:type="dxa"/>
          </w:tblCellMar>
        </w:tblPrEx>
        <w:trPr>
          <w:trHeight w:val="670" w:hRule="atLeast"/>
        </w:trPr>
        <w:tc>
          <w:tcPr>
            <w:tcW w:w="567" w:type="dxa"/>
            <w:tcBorders>
              <w:top w:val="nil"/>
              <w:left w:val="single" w:color="4472C4" w:sz="8" w:space="0"/>
              <w:bottom w:val="single" w:color="4472C4" w:sz="8" w:space="0"/>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3</w:t>
            </w:r>
          </w:p>
        </w:tc>
        <w:tc>
          <w:tcPr>
            <w:tcW w:w="993"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生活废水</w:t>
            </w:r>
          </w:p>
        </w:tc>
        <w:tc>
          <w:tcPr>
            <w:tcW w:w="1276" w:type="dxa"/>
            <w:tcBorders>
              <w:top w:val="nil"/>
              <w:left w:val="nil"/>
              <w:bottom w:val="single" w:color="4472C4" w:sz="8" w:space="0"/>
              <w:right w:val="single" w:color="4472C4" w:sz="8" w:space="0"/>
            </w:tcBorders>
            <w:shd w:val="clear" w:color="000000" w:fill="8EA9DB"/>
            <w:vAlign w:val="center"/>
          </w:tcPr>
          <w:p>
            <w:pPr>
              <w:widowControl/>
              <w:spacing w:line="240" w:lineRule="auto"/>
              <w:ind w:firstLine="0" w:firstLineChars="0"/>
              <w:jc w:val="left"/>
              <w:rPr>
                <w:rFonts w:eastAsia="宋体" w:cs="Times New Roman"/>
                <w:color w:val="000000"/>
                <w:kern w:val="0"/>
                <w:sz w:val="21"/>
                <w:szCs w:val="21"/>
              </w:rPr>
            </w:pPr>
            <w:r>
              <w:rPr>
                <w:rFonts w:eastAsia="宋体" w:cs="Times New Roman"/>
                <w:color w:val="000000"/>
                <w:kern w:val="0"/>
                <w:sz w:val="21"/>
                <w:szCs w:val="21"/>
              </w:rPr>
              <w:t>COD</w:t>
            </w:r>
            <w:r>
              <w:rPr>
                <w:rFonts w:hint="eastAsia" w:ascii="仿宋" w:hAnsi="仿宋" w:cs="Times New Roman"/>
                <w:color w:val="000000"/>
                <w:kern w:val="0"/>
                <w:sz w:val="21"/>
                <w:szCs w:val="21"/>
              </w:rPr>
              <w:t>、氨氮、</w:t>
            </w:r>
            <w:r>
              <w:rPr>
                <w:rFonts w:eastAsia="宋体" w:cs="Times New Roman"/>
                <w:color w:val="000000"/>
                <w:kern w:val="0"/>
                <w:sz w:val="21"/>
                <w:szCs w:val="21"/>
              </w:rPr>
              <w:t>SS</w:t>
            </w:r>
          </w:p>
        </w:tc>
        <w:tc>
          <w:tcPr>
            <w:tcW w:w="1134" w:type="dxa"/>
            <w:tcBorders>
              <w:top w:val="nil"/>
              <w:left w:val="nil"/>
              <w:bottom w:val="single" w:color="4472C4" w:sz="8" w:space="0"/>
              <w:right w:val="single" w:color="4472C4" w:sz="8" w:space="0"/>
            </w:tcBorders>
            <w:shd w:val="clear" w:color="000000" w:fill="8EA9DB"/>
            <w:vAlign w:val="center"/>
          </w:tcPr>
          <w:p>
            <w:pPr>
              <w:widowControl/>
              <w:spacing w:line="240" w:lineRule="auto"/>
              <w:ind w:firstLine="0" w:firstLineChars="0"/>
              <w:jc w:val="left"/>
              <w:rPr>
                <w:rFonts w:eastAsia="宋体" w:cs="Times New Roman"/>
                <w:color w:val="000000"/>
                <w:kern w:val="0"/>
                <w:sz w:val="21"/>
                <w:szCs w:val="21"/>
              </w:rPr>
            </w:pPr>
            <w:r>
              <w:rPr>
                <w:rFonts w:eastAsia="宋体" w:cs="Times New Roman"/>
                <w:color w:val="000000"/>
                <w:kern w:val="0"/>
                <w:sz w:val="21"/>
                <w:szCs w:val="21"/>
              </w:rPr>
              <w:t>　</w:t>
            </w:r>
          </w:p>
        </w:tc>
        <w:tc>
          <w:tcPr>
            <w:tcW w:w="992"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常温</w:t>
            </w:r>
          </w:p>
        </w:tc>
        <w:tc>
          <w:tcPr>
            <w:tcW w:w="992"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常压</w:t>
            </w:r>
          </w:p>
        </w:tc>
        <w:tc>
          <w:tcPr>
            <w:tcW w:w="1133"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间歇</w:t>
            </w:r>
          </w:p>
        </w:tc>
        <w:tc>
          <w:tcPr>
            <w:tcW w:w="871"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eastAsia="宋体" w:cs="Times New Roman"/>
                <w:color w:val="000000"/>
                <w:kern w:val="0"/>
                <w:sz w:val="21"/>
                <w:szCs w:val="21"/>
              </w:rPr>
            </w:pPr>
            <w:r>
              <w:rPr>
                <w:rFonts w:eastAsia="宋体" w:cs="Times New Roman"/>
                <w:color w:val="000000"/>
                <w:kern w:val="0"/>
                <w:sz w:val="21"/>
                <w:szCs w:val="21"/>
              </w:rPr>
              <w:t>19710</w:t>
            </w:r>
          </w:p>
        </w:tc>
        <w:tc>
          <w:tcPr>
            <w:tcW w:w="1115"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生活设施</w:t>
            </w:r>
          </w:p>
        </w:tc>
        <w:tc>
          <w:tcPr>
            <w:tcW w:w="1705" w:type="dxa"/>
            <w:tcBorders>
              <w:top w:val="nil"/>
              <w:left w:val="nil"/>
              <w:bottom w:val="single" w:color="4472C4" w:sz="8" w:space="0"/>
              <w:right w:val="single" w:color="4472C4" w:sz="8" w:space="0"/>
            </w:tcBorders>
            <w:shd w:val="clear" w:color="auto" w:fill="auto"/>
            <w:vAlign w:val="center"/>
          </w:tcPr>
          <w:p>
            <w:pPr>
              <w:widowControl/>
              <w:spacing w:line="240" w:lineRule="auto"/>
              <w:ind w:firstLine="0" w:firstLineChars="0"/>
              <w:jc w:val="center"/>
              <w:rPr>
                <w:rFonts w:ascii="仿宋" w:hAnsi="仿宋"/>
                <w:color w:val="000000"/>
                <w:kern w:val="0"/>
                <w:sz w:val="21"/>
                <w:szCs w:val="21"/>
              </w:rPr>
            </w:pPr>
            <w:r>
              <w:rPr>
                <w:rFonts w:hint="eastAsia" w:ascii="仿宋" w:hAnsi="仿宋"/>
                <w:color w:val="000000"/>
                <w:kern w:val="0"/>
                <w:sz w:val="21"/>
                <w:szCs w:val="21"/>
              </w:rPr>
              <w:t>水处理厂生化降解后再利用</w:t>
            </w:r>
          </w:p>
        </w:tc>
      </w:tr>
    </w:tbl>
    <w:p>
      <w:pPr>
        <w:ind w:firstLine="482"/>
        <w:rPr>
          <w:b/>
          <w:bCs/>
        </w:rPr>
      </w:pPr>
    </w:p>
    <w:p>
      <w:pPr>
        <w:ind w:firstLine="482"/>
        <w:rPr>
          <w:b/>
          <w:bCs/>
        </w:rPr>
      </w:pPr>
      <w:r>
        <w:rPr>
          <w:b/>
          <w:bCs/>
        </w:rPr>
        <w:t>2. 废水处理</w:t>
      </w:r>
      <w:bookmarkStart w:id="71" w:name="_Hlk46948156"/>
    </w:p>
    <w:p>
      <w:pPr>
        <w:ind w:firstLine="480"/>
        <w:rPr>
          <w:rFonts w:cs="Times New Roman"/>
        </w:rPr>
      </w:pPr>
      <w:r>
        <w:rPr>
          <w:rFonts w:cs="Times New Roman"/>
        </w:rPr>
        <w:t>根据2003年5月1日起实施的《城市污水再生利用城市杂用水水质》(GB/T 18920-2002)、1998年1月1日起实施的《污水综合排放标准》（GB8978-1996）和2018年1月1日起实施的《工业循环冷却水处理设计规范》（GB/T 50050-2017），制定以下生活污水、污染雨水、雨水与工艺废水或处理或回收利用的方案。</w:t>
      </w:r>
      <w:bookmarkEnd w:id="71"/>
      <w:r>
        <w:rPr>
          <w:rFonts w:cs="Times New Roman"/>
        </w:rPr>
        <w:t>装置内排水按其水质划分为工艺废水系统、生活污水系统、污染雨水系统和雨水系统，在设计上层层把关，做到清污分流。</w:t>
      </w:r>
    </w:p>
    <w:p>
      <w:pPr>
        <w:ind w:firstLine="480"/>
        <w:rPr>
          <w:rFonts w:cs="Times New Roman"/>
        </w:rPr>
      </w:pPr>
      <w:r>
        <w:rPr>
          <w:rFonts w:cs="Times New Roman"/>
        </w:rPr>
        <w:t>（1）工艺废水</w:t>
      </w:r>
    </w:p>
    <w:p>
      <w:pPr>
        <w:pStyle w:val="19"/>
        <w:spacing w:before="156" w:beforeLines="50" w:line="360" w:lineRule="auto"/>
        <w:ind w:firstLine="480" w:firstLineChars="200"/>
        <w:jc w:val="left"/>
        <w:rPr>
          <w:rFonts w:ascii="Times New Roman" w:hAnsi="Times New Roman"/>
          <w:b w:val="0"/>
          <w:sz w:val="24"/>
        </w:rPr>
      </w:pPr>
      <w:r>
        <w:rPr>
          <w:rFonts w:hint="eastAsia" w:ascii="Times New Roman" w:hAnsi="Times New Roman"/>
          <w:b w:val="0"/>
          <w:sz w:val="24"/>
        </w:rPr>
        <w:t>本项目工艺废水基本为纯水，其中有机物（主要为醇类）含量很少，绝大部分为水，故处理难度不大，本项目将各工艺废水收集至厂区废水处理池进行生化处理。拟对含醇有机废水采用A/O处理工艺。A/O是Anoxic Oxic的缩写，A/O工艺法也叫厌氧好氧工艺法，A（Anaerobic）是厌氧段，用于脱氮除磷；O（Oxic）是好氧段，用于除水中的有机物。它的优越性是除了使有机污染物得到降解之外，还具有一定的脱氮除磷功能，A/O法是改进的活性污泥法。一般使用厌氧回流水进行稀释并加入弱碱调节pH。故其排放特征为连续排放、连续处理。</w:t>
      </w:r>
    </w:p>
    <w:p>
      <w:pPr>
        <w:pStyle w:val="19"/>
        <w:spacing w:before="156" w:beforeLines="50" w:line="360" w:lineRule="auto"/>
        <w:rPr>
          <w:rFonts w:ascii="仿宋" w:hAnsi="仿宋" w:cs="仿宋"/>
        </w:rPr>
      </w:pPr>
      <w:r>
        <w:rPr>
          <w:rFonts w:ascii="Times New Roman" w:hAnsi="Times New Roman"/>
        </w:rPr>
        <w:t>表4-3 再生水用于间冷开式循环水系统补充水的水质指标</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971"/>
        <w:gridCol w:w="1000"/>
        <w:gridCol w:w="991"/>
        <w:gridCol w:w="1012"/>
        <w:gridCol w:w="1000"/>
        <w:gridCol w:w="1027"/>
        <w:gridCol w:w="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25"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项目</w:t>
            </w:r>
          </w:p>
        </w:tc>
        <w:tc>
          <w:tcPr>
            <w:tcW w:w="971"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pH值</w:t>
            </w:r>
          </w:p>
        </w:tc>
        <w:tc>
          <w:tcPr>
            <w:tcW w:w="100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悬浮物</w:t>
            </w:r>
          </w:p>
        </w:tc>
        <w:tc>
          <w:tcPr>
            <w:tcW w:w="991"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浊度</w:t>
            </w:r>
          </w:p>
        </w:tc>
        <w:tc>
          <w:tcPr>
            <w:tcW w:w="1012"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BOD5</w:t>
            </w:r>
          </w:p>
        </w:tc>
        <w:tc>
          <w:tcPr>
            <w:tcW w:w="100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COD</w:t>
            </w:r>
          </w:p>
        </w:tc>
        <w:tc>
          <w:tcPr>
            <w:tcW w:w="1027"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NH3-N</w:t>
            </w:r>
          </w:p>
        </w:tc>
        <w:tc>
          <w:tcPr>
            <w:tcW w:w="996"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总磷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单位</w:t>
            </w:r>
          </w:p>
        </w:tc>
        <w:tc>
          <w:tcPr>
            <w:tcW w:w="971"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w:t>
            </w:r>
          </w:p>
        </w:tc>
        <w:tc>
          <w:tcPr>
            <w:tcW w:w="1000"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c>
          <w:tcPr>
            <w:tcW w:w="991"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NTU</w:t>
            </w:r>
          </w:p>
        </w:tc>
        <w:tc>
          <w:tcPr>
            <w:tcW w:w="1012"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c>
          <w:tcPr>
            <w:tcW w:w="1000"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c>
          <w:tcPr>
            <w:tcW w:w="1027"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c>
          <w:tcPr>
            <w:tcW w:w="996"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25"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水质控制指标</w:t>
            </w:r>
          </w:p>
        </w:tc>
        <w:tc>
          <w:tcPr>
            <w:tcW w:w="971"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6~9</w:t>
            </w:r>
          </w:p>
        </w:tc>
        <w:tc>
          <w:tcPr>
            <w:tcW w:w="100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≤10.0</w:t>
            </w:r>
          </w:p>
        </w:tc>
        <w:tc>
          <w:tcPr>
            <w:tcW w:w="991"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≤5.0</w:t>
            </w:r>
          </w:p>
        </w:tc>
        <w:tc>
          <w:tcPr>
            <w:tcW w:w="1012"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≤10.0</w:t>
            </w:r>
          </w:p>
        </w:tc>
        <w:tc>
          <w:tcPr>
            <w:tcW w:w="100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≤60.0</w:t>
            </w:r>
          </w:p>
        </w:tc>
        <w:tc>
          <w:tcPr>
            <w:tcW w:w="1027"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≤5.0</w:t>
            </w:r>
          </w:p>
        </w:tc>
        <w:tc>
          <w:tcPr>
            <w:tcW w:w="996"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r>
    </w:tbl>
    <w:p>
      <w:pPr>
        <w:ind w:firstLine="480"/>
        <w:rPr>
          <w:rFonts w:cs="Times New Roman"/>
        </w:rPr>
      </w:pPr>
      <w:r>
        <w:rPr>
          <w:rFonts w:hint="eastAsia" w:cs="Times New Roman"/>
        </w:rPr>
        <w:t>（2）生活污水</w:t>
      </w:r>
    </w:p>
    <w:p>
      <w:pPr>
        <w:ind w:firstLine="480"/>
      </w:pPr>
      <w:r>
        <w:rPr>
          <w:rFonts w:hint="eastAsia"/>
        </w:rPr>
        <w:t>生活污水采用重力流排出装置区，接入厂区生活污水管道。送污水处理站采用SBR+BAF为主体的生化处理工艺处理。生活污水需经处理达到《污水综合排放标准》（GB8978-1996）二级标准，同时满足《城市污水再生利用城市杂用水水质》（GB/T 18920-2002）标准后，灌溉季节用于绿化、洗车等杂用，非灌溉季节可储存于储水池中来年再用。</w:t>
      </w:r>
    </w:p>
    <w:p>
      <w:pPr>
        <w:pStyle w:val="19"/>
        <w:spacing w:before="156" w:beforeLines="50" w:line="360" w:lineRule="auto"/>
        <w:rPr>
          <w:rFonts w:ascii="Times New Roman" w:hAnsi="Times New Roman"/>
        </w:rPr>
      </w:pPr>
      <w:r>
        <w:rPr>
          <w:rFonts w:hint="eastAsia" w:ascii="Times New Roman" w:hAnsi="Times New Roman"/>
        </w:rPr>
        <w:t>表</w:t>
      </w:r>
      <w:r>
        <w:rPr>
          <w:rFonts w:ascii="Times New Roman" w:hAnsi="Times New Roman"/>
        </w:rPr>
        <w:t>4</w:t>
      </w:r>
      <w:r>
        <w:rPr>
          <w:rFonts w:hint="eastAsia" w:ascii="Times New Roman" w:hAnsi="Times New Roman"/>
        </w:rPr>
        <w:t>-4 《污水综合排放标准》（GB8978-1996）二级标准</w:t>
      </w:r>
    </w:p>
    <w:tbl>
      <w:tblPr>
        <w:tblStyle w:val="13"/>
        <w:tblW w:w="0" w:type="auto"/>
        <w:tblInd w:w="-4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项目</w:t>
            </w:r>
          </w:p>
        </w:tc>
        <w:tc>
          <w:tcPr>
            <w:tcW w:w="142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pH值</w:t>
            </w:r>
          </w:p>
        </w:tc>
        <w:tc>
          <w:tcPr>
            <w:tcW w:w="142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悬浮物</w:t>
            </w:r>
          </w:p>
        </w:tc>
        <w:tc>
          <w:tcPr>
            <w:tcW w:w="142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BOD</w:t>
            </w:r>
            <w:r>
              <w:rPr>
                <w:rFonts w:ascii="Times New Roman" w:hAnsi="Times New Roman"/>
                <w:color w:val="FFFFFF"/>
                <w:kern w:val="0"/>
                <w:vertAlign w:val="subscript"/>
              </w:rPr>
              <w:t>5</w:t>
            </w:r>
          </w:p>
        </w:tc>
        <w:tc>
          <w:tcPr>
            <w:tcW w:w="1421"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COD</w:t>
            </w:r>
          </w:p>
        </w:tc>
        <w:tc>
          <w:tcPr>
            <w:tcW w:w="1421"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NH</w:t>
            </w:r>
            <w:r>
              <w:rPr>
                <w:rFonts w:ascii="Times New Roman" w:hAnsi="Times New Roman"/>
                <w:color w:val="FFFFFF"/>
                <w:kern w:val="0"/>
                <w:vertAlign w:val="subscript"/>
              </w:rPr>
              <w:t>3</w:t>
            </w:r>
            <w:r>
              <w:rPr>
                <w:rFonts w:ascii="Times New Roman" w:hAnsi="Times New Roman"/>
                <w:color w:val="FFFFFF"/>
                <w:kern w:val="0"/>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单位</w:t>
            </w:r>
          </w:p>
        </w:tc>
        <w:tc>
          <w:tcPr>
            <w:tcW w:w="1420"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w:t>
            </w:r>
          </w:p>
        </w:tc>
        <w:tc>
          <w:tcPr>
            <w:tcW w:w="1420"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c>
          <w:tcPr>
            <w:tcW w:w="1420"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c>
          <w:tcPr>
            <w:tcW w:w="1421"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c>
          <w:tcPr>
            <w:tcW w:w="1421"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mg/L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水质控制指标</w:t>
            </w:r>
          </w:p>
        </w:tc>
        <w:tc>
          <w:tcPr>
            <w:tcW w:w="142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6~9</w:t>
            </w:r>
          </w:p>
        </w:tc>
        <w:tc>
          <w:tcPr>
            <w:tcW w:w="142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30</w:t>
            </w:r>
          </w:p>
        </w:tc>
        <w:tc>
          <w:tcPr>
            <w:tcW w:w="142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30</w:t>
            </w:r>
          </w:p>
        </w:tc>
        <w:tc>
          <w:tcPr>
            <w:tcW w:w="1421"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120</w:t>
            </w:r>
          </w:p>
        </w:tc>
        <w:tc>
          <w:tcPr>
            <w:tcW w:w="1421"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25</w:t>
            </w:r>
          </w:p>
        </w:tc>
      </w:tr>
    </w:tbl>
    <w:p>
      <w:pPr>
        <w:pStyle w:val="19"/>
        <w:spacing w:before="156" w:beforeLines="50" w:line="360" w:lineRule="auto"/>
        <w:rPr>
          <w:rFonts w:ascii="Times New Roman" w:hAnsi="Times New Roman"/>
        </w:rPr>
      </w:pPr>
      <w:r>
        <w:rPr>
          <w:rFonts w:hint="eastAsia" w:ascii="Times New Roman" w:hAnsi="Times New Roman"/>
        </w:rPr>
        <w:t>表</w:t>
      </w:r>
      <w:r>
        <w:rPr>
          <w:rFonts w:ascii="Times New Roman" w:hAnsi="Times New Roman"/>
        </w:rPr>
        <w:t>4</w:t>
      </w:r>
      <w:r>
        <w:rPr>
          <w:rFonts w:hint="eastAsia" w:ascii="Times New Roman" w:hAnsi="Times New Roman"/>
        </w:rPr>
        <w:t>-5 城市杂用水水质标准</w:t>
      </w:r>
    </w:p>
    <w:tbl>
      <w:tblPr>
        <w:tblStyle w:val="13"/>
        <w:tblW w:w="100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
        <w:gridCol w:w="3097"/>
        <w:gridCol w:w="849"/>
        <w:gridCol w:w="1721"/>
        <w:gridCol w:w="1060"/>
        <w:gridCol w:w="1130"/>
        <w:gridCol w:w="1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序号</w:t>
            </w:r>
          </w:p>
        </w:tc>
        <w:tc>
          <w:tcPr>
            <w:tcW w:w="3097"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项目</w:t>
            </w:r>
          </w:p>
        </w:tc>
        <w:tc>
          <w:tcPr>
            <w:tcW w:w="849"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冲厕</w:t>
            </w:r>
          </w:p>
        </w:tc>
        <w:tc>
          <w:tcPr>
            <w:tcW w:w="1721"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道路清扫、消防</w:t>
            </w:r>
          </w:p>
        </w:tc>
        <w:tc>
          <w:tcPr>
            <w:tcW w:w="106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城市绿化</w:t>
            </w:r>
          </w:p>
        </w:tc>
        <w:tc>
          <w:tcPr>
            <w:tcW w:w="113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车辆冲洗</w:t>
            </w:r>
          </w:p>
        </w:tc>
        <w:tc>
          <w:tcPr>
            <w:tcW w:w="1400" w:type="dxa"/>
            <w:tcBorders>
              <w:top w:val="single" w:color="4F81BD" w:sz="8" w:space="0"/>
              <w:left w:val="single" w:color="4F81BD" w:sz="8" w:space="0"/>
              <w:bottom w:val="single" w:color="FFFFFF" w:sz="18" w:space="0"/>
              <w:right w:val="single" w:color="4F81BD" w:sz="8" w:space="0"/>
            </w:tcBorders>
            <w:shd w:val="clear" w:color="auto" w:fill="4F81BD"/>
          </w:tcPr>
          <w:p>
            <w:pPr>
              <w:pStyle w:val="19"/>
              <w:rPr>
                <w:rFonts w:ascii="Times New Roman" w:hAnsi="Times New Roman"/>
                <w:color w:val="FFFFFF"/>
                <w:kern w:val="0"/>
              </w:rPr>
            </w:pPr>
            <w:r>
              <w:rPr>
                <w:rFonts w:ascii="Times New Roman" w:hAnsi="Times New Roman"/>
                <w:color w:val="FFFFFF"/>
                <w:kern w:val="0"/>
              </w:rPr>
              <w:t>建筑施工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w:t>
            </w:r>
          </w:p>
        </w:tc>
        <w:tc>
          <w:tcPr>
            <w:tcW w:w="3097" w:type="dxa"/>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pH</w:t>
            </w:r>
          </w:p>
        </w:tc>
        <w:tc>
          <w:tcPr>
            <w:tcW w:w="6160" w:type="dxa"/>
            <w:gridSpan w:val="5"/>
            <w:tcBorders>
              <w:top w:val="single" w:color="FFFFFF" w:sz="1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2</w:t>
            </w:r>
          </w:p>
        </w:tc>
        <w:tc>
          <w:tcPr>
            <w:tcW w:w="3097" w:type="dxa"/>
            <w:tcBorders>
              <w:top w:val="single" w:color="4F81BD" w:sz="8" w:space="0"/>
              <w:left w:val="single" w:color="4F81BD" w:sz="8" w:space="0"/>
              <w:bottom w:val="single" w:color="4F81BD" w:sz="8" w:space="0"/>
              <w:right w:val="single" w:color="4F81BD" w:sz="8" w:space="0"/>
            </w:tcBorders>
            <w:shd w:val="clear" w:color="auto" w:fill="FFFFFF"/>
          </w:tcPr>
          <w:p>
            <w:pPr>
              <w:pStyle w:val="19"/>
              <w:jc w:val="distribute"/>
              <w:rPr>
                <w:rFonts w:ascii="Times New Roman" w:hAnsi="Times New Roman"/>
                <w:b w:val="0"/>
                <w:bCs/>
                <w:color w:val="000000"/>
                <w:kern w:val="0"/>
              </w:rPr>
            </w:pPr>
            <w:r>
              <w:rPr>
                <w:rFonts w:ascii="Times New Roman" w:hAnsi="Times New Roman"/>
                <w:b w:val="0"/>
                <w:bCs/>
                <w:color w:val="000000"/>
                <w:kern w:val="0"/>
              </w:rPr>
              <w:t xml:space="preserve">色度              </w:t>
            </w:r>
            <w:r>
              <w:rPr>
                <w:rFonts w:hint="eastAsia" w:ascii="Times New Roman" w:hAnsi="Times New Roman"/>
                <w:b w:val="0"/>
                <w:bCs/>
                <w:color w:val="000000"/>
                <w:kern w:val="0"/>
              </w:rPr>
              <w:t xml:space="preserve">      </w:t>
            </w:r>
            <w:r>
              <w:rPr>
                <w:rFonts w:ascii="Times New Roman" w:hAnsi="Times New Roman"/>
                <w:b w:val="0"/>
                <w:bCs/>
                <w:color w:val="000000"/>
                <w:kern w:val="0"/>
              </w:rPr>
              <w:t xml:space="preserve"> ≤</w:t>
            </w:r>
          </w:p>
        </w:tc>
        <w:tc>
          <w:tcPr>
            <w:tcW w:w="6160" w:type="dxa"/>
            <w:gridSpan w:val="5"/>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3</w:t>
            </w:r>
          </w:p>
        </w:tc>
        <w:tc>
          <w:tcPr>
            <w:tcW w:w="3097" w:type="dxa"/>
            <w:tcBorders>
              <w:top w:val="single" w:color="4F81BD" w:sz="8" w:space="0"/>
              <w:left w:val="single" w:color="4F81BD" w:sz="8" w:space="0"/>
              <w:bottom w:val="single" w:color="4F81BD" w:sz="8" w:space="0"/>
              <w:right w:val="single" w:color="4F81BD" w:sz="8" w:space="0"/>
            </w:tcBorders>
            <w:shd w:val="clear" w:color="auto" w:fill="B8CCE4"/>
          </w:tcPr>
          <w:p>
            <w:pPr>
              <w:pStyle w:val="19"/>
              <w:jc w:val="distribute"/>
              <w:rPr>
                <w:rFonts w:ascii="Times New Roman" w:hAnsi="Times New Roman"/>
                <w:b w:val="0"/>
                <w:bCs/>
                <w:color w:val="000000"/>
                <w:kern w:val="0"/>
              </w:rPr>
            </w:pPr>
            <w:r>
              <w:rPr>
                <w:rFonts w:ascii="Times New Roman" w:hAnsi="Times New Roman"/>
                <w:b w:val="0"/>
                <w:bCs/>
                <w:color w:val="000000"/>
                <w:kern w:val="0"/>
              </w:rPr>
              <w:t>嗅</w:t>
            </w:r>
          </w:p>
        </w:tc>
        <w:tc>
          <w:tcPr>
            <w:tcW w:w="6160" w:type="dxa"/>
            <w:gridSpan w:val="5"/>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无不快感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4</w:t>
            </w:r>
          </w:p>
        </w:tc>
        <w:tc>
          <w:tcPr>
            <w:tcW w:w="3097" w:type="dxa"/>
            <w:tcBorders>
              <w:top w:val="single" w:color="4F81BD" w:sz="8" w:space="0"/>
              <w:left w:val="single" w:color="4F81BD" w:sz="8" w:space="0"/>
              <w:bottom w:val="single" w:color="4F81BD" w:sz="8" w:space="0"/>
              <w:right w:val="single" w:color="4F81BD" w:sz="8" w:space="0"/>
            </w:tcBorders>
            <w:shd w:val="clear" w:color="auto" w:fill="FFFFFF"/>
          </w:tcPr>
          <w:p>
            <w:pPr>
              <w:pStyle w:val="19"/>
              <w:jc w:val="distribute"/>
              <w:rPr>
                <w:rFonts w:ascii="Times New Roman" w:hAnsi="Times New Roman"/>
                <w:b w:val="0"/>
                <w:bCs/>
                <w:color w:val="000000"/>
                <w:kern w:val="0"/>
              </w:rPr>
            </w:pPr>
            <w:r>
              <w:rPr>
                <w:rFonts w:ascii="Times New Roman" w:hAnsi="Times New Roman"/>
                <w:b w:val="0"/>
                <w:bCs/>
                <w:color w:val="000000"/>
                <w:kern w:val="0"/>
              </w:rPr>
              <w:t xml:space="preserve">浊度/NTU         </w:t>
            </w:r>
            <w:r>
              <w:rPr>
                <w:rFonts w:hint="eastAsia" w:ascii="Times New Roman" w:hAnsi="Times New Roman"/>
                <w:b w:val="0"/>
                <w:bCs/>
                <w:color w:val="000000"/>
                <w:kern w:val="0"/>
              </w:rPr>
              <w:t xml:space="preserve">     </w:t>
            </w:r>
            <w:r>
              <w:rPr>
                <w:rFonts w:ascii="Times New Roman" w:hAnsi="Times New Roman"/>
                <w:b w:val="0"/>
                <w:bCs/>
                <w:color w:val="000000"/>
                <w:kern w:val="0"/>
              </w:rPr>
              <w:t xml:space="preserve"> </w:t>
            </w:r>
            <w:r>
              <w:rPr>
                <w:rFonts w:hint="eastAsia" w:ascii="Times New Roman" w:hAnsi="Times New Roman"/>
                <w:b w:val="0"/>
                <w:bCs/>
                <w:color w:val="000000"/>
                <w:kern w:val="0"/>
              </w:rPr>
              <w:t xml:space="preserve"> </w:t>
            </w:r>
            <w:r>
              <w:rPr>
                <w:rFonts w:ascii="Times New Roman" w:hAnsi="Times New Roman"/>
                <w:b w:val="0"/>
                <w:bCs/>
                <w:color w:val="000000"/>
                <w:kern w:val="0"/>
              </w:rPr>
              <w:t>≤</w:t>
            </w:r>
          </w:p>
        </w:tc>
        <w:tc>
          <w:tcPr>
            <w:tcW w:w="849"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5</w:t>
            </w:r>
          </w:p>
        </w:tc>
        <w:tc>
          <w:tcPr>
            <w:tcW w:w="1721"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06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13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5</w:t>
            </w:r>
          </w:p>
        </w:tc>
        <w:tc>
          <w:tcPr>
            <w:tcW w:w="140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5</w:t>
            </w:r>
          </w:p>
        </w:tc>
        <w:tc>
          <w:tcPr>
            <w:tcW w:w="3097" w:type="dxa"/>
            <w:tcBorders>
              <w:top w:val="single" w:color="4F81BD" w:sz="8" w:space="0"/>
              <w:left w:val="single" w:color="4F81BD" w:sz="8" w:space="0"/>
              <w:bottom w:val="single" w:color="4F81BD" w:sz="8" w:space="0"/>
              <w:right w:val="single" w:color="4F81BD" w:sz="8" w:space="0"/>
            </w:tcBorders>
            <w:shd w:val="clear" w:color="auto" w:fill="B8CCE4"/>
          </w:tcPr>
          <w:p>
            <w:pPr>
              <w:pStyle w:val="19"/>
              <w:jc w:val="distribute"/>
              <w:rPr>
                <w:rFonts w:ascii="Times New Roman" w:hAnsi="Times New Roman"/>
                <w:b w:val="0"/>
                <w:bCs/>
                <w:color w:val="000000"/>
                <w:kern w:val="0"/>
              </w:rPr>
            </w:pPr>
            <w:r>
              <w:rPr>
                <w:rFonts w:ascii="Times New Roman" w:hAnsi="Times New Roman"/>
                <w:b w:val="0"/>
                <w:bCs/>
                <w:color w:val="000000"/>
                <w:kern w:val="0"/>
              </w:rPr>
              <w:t>溶解性总固体/（mg/L）</w:t>
            </w:r>
            <w:r>
              <w:rPr>
                <w:rFonts w:hint="eastAsia" w:ascii="Times New Roman" w:hAnsi="Times New Roman"/>
                <w:b w:val="0"/>
                <w:bCs/>
                <w:color w:val="000000"/>
                <w:kern w:val="0"/>
              </w:rPr>
              <w:t xml:space="preserve">   </w:t>
            </w:r>
            <w:r>
              <w:rPr>
                <w:rFonts w:ascii="Times New Roman" w:hAnsi="Times New Roman"/>
                <w:b w:val="0"/>
                <w:bCs/>
                <w:color w:val="000000"/>
                <w:kern w:val="0"/>
              </w:rPr>
              <w:t xml:space="preserve"> ≤</w:t>
            </w:r>
          </w:p>
        </w:tc>
        <w:tc>
          <w:tcPr>
            <w:tcW w:w="849"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1500</w:t>
            </w:r>
          </w:p>
        </w:tc>
        <w:tc>
          <w:tcPr>
            <w:tcW w:w="1721"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1500</w:t>
            </w:r>
          </w:p>
        </w:tc>
        <w:tc>
          <w:tcPr>
            <w:tcW w:w="1060"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1000</w:t>
            </w:r>
          </w:p>
        </w:tc>
        <w:tc>
          <w:tcPr>
            <w:tcW w:w="1130"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1000</w:t>
            </w:r>
          </w:p>
        </w:tc>
        <w:tc>
          <w:tcPr>
            <w:tcW w:w="1400"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6</w:t>
            </w:r>
          </w:p>
        </w:tc>
        <w:tc>
          <w:tcPr>
            <w:tcW w:w="3097" w:type="dxa"/>
            <w:tcBorders>
              <w:top w:val="single" w:color="4F81BD" w:sz="8" w:space="0"/>
              <w:left w:val="single" w:color="4F81BD" w:sz="8" w:space="0"/>
              <w:bottom w:val="single" w:color="4F81BD" w:sz="8" w:space="0"/>
              <w:right w:val="single" w:color="4F81BD" w:sz="8" w:space="0"/>
            </w:tcBorders>
            <w:shd w:val="clear" w:color="auto" w:fill="FFFFFF"/>
          </w:tcPr>
          <w:p>
            <w:pPr>
              <w:pStyle w:val="19"/>
              <w:jc w:val="distribute"/>
              <w:rPr>
                <w:rFonts w:ascii="Times New Roman" w:hAnsi="Times New Roman"/>
                <w:b w:val="0"/>
                <w:bCs/>
                <w:color w:val="000000"/>
                <w:kern w:val="0"/>
              </w:rPr>
            </w:pPr>
            <w:r>
              <w:rPr>
                <w:rFonts w:ascii="Times New Roman" w:hAnsi="Times New Roman"/>
                <w:b w:val="0"/>
                <w:bCs/>
                <w:color w:val="000000"/>
                <w:kern w:val="0"/>
              </w:rPr>
              <w:t xml:space="preserve">BOD5/(mg/L)         </w:t>
            </w:r>
            <w:r>
              <w:rPr>
                <w:rFonts w:hint="eastAsia" w:ascii="Times New Roman" w:hAnsi="Times New Roman"/>
                <w:b w:val="0"/>
                <w:bCs/>
                <w:color w:val="000000"/>
                <w:kern w:val="0"/>
              </w:rPr>
              <w:t xml:space="preserve">  </w:t>
            </w:r>
            <w:r>
              <w:rPr>
                <w:rFonts w:ascii="Times New Roman" w:hAnsi="Times New Roman"/>
                <w:b w:val="0"/>
                <w:bCs/>
                <w:color w:val="000000"/>
                <w:kern w:val="0"/>
              </w:rPr>
              <w:t xml:space="preserve"> </w:t>
            </w:r>
            <w:r>
              <w:rPr>
                <w:rFonts w:hint="eastAsia" w:ascii="Times New Roman" w:hAnsi="Times New Roman"/>
                <w:b w:val="0"/>
                <w:bCs/>
                <w:color w:val="000000"/>
                <w:kern w:val="0"/>
              </w:rPr>
              <w:t xml:space="preserve">  </w:t>
            </w:r>
            <w:r>
              <w:rPr>
                <w:rFonts w:ascii="Times New Roman" w:hAnsi="Times New Roman"/>
                <w:b w:val="0"/>
                <w:bCs/>
                <w:color w:val="000000"/>
                <w:kern w:val="0"/>
              </w:rPr>
              <w:t>≤</w:t>
            </w:r>
          </w:p>
        </w:tc>
        <w:tc>
          <w:tcPr>
            <w:tcW w:w="849"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721"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15</w:t>
            </w:r>
          </w:p>
        </w:tc>
        <w:tc>
          <w:tcPr>
            <w:tcW w:w="106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20</w:t>
            </w:r>
          </w:p>
        </w:tc>
        <w:tc>
          <w:tcPr>
            <w:tcW w:w="113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40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7</w:t>
            </w:r>
          </w:p>
        </w:tc>
        <w:tc>
          <w:tcPr>
            <w:tcW w:w="3097" w:type="dxa"/>
            <w:tcBorders>
              <w:top w:val="single" w:color="4F81BD" w:sz="8" w:space="0"/>
              <w:left w:val="single" w:color="4F81BD" w:sz="8" w:space="0"/>
              <w:bottom w:val="single" w:color="4F81BD" w:sz="8" w:space="0"/>
              <w:right w:val="single" w:color="4F81BD" w:sz="8" w:space="0"/>
            </w:tcBorders>
            <w:shd w:val="clear" w:color="auto" w:fill="B8CCE4"/>
          </w:tcPr>
          <w:p>
            <w:pPr>
              <w:pStyle w:val="19"/>
              <w:jc w:val="distribute"/>
              <w:rPr>
                <w:rFonts w:ascii="Times New Roman" w:hAnsi="Times New Roman"/>
                <w:b w:val="0"/>
                <w:bCs/>
                <w:color w:val="000000"/>
                <w:kern w:val="0"/>
              </w:rPr>
            </w:pPr>
            <w:r>
              <w:rPr>
                <w:rFonts w:ascii="Times New Roman" w:hAnsi="Times New Roman"/>
                <w:b w:val="0"/>
                <w:bCs/>
                <w:color w:val="000000"/>
                <w:kern w:val="0"/>
              </w:rPr>
              <w:t xml:space="preserve">氨氮/（mg/L）          </w:t>
            </w:r>
            <w:r>
              <w:rPr>
                <w:rFonts w:hint="eastAsia" w:ascii="Times New Roman" w:hAnsi="Times New Roman"/>
                <w:b w:val="0"/>
                <w:bCs/>
                <w:color w:val="000000"/>
                <w:kern w:val="0"/>
              </w:rPr>
              <w:t xml:space="preserve">  </w:t>
            </w:r>
            <w:r>
              <w:rPr>
                <w:rFonts w:ascii="Times New Roman" w:hAnsi="Times New Roman"/>
                <w:b w:val="0"/>
                <w:bCs/>
                <w:color w:val="000000"/>
                <w:kern w:val="0"/>
              </w:rPr>
              <w:t>≤</w:t>
            </w:r>
          </w:p>
        </w:tc>
        <w:tc>
          <w:tcPr>
            <w:tcW w:w="849"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721"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060"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20</w:t>
            </w:r>
          </w:p>
        </w:tc>
        <w:tc>
          <w:tcPr>
            <w:tcW w:w="1130"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400" w:type="dxa"/>
            <w:tcBorders>
              <w:top w:val="single" w:color="4F81BD" w:sz="8" w:space="0"/>
              <w:left w:val="single" w:color="4F81BD" w:sz="8" w:space="0"/>
              <w:bottom w:val="single" w:color="4F81BD" w:sz="8" w:space="0"/>
              <w:right w:val="single" w:color="4F81BD" w:sz="8" w:space="0"/>
            </w:tcBorders>
            <w:shd w:val="clear" w:color="auto" w:fill="B8CCE4"/>
          </w:tcPr>
          <w:p>
            <w:pPr>
              <w:pStyle w:val="19"/>
              <w:rPr>
                <w:rFonts w:ascii="Times New Roman" w:hAnsi="Times New Roman"/>
                <w:b w:val="0"/>
                <w:bCs/>
                <w:color w:val="000000"/>
                <w:kern w:val="0"/>
              </w:rPr>
            </w:pPr>
            <w:r>
              <w:rPr>
                <w:rFonts w:ascii="Times New Roman" w:hAnsi="Times New Roman"/>
                <w:b w:val="0"/>
                <w:bCs/>
                <w:color w:val="000000"/>
                <w:kern w:val="0"/>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8</w:t>
            </w:r>
          </w:p>
        </w:tc>
        <w:tc>
          <w:tcPr>
            <w:tcW w:w="3097" w:type="dxa"/>
            <w:tcBorders>
              <w:top w:val="single" w:color="4F81BD" w:sz="8" w:space="0"/>
              <w:left w:val="single" w:color="4F81BD" w:sz="8" w:space="0"/>
              <w:bottom w:val="single" w:color="4F81BD" w:sz="8" w:space="0"/>
              <w:right w:val="single" w:color="4F81BD" w:sz="8" w:space="0"/>
            </w:tcBorders>
            <w:shd w:val="clear" w:color="auto" w:fill="FFFFFF"/>
          </w:tcPr>
          <w:p>
            <w:pPr>
              <w:pStyle w:val="19"/>
              <w:jc w:val="distribute"/>
              <w:rPr>
                <w:rFonts w:ascii="Times New Roman" w:hAnsi="Times New Roman"/>
                <w:b w:val="0"/>
                <w:bCs/>
                <w:color w:val="000000"/>
                <w:kern w:val="0"/>
              </w:rPr>
            </w:pPr>
            <w:r>
              <w:rPr>
                <w:rFonts w:ascii="Times New Roman" w:hAnsi="Times New Roman"/>
                <w:b w:val="0"/>
                <w:bCs/>
                <w:color w:val="000000"/>
                <w:kern w:val="0"/>
              </w:rPr>
              <w:t xml:space="preserve">阴离子表面活性剂/(mg/L)  </w:t>
            </w:r>
            <w:r>
              <w:rPr>
                <w:rFonts w:hint="eastAsia" w:ascii="Times New Roman" w:hAnsi="Times New Roman"/>
                <w:b w:val="0"/>
                <w:bCs/>
                <w:color w:val="000000"/>
                <w:kern w:val="0"/>
              </w:rPr>
              <w:t xml:space="preserve"> </w:t>
            </w:r>
            <w:r>
              <w:rPr>
                <w:rFonts w:ascii="Times New Roman" w:hAnsi="Times New Roman"/>
                <w:b w:val="0"/>
                <w:bCs/>
                <w:color w:val="000000"/>
                <w:kern w:val="0"/>
              </w:rPr>
              <w:t>≤</w:t>
            </w:r>
          </w:p>
        </w:tc>
        <w:tc>
          <w:tcPr>
            <w:tcW w:w="849"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721"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06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c>
          <w:tcPr>
            <w:tcW w:w="113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0.5</w:t>
            </w:r>
          </w:p>
        </w:tc>
        <w:tc>
          <w:tcPr>
            <w:tcW w:w="1400" w:type="dxa"/>
            <w:tcBorders>
              <w:top w:val="single" w:color="4F81BD" w:sz="8" w:space="0"/>
              <w:left w:val="single" w:color="4F81BD" w:sz="8" w:space="0"/>
              <w:bottom w:val="single" w:color="4F81BD" w:sz="8" w:space="0"/>
              <w:right w:val="single" w:color="4F81BD" w:sz="8" w:space="0"/>
            </w:tcBorders>
            <w:shd w:val="clear" w:color="auto" w:fill="FFFFFF"/>
          </w:tcPr>
          <w:p>
            <w:pPr>
              <w:pStyle w:val="19"/>
              <w:rPr>
                <w:rFonts w:ascii="Times New Roman" w:hAnsi="Times New Roman"/>
                <w:b w:val="0"/>
                <w:bCs/>
                <w:color w:val="000000"/>
                <w:kern w:val="0"/>
              </w:rPr>
            </w:pPr>
            <w:r>
              <w:rPr>
                <w:rFonts w:ascii="Times New Roman" w:hAnsi="Times New Roman"/>
                <w:b w:val="0"/>
                <w:bCs/>
                <w:color w:val="000000"/>
                <w:kern w:val="0"/>
              </w:rPr>
              <w:t>1.0</w:t>
            </w:r>
          </w:p>
        </w:tc>
      </w:tr>
    </w:tbl>
    <w:p>
      <w:pPr>
        <w:ind w:firstLine="0" w:firstLineChars="0"/>
        <w:jc w:val="center"/>
        <w:rPr>
          <w:rFonts w:cs="Times New Roman"/>
        </w:rPr>
      </w:pPr>
      <w:r>
        <w:drawing>
          <wp:inline distT="0" distB="0" distL="0" distR="0">
            <wp:extent cx="2695575" cy="2004695"/>
            <wp:effectExtent l="0" t="0" r="952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7"/>
                    <a:stretch>
                      <a:fillRect/>
                    </a:stretch>
                  </pic:blipFill>
                  <pic:spPr>
                    <a:xfrm>
                      <a:off x="0" y="0"/>
                      <a:ext cx="2700218" cy="2008746"/>
                    </a:xfrm>
                    <a:prstGeom prst="rect">
                      <a:avLst/>
                    </a:prstGeom>
                  </pic:spPr>
                </pic:pic>
              </a:graphicData>
            </a:graphic>
          </wp:inline>
        </w:drawing>
      </w:r>
    </w:p>
    <w:p>
      <w:pPr>
        <w:pStyle w:val="19"/>
        <w:spacing w:after="156" w:afterLines="50" w:line="360" w:lineRule="auto"/>
        <w:rPr>
          <w:rFonts w:ascii="Times New Roman" w:hAnsi="Times New Roman"/>
        </w:rPr>
      </w:pPr>
      <w:r>
        <w:rPr>
          <w:rFonts w:ascii="Times New Roman" w:hAnsi="Times New Roman"/>
        </w:rPr>
        <w:t>图4-1 污水处理流程</w:t>
      </w:r>
    </w:p>
    <w:p>
      <w:pPr>
        <w:ind w:firstLine="482"/>
        <w:rPr>
          <w:rFonts w:ascii="仿宋" w:hAnsi="仿宋" w:cs="仿宋"/>
          <w:b/>
        </w:rPr>
      </w:pPr>
      <w:r>
        <w:rPr>
          <w:rFonts w:hint="eastAsia" w:ascii="仿宋" w:hAnsi="仿宋" w:cs="仿宋"/>
          <w:b/>
        </w:rPr>
        <w:t>SBR+BAF工艺简介：</w:t>
      </w:r>
    </w:p>
    <w:p>
      <w:pPr>
        <w:ind w:firstLine="480"/>
        <w:rPr>
          <w:rFonts w:cs="Times New Roman"/>
        </w:rPr>
      </w:pPr>
      <w:r>
        <w:rPr>
          <w:rFonts w:hint="eastAsia" w:cs="Times New Roman"/>
        </w:rPr>
        <w:t>①SBR(序批式活性污泥法)</w:t>
      </w:r>
    </w:p>
    <w:p>
      <w:pPr>
        <w:ind w:firstLine="480"/>
        <w:rPr>
          <w:rFonts w:cs="Times New Roman"/>
        </w:rPr>
      </w:pPr>
      <w:r>
        <w:rPr>
          <w:rFonts w:hint="eastAsia" w:cs="Times New Roman"/>
        </w:rPr>
        <w:t>SBR法是一种较为先进的活性污泥处理法，该处理工艺集曝气池、沉淀池为一体，连续进水，间歇曝气，停气时污水沉淀撇除上清液，成为一个周期，周而复始。SBR法中曝气、沉淀在同一池内，节约了沉淀池和污泥、污水回流系统， 所以占地省、运行费用低、设备简单、维护方便。</w:t>
      </w:r>
    </w:p>
    <w:p>
      <w:pPr>
        <w:ind w:firstLine="480"/>
        <w:rPr>
          <w:rFonts w:cs="Times New Roman"/>
        </w:rPr>
      </w:pPr>
      <w:r>
        <w:rPr>
          <w:rFonts w:hint="eastAsia" w:cs="Times New Roman"/>
        </w:rPr>
        <w:t>项目SBR池分四格，每格按进水、曝气、沉淀、潍水四个阶段进行周期性运行。SBR池的进水、曝气、沉淀采用PLC进行控制，每格SBR池进水1.5h, 曝气3h、沉淀1h,潍水 0.5h，一个周期6h，每一周期及每一阶段的运行时间可根据来水的水质和出水水质情况进行调整。SBR池内多余的污泥用污泥泵排入污泥池，污泥池污泥用泵送带式浓缩脱水一体化脱水机进行污泥脱水，滤液回到生活污水提升泵间，重新进入污水处理系统进行处理，泥饼外运。</w:t>
      </w:r>
    </w:p>
    <w:p>
      <w:pPr>
        <w:ind w:firstLine="480"/>
        <w:rPr>
          <w:rFonts w:cs="Times New Roman"/>
        </w:rPr>
      </w:pPr>
      <w:r>
        <w:rPr>
          <w:rFonts w:hint="eastAsia" w:cs="Times New Roman"/>
        </w:rPr>
        <w:t>②曝气生物滤池(BAF)</w:t>
      </w:r>
      <w:r>
        <w:rPr>
          <w:rFonts w:hint="eastAsia" w:cs="Times New Roman"/>
        </w:rPr>
        <w:cr/>
      </w:r>
      <w:r>
        <w:rPr>
          <w:rFonts w:hint="eastAsia" w:cs="Times New Roman"/>
        </w:rPr>
        <w:t xml:space="preserve">    曝气生物滤池一种新型生物膜法污水处理工艺。该工艺具有去除SS,COD, BOD,硝化、脱氮、除磷、去除AOX(有害物质)的作用，其特点是集生物氧化和截留悬浮固体与一体，节省了后续沉淀池(二沉池)，其容积负荷、水力负荷大，水 力停留时间短，所需基建投资少，出水水质好:运行能耗低，运行费用省。</w:t>
      </w:r>
      <w:r>
        <w:rPr>
          <w:rFonts w:hint="eastAsia" w:cs="Times New Roman"/>
        </w:rPr>
        <w:cr/>
      </w:r>
      <w:r>
        <w:rPr>
          <w:rFonts w:hint="eastAsia" w:cs="Times New Roman"/>
        </w:rPr>
        <w:t xml:space="preserve">    项目曝气生物滤池利用微生物进一步去除水中残余有机物曝气生物滤池采用上流式，其底部为气水混合室，之上为长柄滤头、曝气管、垫层、滤层。滤料采用特制的球形轻质陶粒滤料，按级配装填，粒径在4～6mm，比表面积为3～5m2/g，挂膜性能好，反冲洗容易，截污能力强，阻力小等特点。运行时，污水从底部进入气水混合室，经长柄滤头配水后进入滤料，在此进行 COD, BOD, SS和氨氮的去除，反冲洗时，气水同时进入混合室，经长柄滤头进入滤料，反冲出水回入调节池，与原污水一并处理。曝气生物滤池采用长柄滤头布水，滤水帽、滤水管成为一体，每个滤头共有滤缝20条。曝气系统采用生物滤池专用单孔膜曝气器，具有空气扩散效果好，氧的利用率高，在滤料中不易堵塞的特点。反冲采用气水联合反冲，长柄滤头配水配气。先气洗3～5min，然后气水联合洗3～5min，最后单水洗3～5min。通过冲洗把滤层内截留的污泥及老化的生物膜排出，但冲洗强度不可过大，以保留足够的活性生物膜，为下一周期生化处理能力的恢复创造条件。</w:t>
      </w:r>
    </w:p>
    <w:p>
      <w:pPr>
        <w:ind w:firstLine="480"/>
        <w:rPr>
          <w:rFonts w:cs="Times New Roman"/>
        </w:rPr>
      </w:pPr>
      <w:r>
        <w:rPr>
          <w:rFonts w:hint="eastAsia" w:cs="Times New Roman"/>
        </w:rPr>
        <w:t>（3）地面洗水</w:t>
      </w:r>
    </w:p>
    <w:p>
      <w:pPr>
        <w:ind w:firstLine="480"/>
        <w:rPr>
          <w:rFonts w:cs="Times New Roman"/>
        </w:rPr>
      </w:pPr>
      <w:r>
        <w:rPr>
          <w:rFonts w:hint="eastAsia" w:cs="Times New Roman"/>
        </w:rPr>
        <w:t>工艺装置区和罐区围堰内的地面冲洗水和下雨时的初期雨水，经排水地沟收集，然后经全厂地下排水管网送至厂区污水处理场进行处理。</w:t>
      </w:r>
    </w:p>
    <w:p>
      <w:pPr>
        <w:ind w:firstLine="480"/>
        <w:rPr>
          <w:rFonts w:cs="Times New Roman"/>
        </w:rPr>
      </w:pPr>
      <w:r>
        <w:rPr>
          <w:rFonts w:hint="eastAsia" w:cs="Times New Roman"/>
        </w:rPr>
        <w:t>本项目设有初期雨水调节池，收集装置内被污染地面的污染雨水，生产污水后地面冲洗水，经初级雨水调节池调节后，用调节池上的污水泵提升至厂区内的污染雨水管道，排入全厂污水处理场进行处理。</w:t>
      </w:r>
    </w:p>
    <w:p>
      <w:pPr>
        <w:ind w:firstLine="480"/>
        <w:rPr>
          <w:rFonts w:cs="Times New Roman"/>
        </w:rPr>
      </w:pPr>
      <w:r>
        <w:rPr>
          <w:rFonts w:hint="eastAsia" w:cs="Times New Roman"/>
        </w:rPr>
        <w:t>（4）事故废水</w:t>
      </w:r>
    </w:p>
    <w:p>
      <w:pPr>
        <w:ind w:firstLine="480"/>
        <w:rPr>
          <w:rFonts w:cs="Times New Roman"/>
        </w:rPr>
      </w:pPr>
      <w:r>
        <w:rPr>
          <w:rFonts w:hint="eastAsia" w:cs="Times New Roman"/>
        </w:rPr>
        <w:t>从风险事故分析及采取的相应措施可知，本项目风险事故中产生的污染物即为火灾事故处理中产生的事故消防废水。装置事故时，消防水量50L/s，持续时间按6h计算，水量为1080m</w:t>
      </w:r>
      <w:r>
        <w:rPr>
          <w:rFonts w:hint="eastAsia" w:cs="Times New Roman"/>
          <w:vertAlign w:val="superscript"/>
        </w:rPr>
        <w:t>3</w:t>
      </w:r>
      <w:r>
        <w:rPr>
          <w:rFonts w:hint="eastAsia" w:cs="Times New Roman"/>
        </w:rPr>
        <w:t>。事故水主要为有机事故水。发生事故时，人工关闭后期雨水阀，打开初期雨水阀，事故水直接排入含油污水系统，后排入园区事故水池。</w:t>
      </w:r>
    </w:p>
    <w:p>
      <w:pPr>
        <w:pStyle w:val="3"/>
        <w:ind w:firstLine="643"/>
      </w:pPr>
      <w:bookmarkStart w:id="72" w:name="_Toc141633696"/>
      <w:r>
        <w:t>4</w:t>
      </w:r>
      <w:r>
        <w:rPr>
          <w:rFonts w:hint="eastAsia"/>
        </w:rPr>
        <w:t>.</w:t>
      </w:r>
      <w:r>
        <w:t>3</w:t>
      </w:r>
      <w:r>
        <w:rPr>
          <w:rFonts w:hint="eastAsia"/>
        </w:rPr>
        <w:t xml:space="preserve"> 噪声</w:t>
      </w:r>
      <w:bookmarkEnd w:id="72"/>
    </w:p>
    <w:p>
      <w:pPr>
        <w:ind w:firstLine="482"/>
        <w:rPr>
          <w:b/>
          <w:bCs/>
        </w:rPr>
      </w:pPr>
      <w:r>
        <w:rPr>
          <w:rFonts w:hint="eastAsia"/>
          <w:b/>
          <w:bCs/>
        </w:rPr>
        <w:t>1. 噪声的产生</w:t>
      </w:r>
    </w:p>
    <w:p>
      <w:pPr>
        <w:spacing w:before="156" w:beforeLines="50"/>
        <w:ind w:firstLine="422"/>
        <w:jc w:val="center"/>
        <w:rPr>
          <w:rFonts w:cs="Times New Roman"/>
          <w:b/>
          <w:sz w:val="21"/>
          <w:szCs w:val="18"/>
        </w:rPr>
      </w:pPr>
      <w:r>
        <w:rPr>
          <w:rFonts w:cs="Times New Roman"/>
          <w:b/>
          <w:sz w:val="21"/>
          <w:szCs w:val="18"/>
        </w:rPr>
        <w:t>表4-9 噪声一览表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571"/>
        <w:gridCol w:w="1269"/>
        <w:gridCol w:w="1420"/>
        <w:gridCol w:w="18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single" w:color="4F81BD" w:sz="8" w:space="0"/>
              <w:left w:val="single" w:color="4F81BD" w:sz="8" w:space="0"/>
              <w:bottom w:val="single" w:color="FFFFFF" w:sz="18" w:space="0"/>
              <w:right w:val="single" w:color="4F81BD" w:sz="8" w:space="0"/>
            </w:tcBorders>
            <w:shd w:val="clear" w:color="auto" w:fill="4F81BD"/>
          </w:tcPr>
          <w:p>
            <w:pPr>
              <w:spacing w:line="240" w:lineRule="auto"/>
              <w:ind w:firstLine="0" w:firstLineChars="0"/>
              <w:jc w:val="center"/>
              <w:rPr>
                <w:b/>
                <w:bCs/>
                <w:color w:val="FFFFFF"/>
              </w:rPr>
            </w:pPr>
            <w:r>
              <w:rPr>
                <w:rFonts w:hint="eastAsia" w:cs="Times New Roman"/>
                <w:b/>
                <w:bCs/>
                <w:color w:val="FFFFFF"/>
              </w:rPr>
              <w:t>序号</w:t>
            </w:r>
          </w:p>
        </w:tc>
        <w:tc>
          <w:tcPr>
            <w:tcW w:w="1571" w:type="dxa"/>
            <w:tcBorders>
              <w:top w:val="single" w:color="4F81BD" w:sz="8" w:space="0"/>
              <w:left w:val="single" w:color="4F81BD" w:sz="8" w:space="0"/>
              <w:bottom w:val="single" w:color="FFFFFF" w:sz="18" w:space="0"/>
              <w:right w:val="single" w:color="4F81BD" w:sz="8" w:space="0"/>
            </w:tcBorders>
            <w:shd w:val="clear" w:color="auto" w:fill="4F81BD"/>
          </w:tcPr>
          <w:p>
            <w:pPr>
              <w:spacing w:line="240" w:lineRule="auto"/>
              <w:ind w:firstLine="0" w:firstLineChars="0"/>
              <w:jc w:val="center"/>
              <w:rPr>
                <w:b/>
                <w:bCs/>
                <w:color w:val="FFFFFF"/>
              </w:rPr>
            </w:pPr>
            <w:r>
              <w:rPr>
                <w:rFonts w:hint="eastAsia" w:cs="Times New Roman"/>
                <w:b/>
                <w:bCs/>
                <w:color w:val="FFFFFF"/>
              </w:rPr>
              <w:t>噪声源名称</w:t>
            </w:r>
          </w:p>
        </w:tc>
        <w:tc>
          <w:tcPr>
            <w:tcW w:w="1269" w:type="dxa"/>
            <w:tcBorders>
              <w:top w:val="single" w:color="4F81BD" w:sz="8" w:space="0"/>
              <w:left w:val="single" w:color="4F81BD" w:sz="8" w:space="0"/>
              <w:bottom w:val="single" w:color="FFFFFF" w:sz="18" w:space="0"/>
              <w:right w:val="single" w:color="4F81BD" w:sz="8" w:space="0"/>
            </w:tcBorders>
            <w:shd w:val="clear" w:color="auto" w:fill="4F81BD"/>
          </w:tcPr>
          <w:p>
            <w:pPr>
              <w:spacing w:line="240" w:lineRule="auto"/>
              <w:ind w:firstLine="0" w:firstLineChars="0"/>
              <w:jc w:val="center"/>
              <w:rPr>
                <w:b/>
                <w:bCs/>
                <w:color w:val="FFFFFF"/>
              </w:rPr>
            </w:pPr>
            <w:r>
              <w:rPr>
                <w:rFonts w:hint="eastAsia" w:cs="Times New Roman"/>
                <w:b/>
                <w:bCs/>
                <w:color w:val="FFFFFF"/>
              </w:rPr>
              <w:t>数量</w:t>
            </w:r>
          </w:p>
        </w:tc>
        <w:tc>
          <w:tcPr>
            <w:tcW w:w="1420" w:type="dxa"/>
            <w:tcBorders>
              <w:top w:val="single" w:color="4F81BD" w:sz="8" w:space="0"/>
              <w:left w:val="single" w:color="4F81BD" w:sz="8" w:space="0"/>
              <w:bottom w:val="single" w:color="FFFFFF" w:sz="18" w:space="0"/>
              <w:right w:val="single" w:color="4F81BD" w:sz="8" w:space="0"/>
            </w:tcBorders>
            <w:shd w:val="clear" w:color="auto" w:fill="4F81BD"/>
          </w:tcPr>
          <w:p>
            <w:pPr>
              <w:spacing w:line="240" w:lineRule="auto"/>
              <w:ind w:firstLine="0" w:firstLineChars="0"/>
              <w:jc w:val="center"/>
              <w:rPr>
                <w:b/>
                <w:bCs/>
                <w:color w:val="FFFFFF"/>
              </w:rPr>
            </w:pPr>
            <w:r>
              <w:rPr>
                <w:rFonts w:hint="eastAsia" w:cs="Times New Roman"/>
                <w:b/>
                <w:bCs/>
                <w:color w:val="FFFFFF"/>
              </w:rPr>
              <w:t>工作情况</w:t>
            </w:r>
          </w:p>
        </w:tc>
        <w:tc>
          <w:tcPr>
            <w:tcW w:w="1801" w:type="dxa"/>
            <w:tcBorders>
              <w:top w:val="single" w:color="4F81BD" w:sz="8" w:space="0"/>
              <w:left w:val="single" w:color="4F81BD" w:sz="8" w:space="0"/>
              <w:bottom w:val="single" w:color="FFFFFF" w:sz="18" w:space="0"/>
              <w:right w:val="single" w:color="4F81BD" w:sz="8" w:space="0"/>
            </w:tcBorders>
            <w:shd w:val="clear" w:color="auto" w:fill="4F81BD"/>
          </w:tcPr>
          <w:p>
            <w:pPr>
              <w:spacing w:line="240" w:lineRule="auto"/>
              <w:ind w:firstLine="0" w:firstLineChars="0"/>
              <w:jc w:val="center"/>
              <w:rPr>
                <w:b/>
                <w:bCs/>
                <w:color w:val="FFFFFF"/>
              </w:rPr>
            </w:pPr>
            <w:r>
              <w:rPr>
                <w:rFonts w:hint="eastAsia" w:cs="Times New Roman"/>
                <w:b/>
                <w:bCs/>
                <w:color w:val="FFFFFF"/>
              </w:rPr>
              <w:t>声压级Db(A)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single" w:color="FFFFFF" w:sz="18" w:space="0"/>
              <w:left w:val="single" w:color="4F81BD" w:sz="8" w:space="0"/>
              <w:bottom w:val="single" w:color="4F81BD" w:sz="8" w:space="0"/>
              <w:right w:val="single" w:color="4F81BD" w:sz="8" w:space="0"/>
            </w:tcBorders>
            <w:shd w:val="clear" w:color="auto" w:fill="B8CCE4"/>
          </w:tcPr>
          <w:p>
            <w:pPr>
              <w:spacing w:line="240" w:lineRule="auto"/>
              <w:ind w:firstLine="0" w:firstLineChars="0"/>
              <w:jc w:val="center"/>
              <w:rPr>
                <w:color w:val="000000"/>
              </w:rPr>
            </w:pPr>
            <w:r>
              <w:rPr>
                <w:rFonts w:hint="eastAsia" w:cs="Times New Roman"/>
                <w:color w:val="000000"/>
              </w:rPr>
              <w:t>1</w:t>
            </w:r>
          </w:p>
        </w:tc>
        <w:tc>
          <w:tcPr>
            <w:tcW w:w="1571" w:type="dxa"/>
            <w:tcBorders>
              <w:top w:val="single" w:color="FFFFFF" w:sz="18" w:space="0"/>
              <w:left w:val="single" w:color="4F81BD" w:sz="8" w:space="0"/>
              <w:bottom w:val="single" w:color="4F81BD" w:sz="8" w:space="0"/>
              <w:right w:val="single" w:color="4F81BD" w:sz="8" w:space="0"/>
            </w:tcBorders>
            <w:shd w:val="clear" w:color="auto" w:fill="B8CCE4"/>
          </w:tcPr>
          <w:p>
            <w:pPr>
              <w:spacing w:line="240" w:lineRule="auto"/>
              <w:ind w:firstLine="0" w:firstLineChars="0"/>
              <w:jc w:val="center"/>
              <w:rPr>
                <w:color w:val="000000"/>
              </w:rPr>
            </w:pPr>
            <w:r>
              <w:rPr>
                <w:rFonts w:hint="eastAsia" w:cs="Times New Roman"/>
                <w:color w:val="000000"/>
              </w:rPr>
              <w:t>泵</w:t>
            </w:r>
          </w:p>
        </w:tc>
        <w:tc>
          <w:tcPr>
            <w:tcW w:w="1269" w:type="dxa"/>
            <w:tcBorders>
              <w:top w:val="single" w:color="FFFFFF" w:sz="18" w:space="0"/>
              <w:left w:val="single" w:color="4F81BD" w:sz="8" w:space="0"/>
              <w:bottom w:val="single" w:color="4F81BD" w:sz="8" w:space="0"/>
              <w:right w:val="single" w:color="4F81BD" w:sz="8" w:space="0"/>
            </w:tcBorders>
            <w:shd w:val="clear" w:color="auto" w:fill="B8CCE4"/>
          </w:tcPr>
          <w:p>
            <w:pPr>
              <w:spacing w:line="240" w:lineRule="auto"/>
              <w:ind w:firstLine="0" w:firstLineChars="0"/>
              <w:jc w:val="center"/>
              <w:rPr>
                <w:color w:val="000000"/>
              </w:rPr>
            </w:pPr>
            <w:r>
              <w:rPr>
                <w:rFonts w:hint="eastAsia" w:cs="Times New Roman"/>
                <w:color w:val="000000"/>
              </w:rPr>
              <w:t>22</w:t>
            </w:r>
          </w:p>
        </w:tc>
        <w:tc>
          <w:tcPr>
            <w:tcW w:w="1420" w:type="dxa"/>
            <w:tcBorders>
              <w:top w:val="single" w:color="FFFFFF" w:sz="18" w:space="0"/>
              <w:left w:val="single" w:color="4F81BD" w:sz="8" w:space="0"/>
              <w:bottom w:val="single" w:color="4F81BD" w:sz="8" w:space="0"/>
              <w:right w:val="single" w:color="4F81BD" w:sz="8" w:space="0"/>
            </w:tcBorders>
            <w:shd w:val="clear" w:color="auto" w:fill="B8CCE4"/>
          </w:tcPr>
          <w:p>
            <w:pPr>
              <w:spacing w:line="240" w:lineRule="auto"/>
              <w:ind w:firstLine="0" w:firstLineChars="0"/>
              <w:jc w:val="center"/>
              <w:rPr>
                <w:color w:val="000000"/>
              </w:rPr>
            </w:pPr>
            <w:r>
              <w:rPr>
                <w:rFonts w:hint="eastAsia" w:cs="Times New Roman"/>
                <w:color w:val="000000"/>
              </w:rPr>
              <w:t>连续</w:t>
            </w:r>
          </w:p>
        </w:tc>
        <w:tc>
          <w:tcPr>
            <w:tcW w:w="1801" w:type="dxa"/>
            <w:tcBorders>
              <w:top w:val="single" w:color="FFFFFF" w:sz="18" w:space="0"/>
              <w:left w:val="single" w:color="4F81BD" w:sz="8" w:space="0"/>
              <w:bottom w:val="single" w:color="4F81BD" w:sz="8" w:space="0"/>
              <w:right w:val="single" w:color="4F81BD" w:sz="8" w:space="0"/>
            </w:tcBorders>
            <w:shd w:val="clear" w:color="auto" w:fill="B8CCE4"/>
          </w:tcPr>
          <w:p>
            <w:pPr>
              <w:spacing w:line="240" w:lineRule="auto"/>
              <w:ind w:firstLine="0" w:firstLineChars="0"/>
              <w:jc w:val="center"/>
              <w:rPr>
                <w:color w:val="000000"/>
              </w:rPr>
            </w:pPr>
            <w:r>
              <w:rPr>
                <w:rFonts w:hint="eastAsia" w:cs="Times New Roman"/>
                <w:color w:val="000000"/>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single" w:color="4F81BD" w:sz="8" w:space="0"/>
              <w:left w:val="single" w:color="4F81BD" w:sz="8" w:space="0"/>
              <w:bottom w:val="single" w:color="4F81BD" w:sz="8" w:space="0"/>
              <w:right w:val="single" w:color="4F81BD" w:sz="8" w:space="0"/>
            </w:tcBorders>
            <w:shd w:val="clear" w:color="auto" w:fill="FFFFFF"/>
          </w:tcPr>
          <w:p>
            <w:pPr>
              <w:spacing w:line="240" w:lineRule="auto"/>
              <w:ind w:firstLine="0" w:firstLineChars="0"/>
              <w:jc w:val="center"/>
              <w:rPr>
                <w:color w:val="000000"/>
              </w:rPr>
            </w:pPr>
            <w:r>
              <w:rPr>
                <w:rFonts w:hint="eastAsia" w:cs="Times New Roman"/>
                <w:color w:val="000000"/>
              </w:rPr>
              <w:t>2</w:t>
            </w:r>
          </w:p>
        </w:tc>
        <w:tc>
          <w:tcPr>
            <w:tcW w:w="1571" w:type="dxa"/>
            <w:tcBorders>
              <w:top w:val="single" w:color="4F81BD" w:sz="8" w:space="0"/>
              <w:left w:val="single" w:color="4F81BD" w:sz="8" w:space="0"/>
              <w:bottom w:val="single" w:color="4F81BD" w:sz="8" w:space="0"/>
              <w:right w:val="single" w:color="4F81BD" w:sz="8" w:space="0"/>
            </w:tcBorders>
            <w:shd w:val="clear" w:color="auto" w:fill="FFFFFF"/>
          </w:tcPr>
          <w:p>
            <w:pPr>
              <w:spacing w:line="240" w:lineRule="auto"/>
              <w:ind w:firstLine="0" w:firstLineChars="0"/>
              <w:jc w:val="center"/>
              <w:rPr>
                <w:color w:val="000000"/>
              </w:rPr>
            </w:pPr>
            <w:r>
              <w:rPr>
                <w:rFonts w:hint="eastAsia" w:cs="Times New Roman"/>
                <w:color w:val="000000"/>
              </w:rPr>
              <w:t>压缩机</w:t>
            </w:r>
          </w:p>
        </w:tc>
        <w:tc>
          <w:tcPr>
            <w:tcW w:w="1269" w:type="dxa"/>
            <w:tcBorders>
              <w:top w:val="single" w:color="4F81BD" w:sz="8" w:space="0"/>
              <w:left w:val="single" w:color="4F81BD" w:sz="8" w:space="0"/>
              <w:bottom w:val="single" w:color="4F81BD" w:sz="8" w:space="0"/>
              <w:right w:val="single" w:color="4F81BD" w:sz="8" w:space="0"/>
            </w:tcBorders>
            <w:shd w:val="clear" w:color="auto" w:fill="FFFFFF"/>
          </w:tcPr>
          <w:p>
            <w:pPr>
              <w:spacing w:line="240" w:lineRule="auto"/>
              <w:ind w:firstLine="0" w:firstLineChars="0"/>
              <w:jc w:val="center"/>
              <w:rPr>
                <w:color w:val="000000"/>
              </w:rPr>
            </w:pPr>
            <w:r>
              <w:rPr>
                <w:rFonts w:hint="eastAsia" w:cs="Times New Roman"/>
                <w:color w:val="000000"/>
              </w:rPr>
              <w:t>2</w:t>
            </w:r>
          </w:p>
        </w:tc>
        <w:tc>
          <w:tcPr>
            <w:tcW w:w="1420" w:type="dxa"/>
            <w:tcBorders>
              <w:top w:val="single" w:color="4F81BD" w:sz="8" w:space="0"/>
              <w:left w:val="single" w:color="4F81BD" w:sz="8" w:space="0"/>
              <w:bottom w:val="single" w:color="4F81BD" w:sz="8" w:space="0"/>
              <w:right w:val="single" w:color="4F81BD" w:sz="8" w:space="0"/>
            </w:tcBorders>
            <w:shd w:val="clear" w:color="auto" w:fill="FFFFFF"/>
          </w:tcPr>
          <w:p>
            <w:pPr>
              <w:spacing w:line="240" w:lineRule="auto"/>
              <w:ind w:firstLine="0" w:firstLineChars="0"/>
              <w:jc w:val="center"/>
              <w:rPr>
                <w:color w:val="000000"/>
              </w:rPr>
            </w:pPr>
            <w:r>
              <w:rPr>
                <w:rFonts w:hint="eastAsia" w:cs="Times New Roman"/>
                <w:color w:val="000000"/>
              </w:rPr>
              <w:t>连续</w:t>
            </w:r>
          </w:p>
        </w:tc>
        <w:tc>
          <w:tcPr>
            <w:tcW w:w="1801" w:type="dxa"/>
            <w:tcBorders>
              <w:top w:val="single" w:color="4F81BD" w:sz="8" w:space="0"/>
              <w:left w:val="single" w:color="4F81BD" w:sz="8" w:space="0"/>
              <w:bottom w:val="single" w:color="4F81BD" w:sz="8" w:space="0"/>
              <w:right w:val="single" w:color="4F81BD" w:sz="8" w:space="0"/>
            </w:tcBorders>
            <w:shd w:val="clear" w:color="auto" w:fill="FFFFFF"/>
          </w:tcPr>
          <w:p>
            <w:pPr>
              <w:spacing w:line="240" w:lineRule="auto"/>
              <w:ind w:firstLine="0" w:firstLineChars="0"/>
              <w:jc w:val="center"/>
              <w:rPr>
                <w:color w:val="000000"/>
              </w:rPr>
            </w:pPr>
            <w:r>
              <w:rPr>
                <w:rFonts w:hint="eastAsia" w:cs="Times New Roman"/>
                <w:color w:val="000000"/>
              </w:rPr>
              <w:t>90</w:t>
            </w:r>
          </w:p>
        </w:tc>
      </w:tr>
    </w:tbl>
    <w:p>
      <w:pPr>
        <w:ind w:firstLine="482"/>
        <w:rPr>
          <w:b/>
          <w:bCs/>
        </w:rPr>
      </w:pPr>
      <w:r>
        <w:rPr>
          <w:b/>
          <w:bCs/>
        </w:rPr>
        <w:t>2. 噪声的处理</w:t>
      </w:r>
    </w:p>
    <w:p>
      <w:pPr>
        <w:ind w:firstLine="480"/>
        <w:rPr>
          <w:rFonts w:cs="Times New Roman"/>
        </w:rPr>
      </w:pPr>
      <w:r>
        <w:rPr>
          <w:rFonts w:cs="Times New Roman"/>
        </w:rPr>
        <w:t>本项目主要噪声污染源有泵、压缩机等大型转动设备及高压气体放空的气流动力噪声。设计主要从噪声源、传播途径和受声体三方面具体情况，采取相应的技术措施。具体的措施有：</w:t>
      </w:r>
    </w:p>
    <w:p>
      <w:pPr>
        <w:ind w:firstLine="360" w:firstLineChars="150"/>
        <w:rPr>
          <w:rFonts w:cs="Times New Roman"/>
        </w:rPr>
      </w:pPr>
      <w:r>
        <w:rPr>
          <w:rFonts w:cs="Times New Roman"/>
        </w:rPr>
        <w:t>（1）选用低噪声机型或有效的消声、隔声等措施如事故各排气门、送风机进口等加装消音器以改善操作条件和减轻对环境的影响。</w:t>
      </w:r>
    </w:p>
    <w:p>
      <w:pPr>
        <w:ind w:firstLine="360" w:firstLineChars="150"/>
        <w:rPr>
          <w:rFonts w:cs="Times New Roman"/>
        </w:rPr>
      </w:pPr>
      <w:r>
        <w:rPr>
          <w:rFonts w:cs="Times New Roman"/>
        </w:rPr>
        <w:t>（2）对操作人员防护。佩戴防声棉、防声耳塞、防声耳罩和防声头盔。</w:t>
      </w:r>
    </w:p>
    <w:p>
      <w:pPr>
        <w:ind w:firstLine="360" w:firstLineChars="150"/>
        <w:rPr>
          <w:rFonts w:cs="Times New Roman"/>
        </w:rPr>
      </w:pPr>
      <w:r>
        <w:rPr>
          <w:rFonts w:cs="Times New Roman"/>
        </w:rPr>
        <w:t>（3）在厂区总平面布置时，要考虑噪声污染，噪声污染严重的车间要远离居住区或办公室。</w:t>
      </w:r>
    </w:p>
    <w:p>
      <w:pPr>
        <w:ind w:firstLine="360" w:firstLineChars="150"/>
        <w:rPr>
          <w:rFonts w:cs="Times New Roman"/>
        </w:rPr>
      </w:pPr>
      <w:r>
        <w:rPr>
          <w:rFonts w:cs="Times New Roman"/>
        </w:rPr>
        <w:t>（4）在车间、生活区、道路两旁及零星空地进行绿化，以达到降尘降噪的目的。</w:t>
      </w:r>
    </w:p>
    <w:p>
      <w:pPr>
        <w:ind w:firstLine="360" w:firstLineChars="150"/>
        <w:rPr>
          <w:rFonts w:cs="Times New Roman"/>
        </w:rPr>
      </w:pPr>
      <w:r>
        <w:rPr>
          <w:rFonts w:cs="Times New Roman"/>
        </w:rPr>
        <w:t>（5）其他降噪手段：消声、吸声、隔声等。</w:t>
      </w:r>
    </w:p>
    <w:p>
      <w:pPr>
        <w:ind w:firstLine="480"/>
        <w:rPr>
          <w:rFonts w:cs="Times New Roman"/>
        </w:rPr>
      </w:pPr>
      <w:r>
        <w:rPr>
          <w:rFonts w:cs="Times New Roman"/>
        </w:rPr>
        <w:t>噪声经治理后，达到或低于《工业企业厂界噪声标准》 (GB12348-2008)，对厂界噪声值影响较小。</w:t>
      </w:r>
    </w:p>
    <w:p>
      <w:pPr>
        <w:pStyle w:val="3"/>
        <w:ind w:firstLine="643"/>
      </w:pPr>
      <w:bookmarkStart w:id="73" w:name="_Toc141633697"/>
      <w:bookmarkStart w:id="74" w:name="_Toc77705475"/>
      <w:bookmarkStart w:id="75" w:name="_Toc77430044"/>
      <w:r>
        <w:t>4.4 生态保护措施</w:t>
      </w:r>
      <w:bookmarkEnd w:id="73"/>
      <w:bookmarkEnd w:id="74"/>
      <w:bookmarkEnd w:id="75"/>
    </w:p>
    <w:p>
      <w:pPr>
        <w:ind w:firstLine="480"/>
        <w:rPr>
          <w:rFonts w:cs="Times New Roman"/>
        </w:rPr>
      </w:pPr>
      <w:r>
        <w:rPr>
          <w:rFonts w:cs="Times New Roman"/>
        </w:rPr>
        <w:t xml:space="preserve">（1）严格控制合理规划施工作业占地面积，以减少地表植被破坏。 </w:t>
      </w:r>
    </w:p>
    <w:p>
      <w:pPr>
        <w:ind w:firstLine="480"/>
        <w:rPr>
          <w:rFonts w:cs="Times New Roman"/>
        </w:rPr>
      </w:pPr>
      <w:r>
        <w:rPr>
          <w:rFonts w:cs="Times New Roman"/>
        </w:rPr>
        <w:t xml:space="preserve">（2）在作业过程中人员、车辆要遵循“无捷径”施工原则，充分利已有的道路，沿已有车辙行驶，不随意开设便道。杜绝“粗犷作业，野蛮碾压”，减少对植被的破坏。 </w:t>
      </w:r>
    </w:p>
    <w:p>
      <w:pPr>
        <w:ind w:firstLine="480"/>
        <w:rPr>
          <w:rFonts w:cs="Times New Roman"/>
        </w:rPr>
      </w:pPr>
      <w:r>
        <w:rPr>
          <w:rFonts w:cs="Times New Roman"/>
        </w:rPr>
        <w:t xml:space="preserve">（3）严格控制施工中的临时占地，对损毁的林草植被及时进行恢复。 </w:t>
      </w:r>
    </w:p>
    <w:p>
      <w:pPr>
        <w:ind w:firstLine="480"/>
        <w:rPr>
          <w:rFonts w:cs="Times New Roman"/>
        </w:rPr>
      </w:pPr>
      <w:r>
        <w:rPr>
          <w:rFonts w:cs="Times New Roman"/>
        </w:rPr>
        <w:t xml:space="preserve">（4）施工过程中采取材料集中堆放管理、地面硬化等措，防止施工过程的水土流失进入河流产生污染。 </w:t>
      </w:r>
    </w:p>
    <w:p>
      <w:pPr>
        <w:ind w:firstLine="480"/>
        <w:rPr>
          <w:rFonts w:cs="Times New Roman"/>
        </w:rPr>
      </w:pPr>
      <w:r>
        <w:rPr>
          <w:rFonts w:cs="Times New Roman"/>
        </w:rPr>
        <w:t>（5）根据建设地地质与地貌类型、各施工段工程情况，采取相应的具体的工程措施和生物措施，控制水土流失，以保护、恢复和改善生态系统。</w:t>
      </w:r>
    </w:p>
    <w:p>
      <w:pPr>
        <w:ind w:firstLine="480"/>
        <w:rPr>
          <w:rFonts w:cs="Times New Roman"/>
        </w:rPr>
      </w:pPr>
      <w:r>
        <w:rPr>
          <w:rFonts w:cs="Times New Roman"/>
        </w:rPr>
        <w:t xml:space="preserve">（6）根据工程平面布置情况，结合当地土壤、气候条件，选择乡土植物和苗木来源可靠、产地近的植物对厂区进行适当绿化。 </w:t>
      </w:r>
    </w:p>
    <w:p>
      <w:pPr>
        <w:pStyle w:val="21"/>
        <w:ind w:firstLine="422"/>
        <w:rPr>
          <w:rFonts w:ascii="Times New Roman" w:hAnsi="Times New Roman" w:eastAsia="仿宋"/>
        </w:rPr>
      </w:pPr>
    </w:p>
    <w:p>
      <w:pPr>
        <w:ind w:firstLine="0" w:firstLineChars="0"/>
        <w:rPr>
          <w:rFonts w:cs="Times New Roman"/>
          <w:b/>
          <w:sz w:val="21"/>
          <w:szCs w:val="18"/>
        </w:rPr>
      </w:pPr>
    </w:p>
    <w:p>
      <w:pPr>
        <w:pStyle w:val="2"/>
      </w:pPr>
      <w:bookmarkStart w:id="76" w:name="_Toc21285"/>
      <w:bookmarkStart w:id="77" w:name="_Toc10010_WPSOffice_Level1"/>
      <w:bookmarkStart w:id="78" w:name="_Toc77705479"/>
      <w:bookmarkStart w:id="79" w:name="_Toc15210"/>
      <w:bookmarkStart w:id="80" w:name="_Toc21391_WPSOffice_Level1"/>
      <w:bookmarkStart w:id="81" w:name="_Toc141633698"/>
      <w:r>
        <w:rPr>
          <w:rFonts w:hint="eastAsia"/>
        </w:rPr>
        <w:t>第五章 安全生产技术创新</w:t>
      </w:r>
      <w:bookmarkEnd w:id="76"/>
      <w:bookmarkEnd w:id="77"/>
      <w:bookmarkEnd w:id="78"/>
      <w:bookmarkEnd w:id="79"/>
      <w:bookmarkEnd w:id="80"/>
      <w:bookmarkEnd w:id="81"/>
    </w:p>
    <w:p>
      <w:pPr>
        <w:pStyle w:val="3"/>
        <w:ind w:firstLine="643"/>
      </w:pPr>
      <w:bookmarkStart w:id="82" w:name="_Toc5396_WPSOffice_Level2"/>
      <w:bookmarkStart w:id="83" w:name="_Toc21958"/>
      <w:bookmarkStart w:id="84" w:name="_Toc77705480"/>
      <w:bookmarkStart w:id="85" w:name="_Toc20222_WPSOffice_Level2"/>
      <w:bookmarkStart w:id="86" w:name="_Toc141633699"/>
      <w:r>
        <w:t>5.1 DCS控制系统与SIS安全仪表系统</w:t>
      </w:r>
      <w:bookmarkEnd w:id="82"/>
      <w:bookmarkEnd w:id="83"/>
      <w:bookmarkEnd w:id="84"/>
      <w:bookmarkEnd w:id="85"/>
      <w:bookmarkEnd w:id="86"/>
    </w:p>
    <w:p>
      <w:pPr>
        <w:ind w:firstLine="480"/>
        <w:rPr>
          <w:rFonts w:cs="Times New Roman"/>
          <w:color w:val="000000"/>
          <w:szCs w:val="24"/>
        </w:rPr>
      </w:pPr>
      <w:r>
        <w:rPr>
          <w:rFonts w:cs="Times New Roman"/>
          <w:color w:val="000000"/>
          <w:szCs w:val="24"/>
        </w:rPr>
        <w:t>本工艺中主要使用DCS（集散控制系统进行控制）在正常运行期间能够安全控制工厂，后期将加入SIS安全仪表系统，在紧急情况或其他异常情况时将生产转移到安全状态，SIS的作用主要是对项目进行监视和安全运行。</w:t>
      </w:r>
    </w:p>
    <w:p>
      <w:pPr>
        <w:ind w:firstLine="480"/>
        <w:rPr>
          <w:rFonts w:cs="Times New Roman"/>
          <w:szCs w:val="24"/>
        </w:rPr>
      </w:pPr>
      <w:r>
        <w:rPr>
          <w:rFonts w:cs="Times New Roman"/>
          <w:szCs w:val="24"/>
        </w:rPr>
        <w:t>DCS在控制上的最大特点是依靠各种控制、运算模块的灵活组态，可实现多样化的控制策略以满足不同情况下的需要，使得在单元组合仪表实现起来相当繁琐与复杂的命题变得简单。随着企业提出的高柔性、高效益的要求，以经典控制理论为基础的控制方案已经不能适应，以多变量预测控制为代表的先进控制策略的提出和成功应用之后，先进过程控制受到了过程工业界的普遍关注。需要强调的是，广泛应用各种先进控制与优化技术是挖掘并提升DCS综合性能最有效、最直接、也是最具价值的发展方向。</w:t>
      </w:r>
    </w:p>
    <w:p>
      <w:pPr>
        <w:ind w:firstLine="480"/>
        <w:rPr>
          <w:rFonts w:cs="Times New Roman"/>
          <w:szCs w:val="24"/>
        </w:rPr>
      </w:pPr>
      <w:r>
        <w:rPr>
          <w:rFonts w:cs="Times New Roman"/>
          <w:szCs w:val="24"/>
        </w:rPr>
        <w:t>在实际过程控制系统中，基于</w:t>
      </w:r>
      <w:r>
        <w:fldChar w:fldCharType="begin"/>
      </w:r>
      <w:r>
        <w:instrText xml:space="preserve"> HYPERLINK "https://baike.so.com/doc/5497659-5735573.html" \t "https://baike.so.com/doc/_blank" </w:instrText>
      </w:r>
      <w:r>
        <w:fldChar w:fldCharType="separate"/>
      </w:r>
      <w:r>
        <w:rPr>
          <w:rFonts w:cs="Times New Roman"/>
          <w:szCs w:val="24"/>
        </w:rPr>
        <w:t>PID</w:t>
      </w:r>
      <w:r>
        <w:rPr>
          <w:rFonts w:cs="Times New Roman"/>
          <w:szCs w:val="24"/>
        </w:rPr>
        <w:fldChar w:fldCharType="end"/>
      </w:r>
      <w:r>
        <w:rPr>
          <w:rFonts w:cs="Times New Roman"/>
          <w:szCs w:val="24"/>
        </w:rPr>
        <w:t>控制技术的系统占80%以上，PID回路运用优劣在实现装置平稳、高效、优质运行中起到举足轻重的作用，各DCS厂商都以此作为抢占市场的有力竞争砝码，开发出各自的PID自整定软件。另外，根据DCS的控制功能，在基本的PID算法基础上，可以开发各种改进算法，以满足实际工业控制现场的各种需要，诸如带死区的PID控制、积分分离的PID控制、微分先行的PID控制、不完全微分的PID控制、具有逻辑选择功能的PID控制等等。</w:t>
      </w:r>
    </w:p>
    <w:p>
      <w:pPr>
        <w:ind w:firstLine="480"/>
        <w:rPr>
          <w:rFonts w:cs="Times New Roman"/>
          <w:szCs w:val="24"/>
        </w:rPr>
      </w:pPr>
      <w:r>
        <w:rPr>
          <w:rFonts w:hint="eastAsia" w:cs="Times New Roman"/>
          <w:szCs w:val="24"/>
        </w:rPr>
        <w:t xml:space="preserve">在本工艺中对各个过程设备实现了PID控制，如对精馏塔顶底温度，压力，液位等进行控制，根据设计控制原则，可以对塔灵敏板温度的控制来判断其控制效果。如在反应精馏塔中使用提馏点温度控制，控制提馏段温度，减少液相进料的干扰，保证马来酸二甲酯出料的纯度；在甲醇脱水塔中使用精馏段温度控制，控制精馏段温度，保证甲醇的出料纯度。 </w:t>
      </w:r>
    </w:p>
    <w:p>
      <w:pPr>
        <w:ind w:firstLine="480"/>
        <w:rPr>
          <w:rFonts w:cs="Times New Roman"/>
          <w:szCs w:val="24"/>
        </w:rPr>
      </w:pPr>
      <w:r>
        <w:rPr>
          <w:rFonts w:hint="eastAsia" w:cs="Times New Roman"/>
          <w:szCs w:val="24"/>
        </w:rPr>
        <w:t>但是DCS系统在处理量大时对事故处理不够敏感，因此在如反应器这类危险设备中加入SIS安全仪表系统，对事故时进行应急响应。</w:t>
      </w:r>
      <w:r>
        <w:rPr>
          <w:rFonts w:cs="Times New Roman"/>
          <w:szCs w:val="24"/>
        </w:rPr>
        <w:t>但是DCS系统在处理量大时对事故处理不够敏感，因此在如反应器这类危险设备中加入SIS安全仪表系统，对事故时进行应急响应。</w:t>
      </w:r>
    </w:p>
    <w:p>
      <w:pPr>
        <w:pStyle w:val="3"/>
        <w:ind w:firstLine="643"/>
      </w:pPr>
      <w:bookmarkStart w:id="87" w:name="_Toc77705481"/>
      <w:bookmarkStart w:id="88" w:name="_Toc4168_WPSOffice_Level2"/>
      <w:bookmarkStart w:id="89" w:name="_Toc24694"/>
      <w:bookmarkStart w:id="90" w:name="_Toc26096_WPSOffice_Level2"/>
      <w:bookmarkStart w:id="91" w:name="_Toc141633700"/>
      <w:r>
        <w:t>5.2 层保护与本质安全设计</w:t>
      </w:r>
      <w:bookmarkEnd w:id="87"/>
      <w:bookmarkEnd w:id="88"/>
      <w:bookmarkEnd w:id="89"/>
      <w:bookmarkEnd w:id="90"/>
      <w:bookmarkEnd w:id="91"/>
    </w:p>
    <w:p>
      <w:pPr>
        <w:ind w:firstLine="480"/>
        <w:rPr>
          <w:rFonts w:cs="Times New Roman"/>
          <w:color w:val="000000"/>
          <w:szCs w:val="20"/>
        </w:rPr>
      </w:pPr>
      <w:r>
        <w:rPr>
          <w:rFonts w:cs="Times New Roman"/>
          <w:color w:val="000000"/>
          <w:szCs w:val="20"/>
        </w:rPr>
        <w:t>本质安全的工厂依靠化学物理学来预防事故的发生，而不是依靠控制系统、互锁、冗长而特殊的操作程序来预防事故。本质安全的工厂是容许有过失的。通常具有最大的成本效率。工艺过程简单、设备小型化、在不太苛刻的温度和压力下操作，投入更少的资金、操作、维护费用。</w:t>
      </w:r>
    </w:p>
    <w:p>
      <w:pPr>
        <w:ind w:firstLine="480"/>
        <w:rPr>
          <w:rFonts w:cs="Times New Roman"/>
          <w:color w:val="000000"/>
          <w:szCs w:val="20"/>
        </w:rPr>
      </w:pPr>
      <w:r>
        <w:rPr>
          <w:rFonts w:cs="Times New Roman"/>
          <w:color w:val="000000"/>
          <w:szCs w:val="20"/>
        </w:rPr>
        <w:t>层保护分为过程设计特征、控制系统、联锁、安全切断系统、警报、应急反应计划等。本质安全设计是层保护的一部分，其有四个关键词：最小化、代替、缓和、简化。</w:t>
      </w:r>
    </w:p>
    <w:p>
      <w:pPr>
        <w:ind w:firstLine="480"/>
        <w:rPr>
          <w:rFonts w:cs="Times New Roman"/>
          <w:color w:val="000000"/>
          <w:szCs w:val="20"/>
        </w:rPr>
      </w:pPr>
      <w:r>
        <w:rPr>
          <w:rFonts w:cs="Times New Roman"/>
          <w:color w:val="000000"/>
          <w:szCs w:val="20"/>
        </w:rPr>
        <w:t>最小化即减少危险物质或能量的数量，在危险物质上本工艺中的主要危险化学品</w:t>
      </w:r>
      <w:r>
        <w:rPr>
          <w:rFonts w:hint="eastAsia" w:cs="Times New Roman"/>
          <w:color w:val="000000"/>
          <w:szCs w:val="20"/>
        </w:rPr>
        <w:t>如原料甲醇、氢气，</w:t>
      </w:r>
      <w:r>
        <w:rPr>
          <w:rFonts w:cs="Times New Roman"/>
          <w:color w:val="000000"/>
          <w:szCs w:val="20"/>
        </w:rPr>
        <w:t>是易燃易爆物质，属于原料产物不可避免。工艺中免去了毒性较大的萃取剂</w:t>
      </w:r>
      <w:r>
        <w:rPr>
          <w:rFonts w:hint="eastAsia" w:cs="Times New Roman"/>
          <w:color w:val="000000"/>
          <w:szCs w:val="20"/>
        </w:rPr>
        <w:t>DMAC</w:t>
      </w:r>
      <w:r>
        <w:rPr>
          <w:rFonts w:cs="Times New Roman"/>
          <w:color w:val="000000"/>
          <w:szCs w:val="20"/>
        </w:rPr>
        <w:t>，使用</w:t>
      </w:r>
      <w:r>
        <w:rPr>
          <w:rFonts w:hint="eastAsia" w:cs="Times New Roman"/>
          <w:color w:val="000000"/>
          <w:szCs w:val="20"/>
        </w:rPr>
        <w:t>几乎无毒的乙二醇</w:t>
      </w:r>
      <w:r>
        <w:rPr>
          <w:rFonts w:cs="Times New Roman"/>
          <w:color w:val="000000"/>
          <w:szCs w:val="20"/>
        </w:rPr>
        <w:t>、改进精馏技术等方式实现安全。本工艺中无间歇反应器，</w:t>
      </w:r>
      <w:r>
        <w:rPr>
          <w:rFonts w:hint="eastAsia" w:cs="Times New Roman"/>
          <w:color w:val="000000"/>
          <w:szCs w:val="20"/>
        </w:rPr>
        <w:t>使用的列管式固定床反应器</w:t>
      </w:r>
      <w:r>
        <w:rPr>
          <w:rFonts w:cs="Times New Roman"/>
          <w:color w:val="000000"/>
          <w:szCs w:val="20"/>
        </w:rPr>
        <w:t>是连续式反应器，减少了辅助生产过程中发生危险的可能。在减少能量上，本工艺全流程中无高压设备存在，最高压（4</w:t>
      </w:r>
      <w:r>
        <w:rPr>
          <w:rFonts w:hint="eastAsia" w:cs="Times New Roman"/>
          <w:color w:val="000000"/>
          <w:szCs w:val="20"/>
        </w:rPr>
        <w:t>.5</w:t>
      </w:r>
      <w:r>
        <w:rPr>
          <w:rFonts w:cs="Times New Roman"/>
          <w:color w:val="000000"/>
          <w:szCs w:val="20"/>
        </w:rPr>
        <w:t>bar）</w:t>
      </w:r>
      <w:r>
        <w:rPr>
          <w:rFonts w:hint="eastAsia" w:cs="Times New Roman"/>
          <w:color w:val="000000"/>
          <w:szCs w:val="20"/>
        </w:rPr>
        <w:t>为中压蒸汽</w:t>
      </w:r>
      <w:r>
        <w:rPr>
          <w:rFonts w:cs="Times New Roman"/>
          <w:color w:val="000000"/>
          <w:szCs w:val="20"/>
        </w:rPr>
        <w:t>，</w:t>
      </w:r>
      <w:r>
        <w:rPr>
          <w:rFonts w:hint="eastAsia" w:cs="Times New Roman"/>
          <w:color w:val="000000"/>
          <w:szCs w:val="20"/>
        </w:rPr>
        <w:t>属于不可避免的公用工程；</w:t>
      </w:r>
      <w:r>
        <w:rPr>
          <w:rFonts w:cs="Times New Roman"/>
          <w:color w:val="000000"/>
          <w:szCs w:val="20"/>
        </w:rPr>
        <w:t>工艺中</w:t>
      </w:r>
      <w:r>
        <w:rPr>
          <w:rFonts w:hint="eastAsia" w:cs="Times New Roman"/>
          <w:color w:val="000000"/>
          <w:szCs w:val="20"/>
        </w:rPr>
        <w:t>使用热泵精馏、热泵、增添换热网络、副产蒸汽达到降</w:t>
      </w:r>
      <w:r>
        <w:rPr>
          <w:rFonts w:cs="Times New Roman"/>
          <w:color w:val="000000"/>
          <w:szCs w:val="20"/>
        </w:rPr>
        <w:t>能</w:t>
      </w:r>
      <w:r>
        <w:rPr>
          <w:rFonts w:hint="eastAsia" w:cs="Times New Roman"/>
          <w:color w:val="000000"/>
          <w:szCs w:val="20"/>
        </w:rPr>
        <w:t>的</w:t>
      </w:r>
      <w:r>
        <w:rPr>
          <w:rFonts w:cs="Times New Roman"/>
          <w:color w:val="000000"/>
          <w:szCs w:val="20"/>
        </w:rPr>
        <w:t>目标。</w:t>
      </w:r>
    </w:p>
    <w:p>
      <w:pPr>
        <w:ind w:firstLine="480"/>
        <w:rPr>
          <w:rFonts w:cs="Times New Roman"/>
          <w:color w:val="000000"/>
          <w:szCs w:val="20"/>
        </w:rPr>
      </w:pPr>
      <w:r>
        <w:rPr>
          <w:rFonts w:cs="Times New Roman"/>
          <w:color w:val="000000"/>
          <w:szCs w:val="20"/>
        </w:rPr>
        <w:t>本工艺的控制系统中涉及代替这个原则，使用机械泵密封代替衬垫；使用焊接管替代法兰连接</w:t>
      </w:r>
      <w:r>
        <w:rPr>
          <w:rFonts w:hint="eastAsia" w:cs="Times New Roman"/>
          <w:color w:val="000000"/>
          <w:szCs w:val="20"/>
        </w:rPr>
        <w:t>；</w:t>
      </w:r>
      <w:r>
        <w:rPr>
          <w:rFonts w:cs="Times New Roman"/>
          <w:color w:val="000000"/>
          <w:szCs w:val="20"/>
        </w:rPr>
        <w:t>使用</w:t>
      </w:r>
      <w:r>
        <w:rPr>
          <w:rFonts w:hint="eastAsia" w:cs="Times New Roman"/>
          <w:color w:val="000000"/>
          <w:szCs w:val="20"/>
        </w:rPr>
        <w:t>几乎无毒的萃取剂乙二醇</w:t>
      </w:r>
      <w:r>
        <w:rPr>
          <w:rFonts w:cs="Times New Roman"/>
          <w:color w:val="000000"/>
          <w:szCs w:val="20"/>
        </w:rPr>
        <w:t>；使用机械压力表替代水银压力计。在换热网络中，使用水代替热油为主要热量转移载体。</w:t>
      </w:r>
    </w:p>
    <w:p>
      <w:pPr>
        <w:ind w:firstLine="480"/>
        <w:rPr>
          <w:rFonts w:cs="Times New Roman"/>
          <w:color w:val="000000"/>
          <w:szCs w:val="20"/>
        </w:rPr>
      </w:pPr>
      <w:r>
        <w:rPr>
          <w:rFonts w:cs="Times New Roman"/>
          <w:color w:val="000000"/>
          <w:szCs w:val="20"/>
        </w:rPr>
        <w:t>在缓和原则中，在厂区布置图中，厂前区安排在最小风频下风向，罐区安排在最小风频上风向，将控制室远离操作区，将泵房与其他房间隔离开，为控制室和储罐区设置防护屏障（如防火墙）。</w:t>
      </w:r>
    </w:p>
    <w:p>
      <w:pPr>
        <w:ind w:firstLine="480"/>
        <w:rPr>
          <w:rFonts w:cs="Times New Roman"/>
          <w:color w:val="000000"/>
          <w:szCs w:val="20"/>
        </w:rPr>
      </w:pPr>
      <w:r>
        <w:rPr>
          <w:rFonts w:cs="Times New Roman"/>
          <w:color w:val="000000"/>
          <w:szCs w:val="20"/>
        </w:rPr>
        <w:t>简化是为了减少流程中不必要的复杂度，实现模块的集成化，比如上文中提到的萃取换热塔技术、反应精馏技术等。保持管道系统整洁，在视觉上容易注视，设计易于理解的控制面板，设计容易且能安全维护的设备，挑选需要较少维护和较低故障率的设备，增设了能抵御火灾的防火墙，给管道涂上标记易于辨别等等。</w:t>
      </w:r>
    </w:p>
    <w:p>
      <w:pPr>
        <w:ind w:firstLine="480"/>
        <w:rPr>
          <w:rFonts w:cs="Times New Roman"/>
          <w:color w:val="000000"/>
          <w:szCs w:val="20"/>
        </w:rPr>
      </w:pPr>
      <w:r>
        <w:rPr>
          <w:rFonts w:cs="Times New Roman"/>
          <w:color w:val="000000"/>
          <w:szCs w:val="20"/>
        </w:rPr>
        <w:t>我们在控制系统中设置了警报装置，当设备失稳时能够进行安全切断。报警系统直接连接厂区内消防站，使得消防系统能够及时运作。制定了应急反应计划，在厂区内设置了合理的逃生路线。</w:t>
      </w:r>
    </w:p>
    <w:p>
      <w:pPr>
        <w:ind w:firstLine="480"/>
        <w:jc w:val="left"/>
      </w:pPr>
    </w:p>
    <w:sectPr>
      <w:footerReference r:id="rId11" w:type="default"/>
      <w:pgSz w:w="11906" w:h="16838"/>
      <w:pgMar w:top="1440" w:right="1800" w:bottom="1440" w:left="1800" w:header="1134"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8636285"/>
    </w:sdtPr>
    <w:sdtContent>
      <w:p>
        <w:pPr>
          <w:pStyle w:val="8"/>
          <w:spacing w:before="120" w:after="120"/>
          <w:ind w:firstLine="360"/>
          <w:jc w:val="center"/>
        </w:pP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sz w:val="24"/>
            <w:szCs w:val="24"/>
          </w:rPr>
          <w:t>1</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sz w:val="24"/>
            <w:szCs w:val="24"/>
          </w:rPr>
          <w:t>18</w:t>
        </w:r>
        <w:r>
          <w:rPr>
            <w:b/>
            <w:bCs/>
            <w:sz w:val="24"/>
            <w:szCs w:val="24"/>
          </w:rPr>
          <w:fldChar w:fldCharType="end"/>
        </w:r>
        <w:r>
          <w:rPr>
            <w:rFonts w:ascii="楷体" w:hAnsi="楷体" w:eastAsia="楷体"/>
            <w:color w:val="5B9BD5" w:themeColor="accent1"/>
            <w:sz w:val="22"/>
            <w:szCs w:val="22"/>
            <w14:textFill>
              <w14:solidFill>
                <w14:schemeClr w14:val="accent1"/>
              </w14:solidFill>
            </w14:textFill>
          </w:rPr>
          <w:drawing>
            <wp:anchor distT="0" distB="0" distL="114300" distR="114300" simplePos="0" relativeHeight="251663360" behindDoc="1" locked="0" layoutInCell="1" allowOverlap="1">
              <wp:simplePos x="0" y="0"/>
              <wp:positionH relativeFrom="margin">
                <wp:posOffset>-381635</wp:posOffset>
              </wp:positionH>
              <wp:positionV relativeFrom="paragraph">
                <wp:posOffset>125730</wp:posOffset>
              </wp:positionV>
              <wp:extent cx="636905" cy="539750"/>
              <wp:effectExtent l="0" t="0" r="0" b="0"/>
              <wp:wrapNone/>
              <wp:docPr id="265308955" name="图片 265308955"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8955" name="图片 265308955"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p>
    </w:sdtContent>
  </w:sdt>
  <w:p>
    <w:pPr>
      <w:pStyle w:val="8"/>
      <w:spacing w:before="120" w:after="120"/>
      <w:ind w:firstLine="360"/>
      <w:jc w:val="center"/>
    </w:pPr>
  </w:p>
  <w:p>
    <w:pPr>
      <w:pStyle w:val="8"/>
      <w:spacing w:before="120" w:after="120"/>
      <w:ind w:firstLine="440"/>
      <w:rPr>
        <w:rFonts w:ascii="楷体" w:hAnsi="楷体" w:eastAsia="楷体"/>
        <w:color w:val="5B9BD5" w:themeColor="accent1"/>
        <w:sz w:val="22"/>
        <w:szCs w:val="22"/>
        <w14:textFill>
          <w14:solidFill>
            <w14:schemeClr w14:val="accent1"/>
          </w14:solidFill>
        </w14:textFill>
      </w:rPr>
    </w:pPr>
    <w:r>
      <w:rPr>
        <w:rFonts w:hint="eastAsia" w:ascii="楷体" w:hAnsi="楷体" w:eastAsia="楷体"/>
        <w:color w:val="5B9BD5" w:themeColor="accent1"/>
        <w:sz w:val="22"/>
        <w:szCs w:val="22"/>
        <w14:textFill>
          <w14:solidFill>
            <w14:schemeClr w14:val="accent1"/>
          </w14:solidFill>
        </w14:textFill>
      </w:rPr>
      <w:t xml:space="preserve">同济大学 </w:t>
    </w:r>
    <w:r>
      <w:rPr>
        <w:rFonts w:ascii="楷体" w:hAnsi="楷体" w:eastAsia="楷体"/>
        <w:color w:val="5B9BD5" w:themeColor="accent1"/>
        <w:sz w:val="22"/>
        <w:szCs w:val="22"/>
        <w14:textFill>
          <w14:solidFill>
            <w14:schemeClr w14:val="accent1"/>
          </w14:solidFill>
        </w14:textFill>
      </w:rPr>
      <w:t>58</w:t>
    </w:r>
    <w:r>
      <w:rPr>
        <w:rFonts w:hint="eastAsia" w:ascii="楷体" w:hAnsi="楷体" w:eastAsia="楷体"/>
        <w:color w:val="5B9BD5" w:themeColor="accent1"/>
        <w:sz w:val="22"/>
        <w:szCs w:val="22"/>
        <w14:textFill>
          <w14:solidFill>
            <w14:schemeClr w14:val="accent1"/>
          </w14:solidFill>
        </w14:textFill>
      </w:rPr>
      <w:t>同济队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2607279"/>
    </w:sdtPr>
    <w:sdtContent>
      <w:p>
        <w:pPr>
          <w:pStyle w:val="8"/>
          <w:spacing w:before="120" w:after="120"/>
          <w:ind w:firstLine="360"/>
          <w:jc w:val="center"/>
        </w:pP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sz w:val="24"/>
            <w:szCs w:val="24"/>
          </w:rPr>
          <w:t>1</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sz w:val="24"/>
            <w:szCs w:val="24"/>
          </w:rPr>
          <w:t>18</w:t>
        </w:r>
        <w:r>
          <w:rPr>
            <w:b/>
            <w:bCs/>
            <w:sz w:val="24"/>
            <w:szCs w:val="24"/>
          </w:rPr>
          <w:fldChar w:fldCharType="end"/>
        </w:r>
        <w:r>
          <w:rPr>
            <w:rFonts w:ascii="楷体" w:hAnsi="楷体" w:eastAsia="楷体"/>
            <w:color w:val="5B9BD5" w:themeColor="accent1"/>
            <w:sz w:val="22"/>
            <w:szCs w:val="22"/>
            <w14:textFill>
              <w14:solidFill>
                <w14:schemeClr w14:val="accent1"/>
              </w14:solidFill>
            </w14:textFill>
          </w:rPr>
          <w:drawing>
            <wp:anchor distT="0" distB="0" distL="114300" distR="114300" simplePos="0" relativeHeight="251664384" behindDoc="1" locked="0" layoutInCell="1" allowOverlap="1">
              <wp:simplePos x="0" y="0"/>
              <wp:positionH relativeFrom="margin">
                <wp:posOffset>-381635</wp:posOffset>
              </wp:positionH>
              <wp:positionV relativeFrom="paragraph">
                <wp:posOffset>125730</wp:posOffset>
              </wp:positionV>
              <wp:extent cx="636905" cy="539750"/>
              <wp:effectExtent l="0" t="0" r="10795" b="6350"/>
              <wp:wrapNone/>
              <wp:docPr id="1" name="图片 1"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p>
    </w:sdtContent>
  </w:sdt>
  <w:p>
    <w:pPr>
      <w:pStyle w:val="8"/>
      <w:spacing w:before="120" w:after="120"/>
      <w:ind w:firstLine="360"/>
      <w:jc w:val="center"/>
    </w:pPr>
  </w:p>
  <w:p>
    <w:pPr>
      <w:pStyle w:val="8"/>
      <w:spacing w:before="120" w:after="120"/>
      <w:ind w:firstLine="440"/>
    </w:pPr>
    <w:r>
      <w:rPr>
        <w:rFonts w:hint="eastAsia" w:ascii="楷体" w:hAnsi="楷体" w:eastAsia="楷体"/>
        <w:color w:val="5B9BD5" w:themeColor="accent1"/>
        <w:sz w:val="22"/>
        <w:szCs w:val="22"/>
        <w14:textFill>
          <w14:solidFill>
            <w14:schemeClr w14:val="accent1"/>
          </w14:solidFill>
        </w14:textFill>
      </w:rPr>
      <w:t xml:space="preserve">同济大学 </w:t>
    </w:r>
    <w:r>
      <w:rPr>
        <w:rFonts w:ascii="楷体" w:hAnsi="楷体" w:eastAsia="楷体"/>
        <w:color w:val="5B9BD5" w:themeColor="accent1"/>
        <w:sz w:val="22"/>
        <w:szCs w:val="22"/>
        <w14:textFill>
          <w14:solidFill>
            <w14:schemeClr w14:val="accent1"/>
          </w14:solidFill>
        </w14:textFill>
      </w:rPr>
      <w:t>58</w:t>
    </w:r>
    <w:r>
      <w:rPr>
        <w:rFonts w:hint="eastAsia" w:ascii="楷体" w:hAnsi="楷体" w:eastAsia="楷体"/>
        <w:color w:val="5B9BD5" w:themeColor="accent1"/>
        <w:sz w:val="22"/>
        <w:szCs w:val="22"/>
        <w14:textFill>
          <w14:solidFill>
            <w14:schemeClr w14:val="accent1"/>
          </w14:solidFill>
        </w14:textFill>
      </w:rPr>
      <w:t>同济队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before="120" w:after="120"/>
      <w:ind w:left="0" w:leftChars="0" w:firstLine="0" w:firstLineChars="0"/>
    </w:pPr>
    <w:r>
      <w:rPr>
        <w:rFonts w:hint="eastAsia" w:ascii="楷体" w:eastAsia="楷体" w:cs="Arial"/>
        <w:color w:val="4471C4"/>
        <w:sz w:val="22"/>
      </w:rPr>
      <w:drawing>
        <wp:anchor distT="0" distB="0" distL="0" distR="0" simplePos="0" relativeHeight="251662336" behindDoc="1" locked="0" layoutInCell="1" allowOverlap="1">
          <wp:simplePos x="0" y="0"/>
          <wp:positionH relativeFrom="page">
            <wp:posOffset>6549390</wp:posOffset>
          </wp:positionH>
          <wp:positionV relativeFrom="topMargin">
            <wp:align>bottom</wp:align>
          </wp:positionV>
          <wp:extent cx="535940" cy="533400"/>
          <wp:effectExtent l="0" t="0" r="0" b="635"/>
          <wp:wrapNone/>
          <wp:docPr id="1662491183" name="图片 166249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1183" name="图片 1662491183"/>
                  <pic:cNvPicPr>
                    <a:picLocks noChangeAspect="1"/>
                  </pic:cNvPicPr>
                </pic:nvPicPr>
                <pic:blipFill>
                  <a:blip r:embed="rId1" cstate="print"/>
                  <a:stretch>
                    <a:fillRect/>
                  </a:stretch>
                </pic:blipFill>
                <pic:spPr>
                  <a:xfrm>
                    <a:off x="0" y="0"/>
                    <a:ext cx="536191" cy="533298"/>
                  </a:xfrm>
                  <a:prstGeom prst="rect">
                    <a:avLst/>
                  </a:prstGeom>
                </pic:spPr>
              </pic:pic>
            </a:graphicData>
          </a:graphic>
        </wp:anchor>
      </w:drawing>
    </w:r>
    <w:bookmarkStart w:id="92" w:name="_Hlk140002289"/>
    <w:r>
      <w:rPr>
        <w:rFonts w:hint="eastAsia" w:ascii="楷体" w:eastAsia="楷体" w:cs="Arial"/>
        <w:color w:val="4471C4"/>
        <w:sz w:val="22"/>
        <w:lang w:val="en-US" w:eastAsia="zh-CN"/>
      </w:rPr>
      <w:t>第十七届</w:t>
    </w:r>
    <w:r>
      <w:rPr>
        <w:rFonts w:hint="eastAsia" w:ascii="楷体" w:eastAsia="楷体"/>
        <w:color w:val="4471C4"/>
        <w:sz w:val="22"/>
      </w:rPr>
      <w:t>全国大学</w:t>
    </w:r>
    <w:bookmarkStart w:id="93" w:name="_GoBack"/>
    <w:bookmarkEnd w:id="93"/>
    <w:r>
      <w:rPr>
        <w:rFonts w:hint="eastAsia" w:ascii="楷体" w:eastAsia="楷体"/>
        <w:color w:val="4471C4"/>
        <w:sz w:val="22"/>
      </w:rPr>
      <w:t>生化工设计竞赛</w:t>
    </w:r>
    <w:r>
      <w:rPr>
        <w:rFonts w:ascii="楷体" w:eastAsia="楷体"/>
        <w:color w:val="4471C4"/>
        <w:sz w:val="22"/>
      </w:rPr>
      <w:t xml:space="preserve"> </w:t>
    </w:r>
    <w:r>
      <w:ptab w:relativeTo="margin" w:alignment="center" w:leader="none"/>
    </w:r>
    <w:bookmarkEnd w:id="92"/>
    <w:r>
      <w:rPr>
        <w:rFonts w:ascii="楷体" w:eastAsia="楷体"/>
        <w:color w:val="4471C4"/>
        <w:sz w:val="22"/>
      </w:rPr>
      <w:t xml:space="preserve"> </w:t>
    </w:r>
    <w:r>
      <w:ptab w:relativeTo="margin" w:alignment="right" w:leader="none"/>
    </w:r>
    <w:r>
      <w:rPr>
        <w:rFonts w:hint="eastAsia" w:ascii="楷体" w:eastAsia="楷体"/>
        <w:color w:val="4471C4"/>
        <w:sz w:val="22"/>
      </w:rPr>
      <w:t>创新性说明</w:t>
    </w:r>
    <w:r>
      <w:rPr>
        <w:rFonts w:ascii="楷体" w:eastAsia="楷体"/>
        <w:color w:val="4471C4"/>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A0BC6"/>
    <w:multiLevelType w:val="multilevel"/>
    <w:tmpl w:val="0E3A0BC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636A8648"/>
    <w:multiLevelType w:val="singleLevel"/>
    <w:tmpl w:val="636A8648"/>
    <w:lvl w:ilvl="0" w:tentative="0">
      <w:start w:val="2"/>
      <w:numFmt w:val="chineseCounting"/>
      <w:suff w:val="space"/>
      <w:lvlText w:val="第%1章"/>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363D3F40"/>
    <w:rsid w:val="00006928"/>
    <w:rsid w:val="00020FDC"/>
    <w:rsid w:val="00052C17"/>
    <w:rsid w:val="00095C8B"/>
    <w:rsid w:val="000E55FE"/>
    <w:rsid w:val="000F472C"/>
    <w:rsid w:val="00101D75"/>
    <w:rsid w:val="00153323"/>
    <w:rsid w:val="001605F2"/>
    <w:rsid w:val="001610A5"/>
    <w:rsid w:val="00184866"/>
    <w:rsid w:val="0018505E"/>
    <w:rsid w:val="001B77F6"/>
    <w:rsid w:val="002055FF"/>
    <w:rsid w:val="00227FCB"/>
    <w:rsid w:val="00263398"/>
    <w:rsid w:val="00270420"/>
    <w:rsid w:val="00297322"/>
    <w:rsid w:val="002A396D"/>
    <w:rsid w:val="002C4C3C"/>
    <w:rsid w:val="003223FB"/>
    <w:rsid w:val="00334295"/>
    <w:rsid w:val="00356062"/>
    <w:rsid w:val="00367A54"/>
    <w:rsid w:val="00374B80"/>
    <w:rsid w:val="003774D0"/>
    <w:rsid w:val="0038463C"/>
    <w:rsid w:val="00386116"/>
    <w:rsid w:val="003A5474"/>
    <w:rsid w:val="003B0DE5"/>
    <w:rsid w:val="003C6769"/>
    <w:rsid w:val="003F762F"/>
    <w:rsid w:val="0042463A"/>
    <w:rsid w:val="004342E2"/>
    <w:rsid w:val="00440058"/>
    <w:rsid w:val="004448FB"/>
    <w:rsid w:val="00451305"/>
    <w:rsid w:val="00452425"/>
    <w:rsid w:val="004717F0"/>
    <w:rsid w:val="00552B38"/>
    <w:rsid w:val="005534F4"/>
    <w:rsid w:val="00555B00"/>
    <w:rsid w:val="00565F33"/>
    <w:rsid w:val="005C210F"/>
    <w:rsid w:val="0060309E"/>
    <w:rsid w:val="00626C72"/>
    <w:rsid w:val="0063601F"/>
    <w:rsid w:val="006648FD"/>
    <w:rsid w:val="006807B1"/>
    <w:rsid w:val="006908CB"/>
    <w:rsid w:val="00691DE1"/>
    <w:rsid w:val="006B2616"/>
    <w:rsid w:val="006D71D4"/>
    <w:rsid w:val="00705C82"/>
    <w:rsid w:val="00721095"/>
    <w:rsid w:val="00743C2A"/>
    <w:rsid w:val="00751663"/>
    <w:rsid w:val="007A052C"/>
    <w:rsid w:val="007A6105"/>
    <w:rsid w:val="007C1520"/>
    <w:rsid w:val="00806443"/>
    <w:rsid w:val="00841EC2"/>
    <w:rsid w:val="008437B7"/>
    <w:rsid w:val="008511FA"/>
    <w:rsid w:val="00860C8A"/>
    <w:rsid w:val="00927788"/>
    <w:rsid w:val="00927A0C"/>
    <w:rsid w:val="00965C0C"/>
    <w:rsid w:val="009940FC"/>
    <w:rsid w:val="009C1DCF"/>
    <w:rsid w:val="009D08B9"/>
    <w:rsid w:val="009D262B"/>
    <w:rsid w:val="009E5714"/>
    <w:rsid w:val="009F6E3C"/>
    <w:rsid w:val="00A05D26"/>
    <w:rsid w:val="00A372FB"/>
    <w:rsid w:val="00A43059"/>
    <w:rsid w:val="00A45127"/>
    <w:rsid w:val="00A752F8"/>
    <w:rsid w:val="00A81567"/>
    <w:rsid w:val="00AB2647"/>
    <w:rsid w:val="00B429D4"/>
    <w:rsid w:val="00BC15B3"/>
    <w:rsid w:val="00BC64EE"/>
    <w:rsid w:val="00BF0CFE"/>
    <w:rsid w:val="00C83FFC"/>
    <w:rsid w:val="00C93B89"/>
    <w:rsid w:val="00CB3AF7"/>
    <w:rsid w:val="00D60E42"/>
    <w:rsid w:val="00D60F72"/>
    <w:rsid w:val="00D6681E"/>
    <w:rsid w:val="00D76465"/>
    <w:rsid w:val="00D81184"/>
    <w:rsid w:val="00D91A7B"/>
    <w:rsid w:val="00DC6927"/>
    <w:rsid w:val="00DC6C6F"/>
    <w:rsid w:val="00E02F4C"/>
    <w:rsid w:val="00E30003"/>
    <w:rsid w:val="00E604D9"/>
    <w:rsid w:val="00E64FEA"/>
    <w:rsid w:val="00E93B3C"/>
    <w:rsid w:val="00ED1890"/>
    <w:rsid w:val="00EE11D9"/>
    <w:rsid w:val="00EE1DCD"/>
    <w:rsid w:val="00EE7718"/>
    <w:rsid w:val="00F6016B"/>
    <w:rsid w:val="00FC1125"/>
    <w:rsid w:val="00FD04F7"/>
    <w:rsid w:val="00FD05A1"/>
    <w:rsid w:val="00FD104F"/>
    <w:rsid w:val="02F94AB6"/>
    <w:rsid w:val="035438A8"/>
    <w:rsid w:val="03A60613"/>
    <w:rsid w:val="0F8B5B12"/>
    <w:rsid w:val="188B1AF6"/>
    <w:rsid w:val="199B589D"/>
    <w:rsid w:val="22617EB9"/>
    <w:rsid w:val="22A22E15"/>
    <w:rsid w:val="29BE626B"/>
    <w:rsid w:val="29F1574C"/>
    <w:rsid w:val="2ABA427C"/>
    <w:rsid w:val="2B600184"/>
    <w:rsid w:val="2FB344C3"/>
    <w:rsid w:val="363D3F40"/>
    <w:rsid w:val="386B1CA6"/>
    <w:rsid w:val="3A402AB2"/>
    <w:rsid w:val="43C8622B"/>
    <w:rsid w:val="45270271"/>
    <w:rsid w:val="45F172D7"/>
    <w:rsid w:val="4675462B"/>
    <w:rsid w:val="4D816676"/>
    <w:rsid w:val="4E9357C1"/>
    <w:rsid w:val="4F29184C"/>
    <w:rsid w:val="4F96791A"/>
    <w:rsid w:val="54B027A8"/>
    <w:rsid w:val="57AD6734"/>
    <w:rsid w:val="5C136397"/>
    <w:rsid w:val="62487DE4"/>
    <w:rsid w:val="66163D42"/>
    <w:rsid w:val="6BA066EB"/>
    <w:rsid w:val="71F24929"/>
    <w:rsid w:val="724B5F4E"/>
    <w:rsid w:val="73925C3E"/>
    <w:rsid w:val="73A76268"/>
    <w:rsid w:val="75FC5F5A"/>
    <w:rsid w:val="77201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仿宋" w:cs="Arial"/>
      <w:kern w:val="2"/>
      <w:sz w:val="24"/>
      <w:szCs w:val="22"/>
      <w:lang w:val="en-US" w:eastAsia="zh-CN" w:bidi="ar-SA"/>
    </w:rPr>
  </w:style>
  <w:style w:type="paragraph" w:styleId="2">
    <w:name w:val="heading 1"/>
    <w:basedOn w:val="1"/>
    <w:next w:val="1"/>
    <w:qFormat/>
    <w:uiPriority w:val="0"/>
    <w:pPr>
      <w:keepNext/>
      <w:keepLines/>
      <w:pageBreakBefore/>
      <w:spacing w:before="100" w:after="90" w:line="576" w:lineRule="auto"/>
      <w:ind w:firstLine="0" w:firstLineChars="0"/>
      <w:jc w:val="center"/>
      <w:outlineLvl w:val="0"/>
    </w:pPr>
    <w:rPr>
      <w:rFonts w:ascii="Arial" w:hAnsi="Arial"/>
      <w:b/>
      <w:kern w:val="44"/>
      <w:sz w:val="44"/>
    </w:rPr>
  </w:style>
  <w:style w:type="paragraph" w:styleId="3">
    <w:name w:val="heading 2"/>
    <w:basedOn w:val="1"/>
    <w:next w:val="1"/>
    <w:unhideWhenUsed/>
    <w:qFormat/>
    <w:uiPriority w:val="9"/>
    <w:pPr>
      <w:keepNext/>
      <w:keepLines/>
      <w:spacing w:before="120" w:after="120" w:line="413" w:lineRule="auto"/>
      <w:outlineLvl w:val="1"/>
    </w:pPr>
    <w:rPr>
      <w:rFonts w:cs="Times New Roman"/>
      <w:b/>
      <w:sz w:val="32"/>
    </w:rPr>
  </w:style>
  <w:style w:type="paragraph" w:styleId="4">
    <w:name w:val="heading 3"/>
    <w:basedOn w:val="1"/>
    <w:next w:val="1"/>
    <w:unhideWhenUsed/>
    <w:qFormat/>
    <w:uiPriority w:val="9"/>
    <w:pPr>
      <w:keepNext/>
      <w:keepLines/>
      <w:spacing w:before="120" w:after="120" w:line="416" w:lineRule="auto"/>
      <w:outlineLvl w:val="2"/>
    </w:pPr>
    <w:rPr>
      <w:b/>
      <w:bCs/>
      <w:sz w:val="28"/>
      <w:szCs w:val="32"/>
    </w:rPr>
  </w:style>
  <w:style w:type="paragraph" w:styleId="5">
    <w:name w:val="heading 4"/>
    <w:basedOn w:val="1"/>
    <w:next w:val="1"/>
    <w:link w:val="45"/>
    <w:unhideWhenUsed/>
    <w:qFormat/>
    <w:uiPriority w:val="0"/>
    <w:pPr>
      <w:keepNext/>
      <w:keepLines/>
      <w:spacing w:before="280" w:after="290" w:line="376" w:lineRule="auto"/>
      <w:outlineLvl w:val="3"/>
    </w:pPr>
    <w:rPr>
      <w:rFonts w:eastAsia="Times New Roman" w:asciiTheme="majorHAnsi" w:hAnsiTheme="majorHAnsi" w:cstheme="majorBidi"/>
      <w:b/>
      <w:bCs/>
      <w:sz w:val="32"/>
      <w:szCs w:val="28"/>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Body Text"/>
    <w:basedOn w:val="1"/>
    <w:link w:val="41"/>
    <w:qFormat/>
    <w:uiPriority w:val="1"/>
    <w:pPr>
      <w:autoSpaceDE w:val="0"/>
      <w:autoSpaceDN w:val="0"/>
      <w:spacing w:before="50" w:beforeLines="50" w:after="50" w:afterLines="50" w:line="240" w:lineRule="auto"/>
      <w:ind w:firstLine="0" w:firstLineChars="0"/>
      <w:jc w:val="left"/>
    </w:pPr>
    <w:rPr>
      <w:rFonts w:ascii="仿宋" w:hAnsi="仿宋" w:eastAsia="宋体" w:cs="仿宋"/>
      <w:kern w:val="0"/>
      <w:sz w:val="21"/>
      <w:szCs w:val="21"/>
    </w:rPr>
  </w:style>
  <w:style w:type="paragraph" w:styleId="7">
    <w:name w:val="toc 3"/>
    <w:basedOn w:val="1"/>
    <w:next w:val="1"/>
    <w:qFormat/>
    <w:uiPriority w:val="39"/>
    <w:pPr>
      <w:ind w:left="840" w:leftChars="400"/>
    </w:pPr>
  </w:style>
  <w:style w:type="paragraph" w:styleId="8">
    <w:name w:val="footer"/>
    <w:basedOn w:val="1"/>
    <w:link w:val="43"/>
    <w:unhideWhenUsed/>
    <w:qFormat/>
    <w:uiPriority w:val="99"/>
    <w:pPr>
      <w:tabs>
        <w:tab w:val="center" w:pos="4153"/>
        <w:tab w:val="right" w:pos="8306"/>
      </w:tabs>
      <w:snapToGrid w:val="0"/>
      <w:jc w:val="left"/>
    </w:pPr>
    <w:rPr>
      <w:sz w:val="18"/>
      <w:szCs w:val="18"/>
    </w:rPr>
  </w:style>
  <w:style w:type="paragraph" w:styleId="9">
    <w:name w:val="header"/>
    <w:basedOn w:val="1"/>
    <w:link w:val="4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paragraph" w:customStyle="1" w:styleId="16">
    <w:name w:val="样式1"/>
    <w:basedOn w:val="1"/>
    <w:qFormat/>
    <w:uiPriority w:val="0"/>
    <w:rPr>
      <w:rFonts w:hint="eastAsia" w:ascii="仿宋" w:hAnsi="仿宋" w:cs="仿宋"/>
    </w:rPr>
  </w:style>
  <w:style w:type="paragraph" w:customStyle="1" w:styleId="17">
    <w:name w:val="A4 正文"/>
    <w:basedOn w:val="1"/>
    <w:qFormat/>
    <w:uiPriority w:val="0"/>
    <w:pPr>
      <w:ind w:firstLine="480"/>
    </w:pPr>
    <w:rPr>
      <w:rFonts w:cs="Times New Roman"/>
      <w:kern w:val="0"/>
      <w:szCs w:val="20"/>
    </w:rPr>
  </w:style>
  <w:style w:type="table" w:customStyle="1" w:styleId="18">
    <w:name w:val="网格表 4 - 着色 53"/>
    <w:basedOn w:val="12"/>
    <w:qFormat/>
    <w:uiPriority w:val="49"/>
    <w:tblPr>
      <w:jc w:val="center"/>
      <w:tblBorders>
        <w:top w:val="single" w:color="D9E2F3" w:themeColor="accent5" w:themeTint="33" w:sz="4" w:space="0"/>
        <w:left w:val="single" w:color="D9E2F3" w:themeColor="accent5" w:themeTint="33" w:sz="4" w:space="0"/>
        <w:bottom w:val="single" w:color="D9E2F3" w:themeColor="accent5" w:themeTint="33" w:sz="4" w:space="0"/>
        <w:right w:val="single" w:color="D9E2F3" w:themeColor="accent5" w:themeTint="33" w:sz="4" w:space="0"/>
      </w:tblBorders>
    </w:tblPr>
    <w:trPr>
      <w:jc w:val="center"/>
    </w:trPr>
    <w:tcPr>
      <w:vAlign w:val="center"/>
    </w:tc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styleId="19">
    <w:name w:val="No Spacing"/>
    <w:qFormat/>
    <w:uiPriority w:val="1"/>
    <w:pPr>
      <w:widowControl w:val="0"/>
      <w:jc w:val="center"/>
    </w:pPr>
    <w:rPr>
      <w:rFonts w:ascii="Calibri" w:hAnsi="Calibri" w:eastAsia="仿宋" w:cs="Times New Roman"/>
      <w:b/>
      <w:kern w:val="2"/>
      <w:sz w:val="21"/>
      <w:szCs w:val="22"/>
      <w:lang w:val="en-US" w:eastAsia="zh-CN" w:bidi="ar-SA"/>
    </w:rPr>
  </w:style>
  <w:style w:type="table" w:customStyle="1" w:styleId="20">
    <w:name w:val="网格表 4 - 着色 51"/>
    <w:basedOn w:val="12"/>
    <w:qFormat/>
    <w:uiPriority w:val="49"/>
    <w:tblPr>
      <w:tblBorders>
        <w:top w:val="single" w:color="D9E2F3" w:themeColor="accent5" w:themeTint="33" w:sz="4" w:space="0"/>
        <w:left w:val="single" w:color="D9E2F3" w:themeColor="accent5" w:themeTint="33" w:sz="4" w:space="0"/>
        <w:bottom w:val="single" w:color="D9E2F3" w:themeColor="accent5" w:themeTint="33" w:sz="4" w:space="0"/>
        <w:right w:val="single" w:color="D9E2F3" w:themeColor="accent5" w:themeTint="33"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21">
    <w:name w:val="kuohao"/>
    <w:basedOn w:val="1"/>
    <w:qFormat/>
    <w:uiPriority w:val="0"/>
    <w:pPr>
      <w:jc w:val="left"/>
    </w:pPr>
    <w:rPr>
      <w:rFonts w:ascii="Calibri" w:hAnsi="Calibri" w:eastAsia="宋体" w:cs="Times New Roman"/>
      <w:b/>
      <w:sz w:val="21"/>
    </w:rPr>
  </w:style>
  <w:style w:type="table" w:customStyle="1" w:styleId="22">
    <w:name w:val="网格表 4 - 着色 112"/>
    <w:basedOn w:val="12"/>
    <w:qFormat/>
    <w:uiPriority w:val="49"/>
    <w:rPr>
      <w:rFonts w:asciiTheme="minorHAnsi" w:hAnsiTheme="minorHAnsi" w:eastAsiaTheme="minorEastAsia" w:cstheme="minorBidi"/>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23">
    <w:name w:val="A4正文"/>
    <w:basedOn w:val="1"/>
    <w:qFormat/>
    <w:uiPriority w:val="0"/>
    <w:pPr>
      <w:ind w:firstLine="480"/>
    </w:pPr>
  </w:style>
  <w:style w:type="table" w:customStyle="1" w:styleId="24">
    <w:name w:val="网格表 4 - 着色 11"/>
    <w:basedOn w:val="12"/>
    <w:qFormat/>
    <w:uiPriority w:val="49"/>
    <w:rPr>
      <w:rFonts w:asciiTheme="minorHAnsi" w:hAnsiTheme="minorHAnsi" w:eastAsiaTheme="minorEastAsia" w:cstheme="minorBidi"/>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5">
    <w:name w:val="网格表 4 - 着色 1122"/>
    <w:basedOn w:val="12"/>
    <w:qFormat/>
    <w:uiPriority w:val="49"/>
    <w:rPr>
      <w:rFonts w:asciiTheme="minorHAnsi" w:hAnsiTheme="minorHAnsi" w:eastAsiaTheme="minorEastAsia" w:cstheme="minorBidi"/>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6">
    <w:name w:val="清单表 5 深色 - 着色 11"/>
    <w:basedOn w:val="12"/>
    <w:qFormat/>
    <w:uiPriority w:val="50"/>
    <w:rPr>
      <w:rFonts w:asciiTheme="minorHAnsi" w:hAnsiTheme="minorHAnsi" w:eastAsiaTheme="minorEastAsia" w:cstheme="minorBidi"/>
      <w:color w:val="FFFFFF" w:themeColor="background1"/>
      <w14:textFill>
        <w14:solidFill>
          <w14:schemeClr w14:val="bg1"/>
        </w14:solidFill>
      </w14:textFill>
    </w:rPr>
    <w:tblPr>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
    <w:name w:val="网格表 4 - 着色 113"/>
    <w:basedOn w:val="12"/>
    <w:qFormat/>
    <w:uiPriority w:val="49"/>
    <w:rPr>
      <w:rFonts w:asciiTheme="minorHAnsi" w:hAnsiTheme="minorHAnsi" w:eastAsiaTheme="minorEastAsia" w:cstheme="minorBidi"/>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28">
    <w:name w:val="IE表格图名"/>
    <w:basedOn w:val="1"/>
    <w:qFormat/>
    <w:uiPriority w:val="0"/>
    <w:pPr>
      <w:topLinePunct/>
      <w:jc w:val="center"/>
    </w:pPr>
    <w:rPr>
      <w:rFonts w:cs="Times New Roman"/>
      <w:b/>
      <w:sz w:val="21"/>
    </w:rPr>
  </w:style>
  <w:style w:type="table" w:customStyle="1" w:styleId="29">
    <w:name w:val="网格表 5 深色 - 着色 51"/>
    <w:basedOn w:val="12"/>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30">
    <w:name w:val="网格表 4 - 着色 12"/>
    <w:basedOn w:val="12"/>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31">
    <w:name w:val="WPSOffice手动目录 1"/>
    <w:qFormat/>
    <w:uiPriority w:val="0"/>
    <w:rPr>
      <w:rFonts w:ascii="Calibri" w:hAnsi="Calibri" w:eastAsia="宋体" w:cs="Times New Roman"/>
      <w:lang w:val="en-US" w:eastAsia="zh-CN" w:bidi="ar-SA"/>
    </w:rPr>
  </w:style>
  <w:style w:type="paragraph" w:customStyle="1" w:styleId="32">
    <w:name w:val="WPSOffice手动目录 2"/>
    <w:qFormat/>
    <w:uiPriority w:val="0"/>
    <w:pPr>
      <w:ind w:left="200" w:leftChars="200"/>
    </w:pPr>
    <w:rPr>
      <w:rFonts w:ascii="Calibri" w:hAnsi="Calibri" w:eastAsia="宋体" w:cs="Times New Roman"/>
      <w:lang w:val="en-US" w:eastAsia="zh-CN" w:bidi="ar-SA"/>
    </w:rPr>
  </w:style>
  <w:style w:type="paragraph" w:customStyle="1" w:styleId="33">
    <w:name w:val="WPSOffice手动目录 3"/>
    <w:qFormat/>
    <w:uiPriority w:val="0"/>
    <w:pPr>
      <w:ind w:left="400" w:leftChars="400"/>
    </w:pPr>
    <w:rPr>
      <w:rFonts w:ascii="Calibri" w:hAnsi="Calibri" w:eastAsia="宋体" w:cs="Times New Roman"/>
      <w:lang w:val="en-US" w:eastAsia="zh-CN" w:bidi="ar-SA"/>
    </w:rPr>
  </w:style>
  <w:style w:type="paragraph" w:customStyle="1" w:styleId="34">
    <w:name w:val="表格内文字"/>
    <w:basedOn w:val="1"/>
    <w:qFormat/>
    <w:uiPriority w:val="0"/>
    <w:pPr>
      <w:spacing w:line="288" w:lineRule="auto"/>
      <w:jc w:val="center"/>
    </w:pPr>
    <w:rPr>
      <w:bCs/>
      <w:sz w:val="22"/>
    </w:rPr>
  </w:style>
  <w:style w:type="table" w:customStyle="1" w:styleId="35">
    <w:name w:val="网格表 4 - 着色 13"/>
    <w:basedOn w:val="12"/>
    <w:qFormat/>
    <w:uiPriority w:val="49"/>
    <w:rPr>
      <w:rFonts w:ascii="Times New Roman" w:hAnsi="Times New Roman"/>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36">
    <w:name w:val="网格型1"/>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表 2 - 着色 51"/>
    <w:basedOn w:val="12"/>
    <w:qFormat/>
    <w:uiPriority w:val="47"/>
    <w:tblPr>
      <w:tblBorders>
        <w:top w:val="single" w:color="8EAADB" w:themeColor="accent5" w:themeTint="99" w:sz="2" w:space="0"/>
        <w:bottom w:val="single" w:color="8EAADB" w:themeColor="accent5" w:themeTint="99" w:sz="2" w:space="0"/>
        <w:insideH w:val="single" w:color="8EAADB" w:themeColor="accent5" w:themeTint="99" w:sz="2" w:space="0"/>
        <w:insideV w:val="single" w:color="8EAADB" w:themeColor="accent5" w:themeTint="99" w:sz="2" w:space="0"/>
      </w:tblBorders>
    </w:tblPr>
    <w:tblStylePr w:type="firstRow">
      <w:rPr>
        <w:b/>
        <w:bCs/>
      </w:rPr>
      <w:tcPr>
        <w:tcBorders>
          <w:top w:val="nil"/>
          <w:bottom w:val="single" w:color="8EAADB" w:themeColor="accent5" w:themeTint="99" w:sz="12" w:space="0"/>
          <w:insideH w:val="nil"/>
          <w:insideV w:val="nil"/>
        </w:tcBorders>
        <w:shd w:val="clear" w:color="auto" w:fill="FFFFFF" w:themeFill="background1"/>
      </w:tcPr>
    </w:tblStylePr>
    <w:tblStylePr w:type="lastRow">
      <w:rPr>
        <w:b/>
        <w:bCs/>
      </w:rPr>
      <w:tcPr>
        <w:tcBorders>
          <w:top w:val="double" w:color="8EAAD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38">
    <w:name w:val="清单表 2 - 着色 51"/>
    <w:basedOn w:val="12"/>
    <w:qFormat/>
    <w:uiPriority w:val="47"/>
    <w:tblPr>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39">
    <w:name w:val="清单表 6 彩色 - 着色 11"/>
    <w:basedOn w:val="12"/>
    <w:qFormat/>
    <w:uiPriority w:val="51"/>
    <w:rPr>
      <w:color w:val="2E75B6" w:themeColor="accent1" w:themeShade="BF"/>
    </w:rPr>
    <w:tblPr>
      <w:tblBorders>
        <w:top w:val="single" w:color="5B9BD5" w:themeColor="accent1" w:sz="4" w:space="0"/>
        <w:bottom w:val="single" w:color="5B9BD5" w:themeColor="accent1" w:sz="4" w:space="0"/>
      </w:tblBorders>
    </w:tblPr>
    <w:tblStylePr w:type="firstRow">
      <w:rPr>
        <w:b/>
        <w:bCs/>
      </w:rPr>
      <w:tcPr>
        <w:tcBorders>
          <w:bottom w:val="single" w:color="5B9BD5" w:themeColor="accent1" w:sz="4" w:space="0"/>
        </w:tcBorders>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40">
    <w:name w:val="网格表 4 - 着色 14"/>
    <w:basedOn w:val="12"/>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1">
    <w:name w:val="正文文本 字符"/>
    <w:basedOn w:val="14"/>
    <w:link w:val="6"/>
    <w:qFormat/>
    <w:uiPriority w:val="1"/>
    <w:rPr>
      <w:rFonts w:ascii="仿宋" w:hAnsi="仿宋" w:cs="仿宋"/>
      <w:sz w:val="21"/>
      <w:szCs w:val="21"/>
    </w:rPr>
  </w:style>
  <w:style w:type="character" w:customStyle="1" w:styleId="42">
    <w:name w:val="页眉 字符"/>
    <w:basedOn w:val="14"/>
    <w:link w:val="9"/>
    <w:qFormat/>
    <w:uiPriority w:val="99"/>
    <w:rPr>
      <w:rFonts w:ascii="Times New Roman" w:hAnsi="Times New Roman" w:eastAsia="仿宋" w:cs="Arial"/>
      <w:kern w:val="2"/>
      <w:sz w:val="18"/>
      <w:szCs w:val="18"/>
    </w:rPr>
  </w:style>
  <w:style w:type="character" w:customStyle="1" w:styleId="43">
    <w:name w:val="页脚 字符"/>
    <w:basedOn w:val="14"/>
    <w:link w:val="8"/>
    <w:qFormat/>
    <w:uiPriority w:val="99"/>
    <w:rPr>
      <w:rFonts w:ascii="Times New Roman" w:hAnsi="Times New Roman" w:eastAsia="仿宋" w:cs="Arial"/>
      <w:kern w:val="2"/>
      <w:sz w:val="18"/>
      <w:szCs w:val="18"/>
    </w:rPr>
  </w:style>
  <w:style w:type="table" w:customStyle="1" w:styleId="44">
    <w:name w:val="网格表 5 深色 - 着色 11"/>
    <w:basedOn w:val="12"/>
    <w:qFormat/>
    <w:uiPriority w:val="50"/>
    <w:rPr>
      <w:rFonts w:asciiTheme="minorHAnsi" w:hAnsiTheme="minorHAnsi" w:eastAsiaTheme="minorEastAsia" w:cstheme="minorBid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character" w:customStyle="1" w:styleId="45">
    <w:name w:val="标题 4 字符"/>
    <w:basedOn w:val="14"/>
    <w:link w:val="5"/>
    <w:qFormat/>
    <w:uiPriority w:val="0"/>
    <w:rPr>
      <w:rFonts w:eastAsia="Times New Roman" w:asciiTheme="majorHAnsi" w:hAnsiTheme="majorHAnsi" w:cstheme="majorBidi"/>
      <w:b/>
      <w:bCs/>
      <w:kern w:val="2"/>
      <w:sz w:val="32"/>
      <w:szCs w:val="28"/>
    </w:rPr>
  </w:style>
  <w:style w:type="paragraph" w:styleId="46">
    <w:name w:val="List Paragraph"/>
    <w:basedOn w:val="1"/>
    <w:unhideWhenUsed/>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2226</Words>
  <Characters>12694</Characters>
  <Lines>105</Lines>
  <Paragraphs>29</Paragraphs>
  <TotalTime>51</TotalTime>
  <ScaleCrop>false</ScaleCrop>
  <LinksUpToDate>false</LinksUpToDate>
  <CharactersWithSpaces>14891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2023-07-30T09:32:00Z</dcterms:created>
  <dc:creator>我</dc:creator>
  <cp:lastModifiedBy>林锕</cp:lastModifiedBy>
  <dcterms:modified xsi:type="dcterms:W3CDTF">2023-07-30T17:43:46Z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0B636356B3484E45A07C30D78619E95D_13</vt:lpwstr>
  </property>
</Properties>
</file>