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before="156" w:after="156"/>
        <w:ind w:left="0" w:leftChars="0" w:firstLine="0" w:firstLineChars="0"/>
        <w:jc w:val="center"/>
        <w:rPr>
          <w:rFonts w:ascii="楷体" w:hAnsi="楷体" w:eastAsia="楷体"/>
          <w:b/>
          <w:sz w:val="36"/>
          <w:szCs w:val="36"/>
        </w:rPr>
      </w:pPr>
      <w:bookmarkStart w:id="0" w:name="_Toc141661853"/>
      <w:r>
        <w:rPr>
          <w:rFonts w:ascii="楷体" w:hAnsi="楷体" w:eastAsia="楷体"/>
        </w:rPr>
        <w:drawing>
          <wp:anchor distT="0" distB="0" distL="0" distR="0" simplePos="0" relativeHeight="251664384"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7"/>
        <w:spacing w:before="156" w:after="156"/>
        <w:ind w:left="0" w:leftChars="0" w:firstLine="0" w:firstLineChars="0"/>
        <w:jc w:val="center"/>
        <w:outlineLvl w:val="0"/>
        <w:rPr>
          <w:rFonts w:ascii="楷体" w:hAnsi="楷体" w:eastAsia="楷体"/>
          <w:b/>
          <w:sz w:val="36"/>
          <w:szCs w:val="36"/>
        </w:rPr>
      </w:pPr>
      <w:bookmarkStart w:id="1" w:name="_Toc3755"/>
      <w:bookmarkStart w:id="2" w:name="_Toc21352"/>
      <w:bookmarkStart w:id="3" w:name="_Toc17817"/>
      <w:bookmarkStart w:id="4" w:name="_Toc2337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1"/>
      <w:bookmarkEnd w:id="2"/>
      <w:bookmarkEnd w:id="3"/>
      <w:bookmarkEnd w:id="4"/>
    </w:p>
    <w:p>
      <w:pPr>
        <w:pStyle w:val="7"/>
        <w:spacing w:before="156" w:after="156"/>
        <w:jc w:val="center"/>
        <w:rPr>
          <w:rFonts w:ascii="宋体" w:hAnsi="宋体"/>
          <w:sz w:val="20"/>
        </w:rPr>
      </w:pPr>
    </w:p>
    <w:p>
      <w:pPr>
        <w:pStyle w:val="7"/>
        <w:spacing w:before="156" w:after="156"/>
        <w:jc w:val="center"/>
        <w:outlineLvl w:val="0"/>
        <w:rPr>
          <w:rFonts w:ascii="楷体" w:hAnsi="楷体" w:eastAsia="楷体"/>
          <w:b/>
          <w:sz w:val="48"/>
          <w:szCs w:val="48"/>
        </w:rPr>
      </w:pPr>
      <w:bookmarkStart w:id="5" w:name="_Toc11633"/>
      <w:bookmarkStart w:id="6" w:name="_Toc25062"/>
      <w:r>
        <w:rPr>
          <w:rFonts w:hint="eastAsia" w:ascii="楷体" w:hAnsi="楷体" w:eastAsia="楷体"/>
          <w:b/>
          <w:sz w:val="48"/>
          <w:szCs w:val="48"/>
        </w:rPr>
        <w:t>重庆华峰化工有限公司</w:t>
      </w:r>
      <w:bookmarkEnd w:id="5"/>
      <w:bookmarkEnd w:id="6"/>
    </w:p>
    <w:p>
      <w:pPr>
        <w:pStyle w:val="7"/>
        <w:spacing w:before="156" w:after="156"/>
        <w:jc w:val="center"/>
        <w:outlineLvl w:val="0"/>
        <w:rPr>
          <w:rFonts w:ascii="楷体" w:hAnsi="楷体" w:eastAsia="楷体"/>
          <w:b/>
          <w:sz w:val="48"/>
          <w:szCs w:val="48"/>
        </w:rPr>
      </w:pPr>
      <w:bookmarkStart w:id="7" w:name="_Toc2331"/>
      <w:bookmarkStart w:id="8" w:name="_Toc10427"/>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7"/>
      <w:bookmarkEnd w:id="8"/>
    </w:p>
    <w:p>
      <w:pPr>
        <w:pStyle w:val="7"/>
        <w:spacing w:before="156" w:after="156"/>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1" cstate="print"/>
                    <a:stretch>
                      <a:fillRect/>
                    </a:stretch>
                  </pic:blipFill>
                  <pic:spPr>
                    <a:xfrm>
                      <a:off x="0" y="0"/>
                      <a:ext cx="7573527" cy="4072664"/>
                    </a:xfrm>
                    <a:prstGeom prst="rect">
                      <a:avLst/>
                    </a:prstGeom>
                  </pic:spPr>
                </pic:pic>
              </a:graphicData>
            </a:graphic>
          </wp:anchor>
        </w:drawing>
      </w:r>
      <w:bookmarkStart w:id="81" w:name="_GoBack"/>
      <w:bookmarkEnd w:id="81"/>
      <w:r>
        <w:rPr>
          <w:rFonts w:hint="eastAsia" w:ascii="楷体" w:hAnsi="楷体" w:eastAsia="楷体"/>
          <w:b/>
          <w:sz w:val="72"/>
          <w:szCs w:val="72"/>
          <w:lang w:val="en-US" w:eastAsia="zh-CN"/>
        </w:rPr>
        <w:t>经济分析</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3360" behindDoc="0" locked="0" layoutInCell="1" allowOverlap="1">
                <wp:simplePos x="0" y="0"/>
                <wp:positionH relativeFrom="margin">
                  <wp:posOffset>-864870</wp:posOffset>
                </wp:positionH>
                <wp:positionV relativeFrom="paragraph">
                  <wp:posOffset>3545840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8.1pt;margin-top:279.2pt;height:132.1pt;width:551.55pt;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23jb9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lang w:val="zh-CN"/>
        </w:rPr>
        <w:id w:val="74871983"/>
        <w:docPartObj>
          <w:docPartGallery w:val="Table of Contents"/>
          <w:docPartUnique/>
        </w:docPartObj>
      </w:sdtPr>
      <w:sdtEndPr>
        <w:rPr>
          <w:rFonts w:ascii="宋体" w:hAnsi="宋体" w:eastAsia="宋体" w:cstheme="minorBidi"/>
          <w:b/>
          <w:bCs/>
          <w:color w:val="auto"/>
          <w:kern w:val="2"/>
          <w:sz w:val="21"/>
          <w:szCs w:val="22"/>
          <w:lang w:val="zh-CN"/>
        </w:rPr>
      </w:sdtEndPr>
      <w:sdtContent>
        <w:p>
          <w:pPr>
            <w:pStyle w:val="73"/>
            <w:jc w:val="center"/>
            <w:rPr>
              <w:b/>
              <w:sz w:val="52"/>
              <w:szCs w:val="52"/>
            </w:rPr>
          </w:pPr>
          <w:r>
            <w:rPr>
              <w:b/>
              <w:sz w:val="52"/>
              <w:szCs w:val="52"/>
              <w:lang w:val="zh-CN"/>
            </w:rPr>
            <w:t>目录</w:t>
          </w:r>
        </w:p>
        <w:p>
          <w:pPr>
            <w:pStyle w:val="12"/>
            <w:tabs>
              <w:tab w:val="right" w:leader="dot" w:pos="8296"/>
            </w:tabs>
          </w:pPr>
          <w:r>
            <w:fldChar w:fldCharType="begin"/>
          </w:r>
          <w:r>
            <w:instrText xml:space="preserve"> TOC \o "1-3" \h \z \u </w:instrText>
          </w:r>
          <w:r>
            <w:fldChar w:fldCharType="separate"/>
          </w:r>
          <w:r>
            <w:fldChar w:fldCharType="begin"/>
          </w:r>
          <w:r>
            <w:instrText xml:space="preserve"> HYPERLINK \l "_Toc141669643" </w:instrText>
          </w:r>
          <w:r>
            <w:fldChar w:fldCharType="separate"/>
          </w:r>
          <w:r>
            <w:rPr>
              <w:rStyle w:val="19"/>
              <w:rFonts w:ascii="Times New Roman" w:hAnsi="Times New Roman" w:cs="Times New Roman"/>
              <w:b/>
              <w:bCs/>
              <w:kern w:val="44"/>
            </w:rPr>
            <w:t>第一章 投资估算和资金筹措</w:t>
          </w:r>
          <w:r>
            <w:tab/>
          </w:r>
          <w:r>
            <w:fldChar w:fldCharType="begin"/>
          </w:r>
          <w:r>
            <w:instrText xml:space="preserve"> PAGEREF _Toc141669643 \h </w:instrText>
          </w:r>
          <w:r>
            <w:fldChar w:fldCharType="separate"/>
          </w:r>
          <w:r>
            <w:t>3</w:t>
          </w:r>
          <w:r>
            <w:fldChar w:fldCharType="end"/>
          </w:r>
          <w:r>
            <w:fldChar w:fldCharType="end"/>
          </w:r>
        </w:p>
        <w:p>
          <w:pPr>
            <w:pStyle w:val="13"/>
            <w:tabs>
              <w:tab w:val="right" w:leader="dot" w:pos="8296"/>
            </w:tabs>
          </w:pPr>
          <w:r>
            <w:fldChar w:fldCharType="begin"/>
          </w:r>
          <w:r>
            <w:instrText xml:space="preserve"> HYPERLINK \l "_Toc141669644" </w:instrText>
          </w:r>
          <w:r>
            <w:fldChar w:fldCharType="separate"/>
          </w:r>
          <w:r>
            <w:rPr>
              <w:rStyle w:val="19"/>
              <w:rFonts w:ascii="Times New Roman" w:hAnsi="Times New Roman" w:cs="Times New Roman"/>
              <w:b/>
              <w:bCs/>
              <w:kern w:val="0"/>
            </w:rPr>
            <w:t>1.1 工程概况</w:t>
          </w:r>
          <w:r>
            <w:tab/>
          </w:r>
          <w:r>
            <w:fldChar w:fldCharType="begin"/>
          </w:r>
          <w:r>
            <w:instrText xml:space="preserve"> PAGEREF _Toc141669644 \h </w:instrText>
          </w:r>
          <w:r>
            <w:fldChar w:fldCharType="separate"/>
          </w:r>
          <w:r>
            <w:t>3</w:t>
          </w:r>
          <w:r>
            <w:fldChar w:fldCharType="end"/>
          </w:r>
          <w:r>
            <w:fldChar w:fldCharType="end"/>
          </w:r>
        </w:p>
        <w:p>
          <w:pPr>
            <w:pStyle w:val="13"/>
            <w:tabs>
              <w:tab w:val="right" w:leader="dot" w:pos="8296"/>
            </w:tabs>
          </w:pPr>
          <w:r>
            <w:fldChar w:fldCharType="begin"/>
          </w:r>
          <w:r>
            <w:instrText xml:space="preserve"> HYPERLINK \l "_Toc141669645" </w:instrText>
          </w:r>
          <w:r>
            <w:fldChar w:fldCharType="separate"/>
          </w:r>
          <w:r>
            <w:rPr>
              <w:rStyle w:val="19"/>
              <w:rFonts w:ascii="Times New Roman" w:hAnsi="Times New Roman" w:cs="Times New Roman"/>
              <w:b/>
              <w:bCs/>
              <w:kern w:val="0"/>
            </w:rPr>
            <w:t>1.2 编制依据</w:t>
          </w:r>
          <w:r>
            <w:tab/>
          </w:r>
          <w:r>
            <w:fldChar w:fldCharType="begin"/>
          </w:r>
          <w:r>
            <w:instrText xml:space="preserve"> PAGEREF _Toc141669645 \h </w:instrText>
          </w:r>
          <w:r>
            <w:fldChar w:fldCharType="separate"/>
          </w:r>
          <w:r>
            <w:t>3</w:t>
          </w:r>
          <w:r>
            <w:fldChar w:fldCharType="end"/>
          </w:r>
          <w:r>
            <w:fldChar w:fldCharType="end"/>
          </w:r>
        </w:p>
        <w:p>
          <w:pPr>
            <w:pStyle w:val="13"/>
            <w:tabs>
              <w:tab w:val="right" w:leader="dot" w:pos="8296"/>
            </w:tabs>
          </w:pPr>
          <w:r>
            <w:fldChar w:fldCharType="begin"/>
          </w:r>
          <w:r>
            <w:instrText xml:space="preserve"> HYPERLINK \l "_Toc141669646" </w:instrText>
          </w:r>
          <w:r>
            <w:fldChar w:fldCharType="separate"/>
          </w:r>
          <w:r>
            <w:rPr>
              <w:rStyle w:val="19"/>
              <w:rFonts w:ascii="Times New Roman" w:hAnsi="Times New Roman" w:cs="Times New Roman"/>
              <w:b/>
              <w:bCs/>
              <w:kern w:val="0"/>
            </w:rPr>
            <w:t>1.3 建设投资估算</w:t>
          </w:r>
          <w:r>
            <w:tab/>
          </w:r>
          <w:r>
            <w:fldChar w:fldCharType="begin"/>
          </w:r>
          <w:r>
            <w:instrText xml:space="preserve"> PAGEREF _Toc141669646 \h </w:instrText>
          </w:r>
          <w:r>
            <w:fldChar w:fldCharType="separate"/>
          </w:r>
          <w:r>
            <w:t>3</w:t>
          </w:r>
          <w:r>
            <w:fldChar w:fldCharType="end"/>
          </w:r>
          <w:r>
            <w:fldChar w:fldCharType="end"/>
          </w:r>
        </w:p>
        <w:p>
          <w:pPr>
            <w:pStyle w:val="8"/>
            <w:tabs>
              <w:tab w:val="right" w:leader="dot" w:pos="8296"/>
            </w:tabs>
          </w:pPr>
          <w:r>
            <w:fldChar w:fldCharType="begin"/>
          </w:r>
          <w:r>
            <w:instrText xml:space="preserve"> HYPERLINK \l "_Toc141669647" </w:instrText>
          </w:r>
          <w:r>
            <w:fldChar w:fldCharType="separate"/>
          </w:r>
          <w:r>
            <w:rPr>
              <w:rStyle w:val="19"/>
              <w:rFonts w:cs="仿宋"/>
              <w:b/>
              <w:bCs/>
              <w:kern w:val="0"/>
            </w:rPr>
            <w:t>1.3.1 固定资产费用</w:t>
          </w:r>
          <w:r>
            <w:tab/>
          </w:r>
          <w:r>
            <w:fldChar w:fldCharType="begin"/>
          </w:r>
          <w:r>
            <w:instrText xml:space="preserve"> PAGEREF _Toc141669647 \h </w:instrText>
          </w:r>
          <w:r>
            <w:fldChar w:fldCharType="separate"/>
          </w:r>
          <w:r>
            <w:t>3</w:t>
          </w:r>
          <w:r>
            <w:fldChar w:fldCharType="end"/>
          </w:r>
          <w:r>
            <w:fldChar w:fldCharType="end"/>
          </w:r>
        </w:p>
        <w:p>
          <w:pPr>
            <w:pStyle w:val="8"/>
            <w:tabs>
              <w:tab w:val="right" w:leader="dot" w:pos="8296"/>
            </w:tabs>
          </w:pPr>
          <w:r>
            <w:fldChar w:fldCharType="begin"/>
          </w:r>
          <w:r>
            <w:instrText xml:space="preserve"> HYPERLINK \l "_Toc141669648" </w:instrText>
          </w:r>
          <w:r>
            <w:fldChar w:fldCharType="separate"/>
          </w:r>
          <w:r>
            <w:rPr>
              <w:rStyle w:val="19"/>
              <w:rFonts w:cs="仿宋"/>
              <w:b/>
              <w:bCs/>
              <w:kern w:val="0"/>
            </w:rPr>
            <w:t>1.3.2 无形资产费用</w:t>
          </w:r>
          <w:r>
            <w:tab/>
          </w:r>
          <w:r>
            <w:fldChar w:fldCharType="begin"/>
          </w:r>
          <w:r>
            <w:instrText xml:space="preserve"> PAGEREF _Toc141669648 \h </w:instrText>
          </w:r>
          <w:r>
            <w:fldChar w:fldCharType="separate"/>
          </w:r>
          <w:r>
            <w:t>9</w:t>
          </w:r>
          <w:r>
            <w:fldChar w:fldCharType="end"/>
          </w:r>
          <w:r>
            <w:fldChar w:fldCharType="end"/>
          </w:r>
        </w:p>
        <w:p>
          <w:pPr>
            <w:pStyle w:val="8"/>
            <w:tabs>
              <w:tab w:val="right" w:leader="dot" w:pos="8296"/>
            </w:tabs>
          </w:pPr>
          <w:r>
            <w:fldChar w:fldCharType="begin"/>
          </w:r>
          <w:r>
            <w:instrText xml:space="preserve"> HYPERLINK \l "_Toc141669649" </w:instrText>
          </w:r>
          <w:r>
            <w:fldChar w:fldCharType="separate"/>
          </w:r>
          <w:r>
            <w:rPr>
              <w:rStyle w:val="19"/>
              <w:rFonts w:cs="仿宋"/>
              <w:b/>
              <w:bCs/>
              <w:kern w:val="0"/>
            </w:rPr>
            <w:t>1.3.3 递延资产费用</w:t>
          </w:r>
          <w:r>
            <w:tab/>
          </w:r>
          <w:r>
            <w:fldChar w:fldCharType="begin"/>
          </w:r>
          <w:r>
            <w:instrText xml:space="preserve"> PAGEREF _Toc141669649 \h </w:instrText>
          </w:r>
          <w:r>
            <w:fldChar w:fldCharType="separate"/>
          </w:r>
          <w:r>
            <w:t>9</w:t>
          </w:r>
          <w:r>
            <w:fldChar w:fldCharType="end"/>
          </w:r>
          <w:r>
            <w:fldChar w:fldCharType="end"/>
          </w:r>
        </w:p>
        <w:p>
          <w:pPr>
            <w:pStyle w:val="8"/>
            <w:tabs>
              <w:tab w:val="right" w:leader="dot" w:pos="8296"/>
            </w:tabs>
          </w:pPr>
          <w:r>
            <w:fldChar w:fldCharType="begin"/>
          </w:r>
          <w:r>
            <w:instrText xml:space="preserve"> HYPERLINK \l "_Toc141669650" </w:instrText>
          </w:r>
          <w:r>
            <w:fldChar w:fldCharType="separate"/>
          </w:r>
          <w:r>
            <w:rPr>
              <w:rStyle w:val="19"/>
              <w:rFonts w:ascii="Times New Roman" w:hAnsi="Times New Roman" w:cs="Times New Roman"/>
              <w:b/>
              <w:bCs/>
            </w:rPr>
            <w:t>1.3.4 预备费用</w:t>
          </w:r>
          <w:r>
            <w:tab/>
          </w:r>
          <w:r>
            <w:fldChar w:fldCharType="begin"/>
          </w:r>
          <w:r>
            <w:instrText xml:space="preserve"> PAGEREF _Toc141669650 \h </w:instrText>
          </w:r>
          <w:r>
            <w:fldChar w:fldCharType="separate"/>
          </w:r>
          <w:r>
            <w:t>10</w:t>
          </w:r>
          <w:r>
            <w:fldChar w:fldCharType="end"/>
          </w:r>
          <w:r>
            <w:fldChar w:fldCharType="end"/>
          </w:r>
        </w:p>
        <w:p>
          <w:pPr>
            <w:pStyle w:val="8"/>
            <w:tabs>
              <w:tab w:val="right" w:leader="dot" w:pos="8296"/>
            </w:tabs>
          </w:pPr>
          <w:r>
            <w:fldChar w:fldCharType="begin"/>
          </w:r>
          <w:r>
            <w:instrText xml:space="preserve"> HYPERLINK \l "_Toc141669651" </w:instrText>
          </w:r>
          <w:r>
            <w:fldChar w:fldCharType="separate"/>
          </w:r>
          <w:r>
            <w:rPr>
              <w:rStyle w:val="19"/>
              <w:rFonts w:ascii="Times New Roman" w:hAnsi="Times New Roman" w:cs="Times New Roman"/>
              <w:b/>
              <w:bCs/>
            </w:rPr>
            <w:t>1.3.5 建设投资估算表</w:t>
          </w:r>
          <w:r>
            <w:tab/>
          </w:r>
          <w:r>
            <w:fldChar w:fldCharType="begin"/>
          </w:r>
          <w:r>
            <w:instrText xml:space="preserve"> PAGEREF _Toc141669651 \h </w:instrText>
          </w:r>
          <w:r>
            <w:fldChar w:fldCharType="separate"/>
          </w:r>
          <w:r>
            <w:t>10</w:t>
          </w:r>
          <w:r>
            <w:fldChar w:fldCharType="end"/>
          </w:r>
          <w:r>
            <w:fldChar w:fldCharType="end"/>
          </w:r>
        </w:p>
        <w:p>
          <w:pPr>
            <w:pStyle w:val="13"/>
            <w:tabs>
              <w:tab w:val="right" w:leader="dot" w:pos="8296"/>
            </w:tabs>
          </w:pPr>
          <w:r>
            <w:fldChar w:fldCharType="begin"/>
          </w:r>
          <w:r>
            <w:instrText xml:space="preserve"> HYPERLINK \l "_Toc141669652" </w:instrText>
          </w:r>
          <w:r>
            <w:fldChar w:fldCharType="separate"/>
          </w:r>
          <w:r>
            <w:rPr>
              <w:rStyle w:val="19"/>
              <w:rFonts w:ascii="Times New Roman" w:hAnsi="Times New Roman" w:cs="Times New Roman"/>
              <w:b/>
              <w:bCs/>
              <w:kern w:val="0"/>
            </w:rPr>
            <w:t>1.4 建设期利息估算</w:t>
          </w:r>
          <w:r>
            <w:tab/>
          </w:r>
          <w:r>
            <w:fldChar w:fldCharType="begin"/>
          </w:r>
          <w:r>
            <w:instrText xml:space="preserve"> PAGEREF _Toc141669652 \h </w:instrText>
          </w:r>
          <w:r>
            <w:fldChar w:fldCharType="separate"/>
          </w:r>
          <w:r>
            <w:t>10</w:t>
          </w:r>
          <w:r>
            <w:fldChar w:fldCharType="end"/>
          </w:r>
          <w:r>
            <w:fldChar w:fldCharType="end"/>
          </w:r>
        </w:p>
        <w:p>
          <w:pPr>
            <w:pStyle w:val="13"/>
            <w:tabs>
              <w:tab w:val="right" w:leader="dot" w:pos="8296"/>
            </w:tabs>
          </w:pPr>
          <w:r>
            <w:fldChar w:fldCharType="begin"/>
          </w:r>
          <w:r>
            <w:instrText xml:space="preserve"> HYPERLINK \l "_Toc141669653" </w:instrText>
          </w:r>
          <w:r>
            <w:fldChar w:fldCharType="separate"/>
          </w:r>
          <w:r>
            <w:rPr>
              <w:rStyle w:val="19"/>
              <w:rFonts w:ascii="Times New Roman" w:hAnsi="Times New Roman" w:cs="Times New Roman"/>
              <w:b/>
              <w:bCs/>
              <w:kern w:val="0"/>
            </w:rPr>
            <w:t>1.5 流动资金</w:t>
          </w:r>
          <w:r>
            <w:tab/>
          </w:r>
          <w:r>
            <w:fldChar w:fldCharType="begin"/>
          </w:r>
          <w:r>
            <w:instrText xml:space="preserve"> PAGEREF _Toc141669653 \h </w:instrText>
          </w:r>
          <w:r>
            <w:fldChar w:fldCharType="separate"/>
          </w:r>
          <w:r>
            <w:t>11</w:t>
          </w:r>
          <w:r>
            <w:fldChar w:fldCharType="end"/>
          </w:r>
          <w:r>
            <w:fldChar w:fldCharType="end"/>
          </w:r>
        </w:p>
        <w:p>
          <w:pPr>
            <w:pStyle w:val="13"/>
            <w:tabs>
              <w:tab w:val="right" w:leader="dot" w:pos="8296"/>
            </w:tabs>
          </w:pPr>
          <w:r>
            <w:fldChar w:fldCharType="begin"/>
          </w:r>
          <w:r>
            <w:instrText xml:space="preserve"> HYPERLINK \l "_Toc141669654" </w:instrText>
          </w:r>
          <w:r>
            <w:fldChar w:fldCharType="separate"/>
          </w:r>
          <w:r>
            <w:rPr>
              <w:rStyle w:val="19"/>
              <w:rFonts w:ascii="Times New Roman" w:hAnsi="Times New Roman" w:cs="Times New Roman"/>
              <w:b/>
              <w:bCs/>
              <w:kern w:val="0"/>
            </w:rPr>
            <w:t>1.6 固定资产投资方向调节税</w:t>
          </w:r>
          <w:r>
            <w:tab/>
          </w:r>
          <w:r>
            <w:fldChar w:fldCharType="begin"/>
          </w:r>
          <w:r>
            <w:instrText xml:space="preserve"> PAGEREF _Toc141669654 \h </w:instrText>
          </w:r>
          <w:r>
            <w:fldChar w:fldCharType="separate"/>
          </w:r>
          <w:r>
            <w:t>11</w:t>
          </w:r>
          <w:r>
            <w:fldChar w:fldCharType="end"/>
          </w:r>
          <w:r>
            <w:fldChar w:fldCharType="end"/>
          </w:r>
        </w:p>
        <w:p>
          <w:pPr>
            <w:pStyle w:val="13"/>
            <w:tabs>
              <w:tab w:val="right" w:leader="dot" w:pos="8296"/>
            </w:tabs>
          </w:pPr>
          <w:r>
            <w:fldChar w:fldCharType="begin"/>
          </w:r>
          <w:r>
            <w:instrText xml:space="preserve"> HYPERLINK \l "_Toc141669655" </w:instrText>
          </w:r>
          <w:r>
            <w:fldChar w:fldCharType="separate"/>
          </w:r>
          <w:r>
            <w:rPr>
              <w:rStyle w:val="19"/>
              <w:rFonts w:ascii="Times New Roman" w:hAnsi="Times New Roman" w:cs="Times New Roman"/>
              <w:b/>
              <w:bCs/>
              <w:kern w:val="0"/>
            </w:rPr>
            <w:t>1.7 项目总投资汇总</w:t>
          </w:r>
          <w:r>
            <w:tab/>
          </w:r>
          <w:r>
            <w:fldChar w:fldCharType="begin"/>
          </w:r>
          <w:r>
            <w:instrText xml:space="preserve"> PAGEREF _Toc141669655 \h </w:instrText>
          </w:r>
          <w:r>
            <w:fldChar w:fldCharType="separate"/>
          </w:r>
          <w:r>
            <w:t>11</w:t>
          </w:r>
          <w:r>
            <w:fldChar w:fldCharType="end"/>
          </w:r>
          <w:r>
            <w:fldChar w:fldCharType="end"/>
          </w:r>
        </w:p>
        <w:p>
          <w:pPr>
            <w:pStyle w:val="12"/>
            <w:tabs>
              <w:tab w:val="right" w:leader="dot" w:pos="8296"/>
            </w:tabs>
          </w:pPr>
          <w:r>
            <w:fldChar w:fldCharType="begin"/>
          </w:r>
          <w:r>
            <w:instrText xml:space="preserve"> HYPERLINK \l "_Toc141669656" </w:instrText>
          </w:r>
          <w:r>
            <w:fldChar w:fldCharType="separate"/>
          </w:r>
          <w:r>
            <w:rPr>
              <w:rStyle w:val="19"/>
              <w:rFonts w:ascii="Times New Roman" w:hAnsi="Times New Roman" w:cs="Times New Roman"/>
              <w:b/>
              <w:bCs/>
              <w:kern w:val="44"/>
            </w:rPr>
            <w:t>第二章 财务与经济评价</w:t>
          </w:r>
          <w:r>
            <w:tab/>
          </w:r>
          <w:r>
            <w:fldChar w:fldCharType="begin"/>
          </w:r>
          <w:r>
            <w:instrText xml:space="preserve"> PAGEREF _Toc141669656 \h </w:instrText>
          </w:r>
          <w:r>
            <w:fldChar w:fldCharType="separate"/>
          </w:r>
          <w:r>
            <w:t>12</w:t>
          </w:r>
          <w:r>
            <w:fldChar w:fldCharType="end"/>
          </w:r>
          <w:r>
            <w:fldChar w:fldCharType="end"/>
          </w:r>
        </w:p>
        <w:p>
          <w:pPr>
            <w:pStyle w:val="13"/>
            <w:tabs>
              <w:tab w:val="right" w:leader="dot" w:pos="8296"/>
            </w:tabs>
          </w:pPr>
          <w:r>
            <w:fldChar w:fldCharType="begin"/>
          </w:r>
          <w:r>
            <w:instrText xml:space="preserve"> HYPERLINK \l "_Toc141669657" </w:instrText>
          </w:r>
          <w:r>
            <w:fldChar w:fldCharType="separate"/>
          </w:r>
          <w:r>
            <w:rPr>
              <w:rStyle w:val="19"/>
              <w:rFonts w:ascii="Times New Roman" w:hAnsi="Times New Roman" w:cs="Times New Roman"/>
              <w:b/>
              <w:bCs/>
              <w:kern w:val="0"/>
            </w:rPr>
            <w:t>2.1 产品总成本和费用估算</w:t>
          </w:r>
          <w:r>
            <w:tab/>
          </w:r>
          <w:r>
            <w:fldChar w:fldCharType="begin"/>
          </w:r>
          <w:r>
            <w:instrText xml:space="preserve"> PAGEREF _Toc141669657 \h </w:instrText>
          </w:r>
          <w:r>
            <w:fldChar w:fldCharType="separate"/>
          </w:r>
          <w:r>
            <w:t>12</w:t>
          </w:r>
          <w:r>
            <w:fldChar w:fldCharType="end"/>
          </w:r>
          <w:r>
            <w:fldChar w:fldCharType="end"/>
          </w:r>
        </w:p>
        <w:p>
          <w:pPr>
            <w:pStyle w:val="8"/>
            <w:tabs>
              <w:tab w:val="right" w:leader="dot" w:pos="8296"/>
            </w:tabs>
          </w:pPr>
          <w:r>
            <w:fldChar w:fldCharType="begin"/>
          </w:r>
          <w:r>
            <w:instrText xml:space="preserve"> HYPERLINK \l "_Toc141669658" </w:instrText>
          </w:r>
          <w:r>
            <w:fldChar w:fldCharType="separate"/>
          </w:r>
          <w:r>
            <w:rPr>
              <w:rStyle w:val="19"/>
              <w:rFonts w:ascii="Times New Roman" w:hAnsi="Times New Roman" w:cs="Times New Roman"/>
              <w:b/>
              <w:bCs/>
            </w:rPr>
            <w:t>2.1.1 成本估算说明</w:t>
          </w:r>
          <w:r>
            <w:tab/>
          </w:r>
          <w:r>
            <w:fldChar w:fldCharType="begin"/>
          </w:r>
          <w:r>
            <w:instrText xml:space="preserve"> PAGEREF _Toc141669658 \h </w:instrText>
          </w:r>
          <w:r>
            <w:fldChar w:fldCharType="separate"/>
          </w:r>
          <w:r>
            <w:t>12</w:t>
          </w:r>
          <w:r>
            <w:fldChar w:fldCharType="end"/>
          </w:r>
          <w:r>
            <w:fldChar w:fldCharType="end"/>
          </w:r>
        </w:p>
        <w:p>
          <w:pPr>
            <w:pStyle w:val="8"/>
            <w:tabs>
              <w:tab w:val="right" w:leader="dot" w:pos="8296"/>
            </w:tabs>
          </w:pPr>
          <w:r>
            <w:fldChar w:fldCharType="begin"/>
          </w:r>
          <w:r>
            <w:instrText xml:space="preserve"> HYPERLINK \l "_Toc141669659" </w:instrText>
          </w:r>
          <w:r>
            <w:fldChar w:fldCharType="separate"/>
          </w:r>
          <w:r>
            <w:rPr>
              <w:rStyle w:val="19"/>
              <w:rFonts w:ascii="Times New Roman" w:hAnsi="Times New Roman" w:cs="Times New Roman"/>
              <w:b/>
              <w:bCs/>
            </w:rPr>
            <w:t>2.1.2 产品总成本费用估算</w:t>
          </w:r>
          <w:r>
            <w:tab/>
          </w:r>
          <w:r>
            <w:fldChar w:fldCharType="begin"/>
          </w:r>
          <w:r>
            <w:instrText xml:space="preserve"> PAGEREF _Toc141669659 \h </w:instrText>
          </w:r>
          <w:r>
            <w:fldChar w:fldCharType="separate"/>
          </w:r>
          <w:r>
            <w:t>12</w:t>
          </w:r>
          <w:r>
            <w:fldChar w:fldCharType="end"/>
          </w:r>
          <w:r>
            <w:fldChar w:fldCharType="end"/>
          </w:r>
        </w:p>
        <w:p>
          <w:pPr>
            <w:pStyle w:val="13"/>
            <w:tabs>
              <w:tab w:val="right" w:leader="dot" w:pos="8296"/>
            </w:tabs>
          </w:pPr>
          <w:r>
            <w:fldChar w:fldCharType="begin"/>
          </w:r>
          <w:r>
            <w:instrText xml:space="preserve"> HYPERLINK \l "_Toc141669660" </w:instrText>
          </w:r>
          <w:r>
            <w:fldChar w:fldCharType="separate"/>
          </w:r>
          <w:r>
            <w:rPr>
              <w:rStyle w:val="19"/>
              <w:rFonts w:ascii="Times New Roman" w:hAnsi="Times New Roman" w:cs="Times New Roman"/>
              <w:b/>
              <w:bCs/>
              <w:kern w:val="0"/>
            </w:rPr>
            <w:t>2.2 销售收入和税金估算</w:t>
          </w:r>
          <w:r>
            <w:tab/>
          </w:r>
          <w:r>
            <w:fldChar w:fldCharType="begin"/>
          </w:r>
          <w:r>
            <w:instrText xml:space="preserve"> PAGEREF _Toc141669660 \h </w:instrText>
          </w:r>
          <w:r>
            <w:fldChar w:fldCharType="separate"/>
          </w:r>
          <w:r>
            <w:t>15</w:t>
          </w:r>
          <w:r>
            <w:fldChar w:fldCharType="end"/>
          </w:r>
          <w:r>
            <w:fldChar w:fldCharType="end"/>
          </w:r>
        </w:p>
        <w:p>
          <w:pPr>
            <w:pStyle w:val="8"/>
            <w:tabs>
              <w:tab w:val="right" w:leader="dot" w:pos="8296"/>
            </w:tabs>
          </w:pPr>
          <w:r>
            <w:fldChar w:fldCharType="begin"/>
          </w:r>
          <w:r>
            <w:instrText xml:space="preserve"> HYPERLINK \l "_Toc141669661" </w:instrText>
          </w:r>
          <w:r>
            <w:fldChar w:fldCharType="separate"/>
          </w:r>
          <w:r>
            <w:rPr>
              <w:rStyle w:val="19"/>
              <w:rFonts w:ascii="Times New Roman" w:hAnsi="Times New Roman" w:cs="Times New Roman"/>
              <w:b/>
              <w:bCs/>
            </w:rPr>
            <w:t>2.2.1 销售收入</w:t>
          </w:r>
          <w:r>
            <w:tab/>
          </w:r>
          <w:r>
            <w:fldChar w:fldCharType="begin"/>
          </w:r>
          <w:r>
            <w:instrText xml:space="preserve"> PAGEREF _Toc141669661 \h </w:instrText>
          </w:r>
          <w:r>
            <w:fldChar w:fldCharType="separate"/>
          </w:r>
          <w:r>
            <w:t>15</w:t>
          </w:r>
          <w:r>
            <w:fldChar w:fldCharType="end"/>
          </w:r>
          <w:r>
            <w:fldChar w:fldCharType="end"/>
          </w:r>
        </w:p>
        <w:p>
          <w:pPr>
            <w:pStyle w:val="8"/>
            <w:tabs>
              <w:tab w:val="right" w:leader="dot" w:pos="8296"/>
            </w:tabs>
          </w:pPr>
          <w:r>
            <w:fldChar w:fldCharType="begin"/>
          </w:r>
          <w:r>
            <w:instrText xml:space="preserve"> HYPERLINK \l "_Toc141669662" </w:instrText>
          </w:r>
          <w:r>
            <w:fldChar w:fldCharType="separate"/>
          </w:r>
          <w:r>
            <w:rPr>
              <w:rStyle w:val="19"/>
              <w:rFonts w:ascii="Times New Roman" w:hAnsi="Times New Roman" w:cs="Times New Roman"/>
              <w:b/>
              <w:bCs/>
            </w:rPr>
            <w:t>2.2.2税金估算</w:t>
          </w:r>
          <w:r>
            <w:tab/>
          </w:r>
          <w:r>
            <w:fldChar w:fldCharType="begin"/>
          </w:r>
          <w:r>
            <w:instrText xml:space="preserve"> PAGEREF _Toc141669662 \h </w:instrText>
          </w:r>
          <w:r>
            <w:fldChar w:fldCharType="separate"/>
          </w:r>
          <w:r>
            <w:t>15</w:t>
          </w:r>
          <w:r>
            <w:fldChar w:fldCharType="end"/>
          </w:r>
          <w:r>
            <w:fldChar w:fldCharType="end"/>
          </w:r>
        </w:p>
        <w:p>
          <w:pPr>
            <w:pStyle w:val="13"/>
            <w:tabs>
              <w:tab w:val="right" w:leader="dot" w:pos="8296"/>
            </w:tabs>
          </w:pPr>
          <w:r>
            <w:fldChar w:fldCharType="begin"/>
          </w:r>
          <w:r>
            <w:instrText xml:space="preserve"> HYPERLINK \l "_Toc141669663" </w:instrText>
          </w:r>
          <w:r>
            <w:fldChar w:fldCharType="separate"/>
          </w:r>
          <w:r>
            <w:rPr>
              <w:rStyle w:val="19"/>
              <w:rFonts w:ascii="Times New Roman" w:hAnsi="Times New Roman" w:cs="Times New Roman"/>
              <w:b/>
              <w:bCs/>
              <w:kern w:val="0"/>
            </w:rPr>
            <w:t>2.3 财务分析报表</w:t>
          </w:r>
          <w:r>
            <w:tab/>
          </w:r>
          <w:r>
            <w:fldChar w:fldCharType="begin"/>
          </w:r>
          <w:r>
            <w:instrText xml:space="preserve"> PAGEREF _Toc141669663 \h </w:instrText>
          </w:r>
          <w:r>
            <w:fldChar w:fldCharType="separate"/>
          </w:r>
          <w:r>
            <w:t>16</w:t>
          </w:r>
          <w:r>
            <w:fldChar w:fldCharType="end"/>
          </w:r>
          <w:r>
            <w:fldChar w:fldCharType="end"/>
          </w:r>
        </w:p>
        <w:p>
          <w:pPr>
            <w:pStyle w:val="8"/>
            <w:tabs>
              <w:tab w:val="right" w:leader="dot" w:pos="8296"/>
            </w:tabs>
          </w:pPr>
          <w:r>
            <w:fldChar w:fldCharType="begin"/>
          </w:r>
          <w:r>
            <w:instrText xml:space="preserve"> HYPERLINK \l "_Toc141669664" </w:instrText>
          </w:r>
          <w:r>
            <w:fldChar w:fldCharType="separate"/>
          </w:r>
          <w:r>
            <w:rPr>
              <w:rStyle w:val="19"/>
              <w:rFonts w:ascii="Times New Roman" w:hAnsi="Times New Roman" w:cs="Times New Roman"/>
              <w:b/>
              <w:bCs/>
            </w:rPr>
            <w:t>2.3.1税后利润估算及利润分配表</w:t>
          </w:r>
          <w:r>
            <w:tab/>
          </w:r>
          <w:r>
            <w:fldChar w:fldCharType="begin"/>
          </w:r>
          <w:r>
            <w:instrText xml:space="preserve"> PAGEREF _Toc141669664 \h </w:instrText>
          </w:r>
          <w:r>
            <w:fldChar w:fldCharType="separate"/>
          </w:r>
          <w:r>
            <w:t>16</w:t>
          </w:r>
          <w:r>
            <w:fldChar w:fldCharType="end"/>
          </w:r>
          <w:r>
            <w:fldChar w:fldCharType="end"/>
          </w:r>
        </w:p>
        <w:p>
          <w:pPr>
            <w:pStyle w:val="8"/>
            <w:tabs>
              <w:tab w:val="right" w:leader="dot" w:pos="8296"/>
            </w:tabs>
          </w:pPr>
          <w:r>
            <w:fldChar w:fldCharType="begin"/>
          </w:r>
          <w:r>
            <w:instrText xml:space="preserve"> HYPERLINK \l "_Toc141669665" </w:instrText>
          </w:r>
          <w:r>
            <w:fldChar w:fldCharType="separate"/>
          </w:r>
          <w:r>
            <w:rPr>
              <w:rStyle w:val="19"/>
              <w:rFonts w:ascii="Times New Roman" w:hAnsi="Times New Roman" w:cs="Times New Roman"/>
              <w:b/>
              <w:bCs/>
            </w:rPr>
            <w:t>2.3.2 财务现金流量表</w:t>
          </w:r>
          <w:r>
            <w:tab/>
          </w:r>
          <w:r>
            <w:fldChar w:fldCharType="begin"/>
          </w:r>
          <w:r>
            <w:instrText xml:space="preserve"> PAGEREF _Toc141669665 \h </w:instrText>
          </w:r>
          <w:r>
            <w:fldChar w:fldCharType="separate"/>
          </w:r>
          <w:r>
            <w:t>16</w:t>
          </w:r>
          <w:r>
            <w:fldChar w:fldCharType="end"/>
          </w:r>
          <w:r>
            <w:fldChar w:fldCharType="end"/>
          </w:r>
        </w:p>
        <w:p>
          <w:pPr>
            <w:pStyle w:val="8"/>
            <w:tabs>
              <w:tab w:val="right" w:leader="dot" w:pos="8296"/>
            </w:tabs>
          </w:pPr>
          <w:r>
            <w:fldChar w:fldCharType="begin"/>
          </w:r>
          <w:r>
            <w:instrText xml:space="preserve"> HYPERLINK \l "_Toc141669666" </w:instrText>
          </w:r>
          <w:r>
            <w:fldChar w:fldCharType="separate"/>
          </w:r>
          <w:r>
            <w:rPr>
              <w:rStyle w:val="19"/>
              <w:rFonts w:ascii="Times New Roman" w:hAnsi="Times New Roman" w:cs="Times New Roman"/>
              <w:b/>
              <w:bCs/>
            </w:rPr>
            <w:t>2.3.3 权益投资财务现金流量表</w:t>
          </w:r>
          <w:r>
            <w:tab/>
          </w:r>
          <w:r>
            <w:fldChar w:fldCharType="begin"/>
          </w:r>
          <w:r>
            <w:instrText xml:space="preserve"> PAGEREF _Toc141669666 \h </w:instrText>
          </w:r>
          <w:r>
            <w:fldChar w:fldCharType="separate"/>
          </w:r>
          <w:r>
            <w:t>18</w:t>
          </w:r>
          <w:r>
            <w:fldChar w:fldCharType="end"/>
          </w:r>
          <w:r>
            <w:fldChar w:fldCharType="end"/>
          </w:r>
        </w:p>
        <w:p>
          <w:pPr>
            <w:pStyle w:val="13"/>
            <w:tabs>
              <w:tab w:val="right" w:leader="dot" w:pos="8296"/>
            </w:tabs>
          </w:pPr>
          <w:r>
            <w:fldChar w:fldCharType="begin"/>
          </w:r>
          <w:r>
            <w:instrText xml:space="preserve"> HYPERLINK \l "_Toc141669667" </w:instrText>
          </w:r>
          <w:r>
            <w:fldChar w:fldCharType="separate"/>
          </w:r>
          <w:r>
            <w:rPr>
              <w:rStyle w:val="19"/>
              <w:rFonts w:ascii="Times New Roman" w:hAnsi="Times New Roman" w:cs="Times New Roman"/>
              <w:b/>
              <w:bCs/>
              <w:kern w:val="0"/>
            </w:rPr>
            <w:t>2.4 财务分析指标</w:t>
          </w:r>
          <w:r>
            <w:tab/>
          </w:r>
          <w:r>
            <w:fldChar w:fldCharType="begin"/>
          </w:r>
          <w:r>
            <w:instrText xml:space="preserve"> PAGEREF _Toc141669667 \h </w:instrText>
          </w:r>
          <w:r>
            <w:fldChar w:fldCharType="separate"/>
          </w:r>
          <w:r>
            <w:t>20</w:t>
          </w:r>
          <w:r>
            <w:fldChar w:fldCharType="end"/>
          </w:r>
          <w:r>
            <w:fldChar w:fldCharType="end"/>
          </w:r>
        </w:p>
        <w:p>
          <w:pPr>
            <w:pStyle w:val="8"/>
            <w:tabs>
              <w:tab w:val="right" w:leader="dot" w:pos="8296"/>
            </w:tabs>
          </w:pPr>
          <w:r>
            <w:fldChar w:fldCharType="begin"/>
          </w:r>
          <w:r>
            <w:instrText xml:space="preserve"> HYPERLINK \l "_Toc141669668" </w:instrText>
          </w:r>
          <w:r>
            <w:fldChar w:fldCharType="separate"/>
          </w:r>
          <w:r>
            <w:rPr>
              <w:rStyle w:val="19"/>
              <w:rFonts w:ascii="Times New Roman" w:hAnsi="Times New Roman" w:cs="Times New Roman"/>
              <w:b/>
              <w:bCs/>
            </w:rPr>
            <w:t>2.4.1. 静态指标</w:t>
          </w:r>
          <w:r>
            <w:tab/>
          </w:r>
          <w:r>
            <w:fldChar w:fldCharType="begin"/>
          </w:r>
          <w:r>
            <w:instrText xml:space="preserve"> PAGEREF _Toc141669668 \h </w:instrText>
          </w:r>
          <w:r>
            <w:fldChar w:fldCharType="separate"/>
          </w:r>
          <w:r>
            <w:t>20</w:t>
          </w:r>
          <w:r>
            <w:fldChar w:fldCharType="end"/>
          </w:r>
          <w:r>
            <w:fldChar w:fldCharType="end"/>
          </w:r>
        </w:p>
        <w:p>
          <w:pPr>
            <w:pStyle w:val="8"/>
            <w:tabs>
              <w:tab w:val="right" w:leader="dot" w:pos="8296"/>
            </w:tabs>
          </w:pPr>
          <w:r>
            <w:fldChar w:fldCharType="begin"/>
          </w:r>
          <w:r>
            <w:instrText xml:space="preserve"> HYPERLINK \l "_Toc141669669" </w:instrText>
          </w:r>
          <w:r>
            <w:fldChar w:fldCharType="separate"/>
          </w:r>
          <w:r>
            <w:rPr>
              <w:rStyle w:val="19"/>
              <w:rFonts w:ascii="Times New Roman" w:hAnsi="Times New Roman" w:cs="Times New Roman"/>
              <w:b/>
              <w:bCs/>
            </w:rPr>
            <w:t>2.4.2. 动态指标</w:t>
          </w:r>
          <w:r>
            <w:tab/>
          </w:r>
          <w:r>
            <w:fldChar w:fldCharType="begin"/>
          </w:r>
          <w:r>
            <w:instrText xml:space="preserve"> PAGEREF _Toc141669669 \h </w:instrText>
          </w:r>
          <w:r>
            <w:fldChar w:fldCharType="separate"/>
          </w:r>
          <w:r>
            <w:t>20</w:t>
          </w:r>
          <w:r>
            <w:fldChar w:fldCharType="end"/>
          </w:r>
          <w:r>
            <w:fldChar w:fldCharType="end"/>
          </w:r>
        </w:p>
        <w:p>
          <w:pPr>
            <w:pStyle w:val="8"/>
            <w:tabs>
              <w:tab w:val="right" w:leader="dot" w:pos="8296"/>
            </w:tabs>
          </w:pPr>
          <w:r>
            <w:fldChar w:fldCharType="begin"/>
          </w:r>
          <w:r>
            <w:instrText xml:space="preserve"> HYPERLINK \l "_Toc141669670" </w:instrText>
          </w:r>
          <w:r>
            <w:fldChar w:fldCharType="separate"/>
          </w:r>
          <w:r>
            <w:rPr>
              <w:rStyle w:val="19"/>
              <w:rFonts w:ascii="Times New Roman" w:hAnsi="Times New Roman" w:cs="Times New Roman"/>
              <w:b/>
              <w:bCs/>
            </w:rPr>
            <w:t>2.4.3. 清偿能力分析</w:t>
          </w:r>
          <w:r>
            <w:tab/>
          </w:r>
          <w:r>
            <w:fldChar w:fldCharType="begin"/>
          </w:r>
          <w:r>
            <w:instrText xml:space="preserve"> PAGEREF _Toc141669670 \h </w:instrText>
          </w:r>
          <w:r>
            <w:fldChar w:fldCharType="separate"/>
          </w:r>
          <w:r>
            <w:t>21</w:t>
          </w:r>
          <w:r>
            <w:fldChar w:fldCharType="end"/>
          </w:r>
          <w:r>
            <w:fldChar w:fldCharType="end"/>
          </w:r>
        </w:p>
        <w:p>
          <w:pPr>
            <w:pStyle w:val="13"/>
            <w:tabs>
              <w:tab w:val="right" w:leader="dot" w:pos="8296"/>
            </w:tabs>
          </w:pPr>
          <w:r>
            <w:fldChar w:fldCharType="begin"/>
          </w:r>
          <w:r>
            <w:instrText xml:space="preserve"> HYPERLINK \l "_Toc141669671" </w:instrText>
          </w:r>
          <w:r>
            <w:fldChar w:fldCharType="separate"/>
          </w:r>
          <w:r>
            <w:rPr>
              <w:rStyle w:val="19"/>
              <w:rFonts w:ascii="Times New Roman" w:hAnsi="Times New Roman" w:cs="Times New Roman"/>
              <w:b/>
              <w:bCs/>
              <w:kern w:val="0"/>
            </w:rPr>
            <w:t>2.5 不确定性分析</w:t>
          </w:r>
          <w:r>
            <w:tab/>
          </w:r>
          <w:r>
            <w:fldChar w:fldCharType="begin"/>
          </w:r>
          <w:r>
            <w:instrText xml:space="preserve"> PAGEREF _Toc141669671 \h </w:instrText>
          </w:r>
          <w:r>
            <w:fldChar w:fldCharType="separate"/>
          </w:r>
          <w:r>
            <w:t>22</w:t>
          </w:r>
          <w:r>
            <w:fldChar w:fldCharType="end"/>
          </w:r>
          <w:r>
            <w:fldChar w:fldCharType="end"/>
          </w:r>
        </w:p>
        <w:p>
          <w:pPr>
            <w:pStyle w:val="8"/>
            <w:tabs>
              <w:tab w:val="right" w:leader="dot" w:pos="8296"/>
            </w:tabs>
          </w:pPr>
          <w:r>
            <w:fldChar w:fldCharType="begin"/>
          </w:r>
          <w:r>
            <w:instrText xml:space="preserve"> HYPERLINK \l "_Toc141669672" </w:instrText>
          </w:r>
          <w:r>
            <w:fldChar w:fldCharType="separate"/>
          </w:r>
          <w:r>
            <w:rPr>
              <w:rStyle w:val="19"/>
              <w:rFonts w:ascii="Times New Roman" w:hAnsi="Times New Roman" w:cs="Times New Roman"/>
              <w:b/>
              <w:bCs/>
            </w:rPr>
            <w:t>2.5.1 盈亏平衡点</w:t>
          </w:r>
          <w:r>
            <w:tab/>
          </w:r>
          <w:r>
            <w:fldChar w:fldCharType="begin"/>
          </w:r>
          <w:r>
            <w:instrText xml:space="preserve"> PAGEREF _Toc141669672 \h </w:instrText>
          </w:r>
          <w:r>
            <w:fldChar w:fldCharType="separate"/>
          </w:r>
          <w:r>
            <w:t>22</w:t>
          </w:r>
          <w:r>
            <w:fldChar w:fldCharType="end"/>
          </w:r>
          <w:r>
            <w:fldChar w:fldCharType="end"/>
          </w:r>
        </w:p>
        <w:p>
          <w:pPr>
            <w:pStyle w:val="8"/>
            <w:tabs>
              <w:tab w:val="right" w:leader="dot" w:pos="8296"/>
            </w:tabs>
          </w:pPr>
          <w:r>
            <w:fldChar w:fldCharType="begin"/>
          </w:r>
          <w:r>
            <w:instrText xml:space="preserve"> HYPERLINK \l "_Toc141669673" </w:instrText>
          </w:r>
          <w:r>
            <w:fldChar w:fldCharType="separate"/>
          </w:r>
          <w:r>
            <w:rPr>
              <w:rStyle w:val="19"/>
              <w:rFonts w:ascii="Times New Roman" w:hAnsi="Times New Roman" w:cs="Times New Roman"/>
              <w:b/>
              <w:bCs/>
            </w:rPr>
            <w:t>2.5.2 敏感性分析</w:t>
          </w:r>
          <w:r>
            <w:tab/>
          </w:r>
          <w:r>
            <w:fldChar w:fldCharType="begin"/>
          </w:r>
          <w:r>
            <w:instrText xml:space="preserve"> PAGEREF _Toc141669673 \h </w:instrText>
          </w:r>
          <w:r>
            <w:fldChar w:fldCharType="separate"/>
          </w:r>
          <w:r>
            <w:t>22</w:t>
          </w:r>
          <w:r>
            <w:fldChar w:fldCharType="end"/>
          </w:r>
          <w:r>
            <w:fldChar w:fldCharType="end"/>
          </w:r>
        </w:p>
        <w:p>
          <w:r>
            <w:rPr>
              <w:b/>
              <w:bCs/>
              <w:lang w:val="zh-CN"/>
            </w:rPr>
            <w:fldChar w:fldCharType="end"/>
          </w:r>
        </w:p>
      </w:sdtContent>
    </w:sdt>
    <w:p>
      <w:pPr>
        <w:autoSpaceDE w:val="0"/>
        <w:autoSpaceDN w:val="0"/>
        <w:spacing w:before="156" w:beforeLines="50" w:after="156" w:afterLines="50"/>
        <w:jc w:val="left"/>
        <w:rPr>
          <w:rFonts w:hint="eastAsia" w:ascii="Times New Roman" w:hAnsi="Times New Roman" w:cs="Times New Roman"/>
          <w:b/>
          <w:bCs/>
          <w:color w:val="000000"/>
          <w:kern w:val="44"/>
          <w:sz w:val="44"/>
          <w:szCs w:val="44"/>
        </w:rPr>
      </w:pPr>
    </w:p>
    <w:p>
      <w:pPr>
        <w:widowControl/>
        <w:jc w:val="left"/>
        <w:rPr>
          <w:rFonts w:ascii="Times New Roman" w:hAnsi="Times New Roman" w:cs="Times New Roman"/>
          <w:b/>
          <w:bCs/>
          <w:color w:val="000000"/>
          <w:kern w:val="44"/>
          <w:sz w:val="44"/>
          <w:szCs w:val="44"/>
        </w:rPr>
      </w:pPr>
      <w:r>
        <w:rPr>
          <w:rFonts w:ascii="Times New Roman" w:hAnsi="Times New Roman" w:cs="Times New Roman"/>
          <w:b/>
          <w:bCs/>
          <w:color w:val="000000"/>
          <w:kern w:val="44"/>
          <w:sz w:val="44"/>
          <w:szCs w:val="44"/>
        </w:rPr>
        <w:br w:type="page"/>
      </w:r>
    </w:p>
    <w:p>
      <w:pPr>
        <w:keepNext/>
        <w:keepLines/>
        <w:autoSpaceDE w:val="0"/>
        <w:autoSpaceDN w:val="0"/>
        <w:spacing w:before="156" w:beforeLines="50" w:after="156" w:afterLines="50" w:line="578" w:lineRule="auto"/>
        <w:jc w:val="center"/>
        <w:outlineLvl w:val="0"/>
        <w:rPr>
          <w:rFonts w:ascii="Times New Roman" w:hAnsi="Times New Roman" w:cs="Times New Roman"/>
          <w:b/>
          <w:bCs/>
          <w:color w:val="000000"/>
          <w:kern w:val="44"/>
          <w:sz w:val="44"/>
          <w:szCs w:val="44"/>
        </w:rPr>
      </w:pPr>
      <w:bookmarkStart w:id="9" w:name="_Toc141669643"/>
      <w:r>
        <w:rPr>
          <w:rFonts w:ascii="Times New Roman" w:hAnsi="Times New Roman" w:cs="Times New Roman"/>
          <w:b/>
          <w:bCs/>
          <w:color w:val="000000"/>
          <w:kern w:val="44"/>
          <w:sz w:val="44"/>
          <w:szCs w:val="44"/>
        </w:rPr>
        <w:t>第</w:t>
      </w:r>
      <w:r>
        <w:rPr>
          <w:rFonts w:hint="eastAsia" w:ascii="Times New Roman" w:hAnsi="Times New Roman" w:cs="Times New Roman"/>
          <w:b/>
          <w:bCs/>
          <w:color w:val="000000"/>
          <w:kern w:val="44"/>
          <w:sz w:val="44"/>
          <w:szCs w:val="44"/>
        </w:rPr>
        <w:t>一</w:t>
      </w:r>
      <w:r>
        <w:rPr>
          <w:rFonts w:ascii="Times New Roman" w:hAnsi="Times New Roman" w:cs="Times New Roman"/>
          <w:b/>
          <w:bCs/>
          <w:color w:val="000000"/>
          <w:kern w:val="44"/>
          <w:sz w:val="44"/>
          <w:szCs w:val="44"/>
        </w:rPr>
        <w:t>章 投资估算和资金筹措</w:t>
      </w:r>
      <w:bookmarkEnd w:id="0"/>
      <w:bookmarkEnd w:id="9"/>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10" w:name="_Toc141661854"/>
      <w:bookmarkStart w:id="11" w:name="_Toc141669644"/>
      <w:r>
        <w:rPr>
          <w:rFonts w:ascii="Times New Roman" w:hAnsi="Times New Roman" w:cs="Times New Roman"/>
          <w:b/>
          <w:bCs/>
          <w:kern w:val="0"/>
          <w:sz w:val="32"/>
          <w:szCs w:val="32"/>
        </w:rPr>
        <w:t>1.1 工程概况</w:t>
      </w:r>
      <w:bookmarkEnd w:id="10"/>
      <w:bookmarkEnd w:id="11"/>
    </w:p>
    <w:p>
      <w:pPr>
        <w:autoSpaceDE w:val="0"/>
        <w:autoSpaceDN w:val="0"/>
        <w:spacing w:before="156" w:beforeLines="50" w:after="156" w:afterLines="50"/>
        <w:ind w:firstLine="420"/>
        <w:jc w:val="left"/>
        <w:rPr>
          <w:rFonts w:ascii="Times New Roman" w:hAnsi="Times New Roman" w:cs="Times New Roman"/>
          <w:kern w:val="0"/>
          <w:szCs w:val="21"/>
        </w:rPr>
      </w:pPr>
      <w:r>
        <w:rPr>
          <w:rFonts w:hint="eastAsia" w:ascii="Times New Roman" w:hAnsi="Times New Roman" w:cs="Times New Roman"/>
          <w:kern w:val="0"/>
          <w:szCs w:val="21"/>
        </w:rPr>
        <w:t>本项目是重庆华峰化工有限公司</w:t>
      </w:r>
      <w:r>
        <w:rPr>
          <w:rFonts w:ascii="Times New Roman" w:hAnsi="Times New Roman" w:cs="Times New Roman"/>
          <w:kern w:val="0"/>
          <w:szCs w:val="21"/>
        </w:rPr>
        <w:t>10.5万吨/年ADN生产项目。本装置是</w:t>
      </w:r>
      <w:r>
        <w:rPr>
          <w:rFonts w:hint="eastAsia" w:ascii="Times New Roman" w:hAnsi="Times New Roman" w:cs="Times New Roman"/>
          <w:kern w:val="0"/>
          <w:szCs w:val="21"/>
        </w:rPr>
        <w:t>新建</w:t>
      </w:r>
      <w:r>
        <w:rPr>
          <w:rFonts w:ascii="Times New Roman" w:hAnsi="Times New Roman" w:cs="Times New Roman"/>
          <w:kern w:val="0"/>
          <w:szCs w:val="21"/>
        </w:rPr>
        <w:t>项目，依</w:t>
      </w:r>
      <w:r>
        <w:rPr>
          <w:rFonts w:hint="eastAsia" w:ascii="Times New Roman" w:hAnsi="Times New Roman" w:cs="Times New Roman"/>
          <w:kern w:val="0"/>
          <w:szCs w:val="21"/>
        </w:rPr>
        <w:t>据相关标准进行估算。估算内容包括己二腈精制段、氨回收工段、己二腈精制工段主要生产装置以及辅助生产设施、公用工程和有关的生产管理等措施。本项目估算还包括了无形资产、递延资产、基本预备费等间接费用。</w:t>
      </w: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12" w:name="_Toc141661855"/>
      <w:bookmarkStart w:id="13" w:name="_Toc141669645"/>
      <w:r>
        <w:rPr>
          <w:rFonts w:ascii="Times New Roman" w:hAnsi="Times New Roman" w:cs="Times New Roman"/>
          <w:b/>
          <w:bCs/>
          <w:kern w:val="0"/>
          <w:sz w:val="32"/>
          <w:szCs w:val="32"/>
        </w:rPr>
        <w:t>1.2 编制依据</w:t>
      </w:r>
      <w:bookmarkEnd w:id="12"/>
      <w:bookmarkEnd w:id="13"/>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《化工建设建筑概算定额》中石化协办发（2005）10号</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《化工建设项目可行性研究投资估算编制办法》</w:t>
      </w:r>
      <w:r>
        <w:rPr>
          <w:rFonts w:hint="eastAsia" w:ascii="Times New Roman" w:hAnsi="Times New Roman" w:cs="Times New Roman"/>
        </w:rPr>
        <w:t>，国家发展改革委建设部发布</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《化工投资项目可行性研究报告编制办法》中石化联产发[2012]115号</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hint="eastAsia" w:ascii="Times New Roman" w:hAnsi="Times New Roman" w:cs="Times New Roman"/>
        </w:rPr>
        <w:t>《化工投资项目项目申请报告编制办法》，中石化协产发[2012]115号</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hint="eastAsia" w:ascii="Times New Roman" w:hAnsi="Times New Roman" w:cs="Times New Roman"/>
        </w:rPr>
        <w:t>《化工投资项目资金申请报告编制办法》，中石化协产发[2012]115号</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《化工工艺设计手册》（化学工业出版社，第四版）；</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《建设项目经济评价方法与参数》（第三版）国家发展与改革委建设部；</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《202</w:t>
      </w:r>
      <w:r>
        <w:rPr>
          <w:rFonts w:hint="eastAsia" w:ascii="Times New Roman" w:hAnsi="Times New Roman" w:cs="Times New Roman"/>
        </w:rPr>
        <w:t>2</w:t>
      </w:r>
      <w:r>
        <w:rPr>
          <w:rFonts w:ascii="Times New Roman" w:hAnsi="Times New Roman" w:cs="Times New Roman"/>
        </w:rPr>
        <w:t>“天正设计杯”第十</w:t>
      </w:r>
      <w:r>
        <w:rPr>
          <w:rFonts w:hint="eastAsia" w:ascii="Times New Roman" w:hAnsi="Times New Roman" w:cs="Times New Roman"/>
        </w:rPr>
        <w:t>六</w:t>
      </w:r>
      <w:r>
        <w:rPr>
          <w:rFonts w:ascii="Times New Roman" w:hAnsi="Times New Roman" w:cs="Times New Roman"/>
        </w:rPr>
        <w:t>届全国大学生化工设计竞赛设计任务书》</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《石油化工工程建设费用定额》（20</w:t>
      </w:r>
      <w:r>
        <w:rPr>
          <w:rFonts w:hint="eastAsia" w:ascii="Times New Roman" w:hAnsi="Times New Roman" w:cs="Times New Roman"/>
        </w:rPr>
        <w:t>18</w:t>
      </w:r>
      <w:r>
        <w:rPr>
          <w:rFonts w:ascii="Times New Roman" w:hAnsi="Times New Roman" w:cs="Times New Roman"/>
        </w:rPr>
        <w:t>版），中国石化建[20</w:t>
      </w:r>
      <w:r>
        <w:rPr>
          <w:rFonts w:hint="eastAsia" w:ascii="Times New Roman" w:hAnsi="Times New Roman" w:cs="Times New Roman"/>
        </w:rPr>
        <w:t>1</w:t>
      </w:r>
      <w:r>
        <w:rPr>
          <w:rFonts w:ascii="Times New Roman" w:hAnsi="Times New Roman" w:cs="Times New Roman"/>
        </w:rPr>
        <w:t>8]</w:t>
      </w:r>
      <w:r>
        <w:rPr>
          <w:rFonts w:hint="eastAsia" w:ascii="Times New Roman" w:hAnsi="Times New Roman" w:cs="Times New Roman"/>
        </w:rPr>
        <w:t>207</w:t>
      </w:r>
      <w:r>
        <w:rPr>
          <w:rFonts w:ascii="Times New Roman" w:hAnsi="Times New Roman" w:cs="Times New Roman"/>
        </w:rPr>
        <w:t>号</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国家、行业以及项目所在地政府有关部门的相关政策与规定</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价格和取费参考行业资料信息</w:t>
      </w:r>
    </w:p>
    <w:p>
      <w:pPr>
        <w:numPr>
          <w:ilvl w:val="0"/>
          <w:numId w:val="1"/>
        </w:numPr>
        <w:autoSpaceDE w:val="0"/>
        <w:autoSpaceDN w:val="0"/>
        <w:spacing w:before="156" w:beforeLines="50" w:after="156" w:afterLines="50" w:line="276" w:lineRule="auto"/>
        <w:jc w:val="left"/>
        <w:rPr>
          <w:rFonts w:ascii="Times New Roman" w:hAnsi="Times New Roman" w:cs="Times New Roman"/>
        </w:rPr>
      </w:pPr>
      <w:r>
        <w:rPr>
          <w:rFonts w:ascii="Times New Roman" w:hAnsi="Times New Roman" w:cs="Times New Roman"/>
        </w:rPr>
        <w:t>工艺生产装置技术方案选择、生产规模及主要工程量。</w:t>
      </w:r>
    </w:p>
    <w:p>
      <w:pPr>
        <w:ind w:firstLine="420" w:firstLineChars="200"/>
        <w:rPr>
          <w:rFonts w:ascii="Times New Roman" w:hAnsi="Times New Roman" w:cs="Times New Roman"/>
        </w:rPr>
      </w:pPr>
      <w:r>
        <w:rPr>
          <w:rFonts w:ascii="Times New Roman" w:hAnsi="Times New Roman" w:cs="Times New Roman"/>
        </w:rPr>
        <w:t>根据以上数据对建设投资、建设期借款利息、流动资金、总投资进行核算。</w:t>
      </w: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14" w:name="_Toc141669646"/>
      <w:bookmarkStart w:id="15" w:name="_Toc141661856"/>
      <w:r>
        <w:rPr>
          <w:rFonts w:ascii="Times New Roman" w:hAnsi="Times New Roman" w:cs="Times New Roman"/>
          <w:b/>
          <w:bCs/>
          <w:kern w:val="0"/>
          <w:sz w:val="32"/>
          <w:szCs w:val="32"/>
        </w:rPr>
        <w:t>1.3 建设投资估算</w:t>
      </w:r>
      <w:bookmarkEnd w:id="14"/>
      <w:bookmarkEnd w:id="15"/>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建设投资估算按固定资产、无形资产、递延资产、预备费用进行编制。</w:t>
      </w:r>
    </w:p>
    <w:p>
      <w:pPr>
        <w:keepNext/>
        <w:keepLines/>
        <w:autoSpaceDE w:val="0"/>
        <w:autoSpaceDN w:val="0"/>
        <w:spacing w:before="156" w:beforeLines="50" w:after="156" w:afterLines="50" w:line="416" w:lineRule="auto"/>
        <w:jc w:val="left"/>
        <w:outlineLvl w:val="2"/>
        <w:rPr>
          <w:rFonts w:cs="仿宋"/>
          <w:b/>
          <w:bCs/>
          <w:kern w:val="0"/>
          <w:sz w:val="24"/>
          <w:szCs w:val="24"/>
        </w:rPr>
      </w:pPr>
      <w:bookmarkStart w:id="16" w:name="_Toc141661857"/>
      <w:bookmarkStart w:id="17" w:name="_Toc141669647"/>
      <w:r>
        <w:rPr>
          <w:rFonts w:cs="仿宋"/>
          <w:b/>
          <w:bCs/>
          <w:kern w:val="0"/>
          <w:sz w:val="24"/>
          <w:szCs w:val="24"/>
        </w:rPr>
        <w:t>1.3.1 固定资产费用</w:t>
      </w:r>
      <w:bookmarkEnd w:id="16"/>
      <w:bookmarkEnd w:id="17"/>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固定资产费用主要由工程费用和固定资产其他费用组成。</w:t>
      </w:r>
    </w:p>
    <w:p>
      <w:pPr>
        <w:keepNext/>
        <w:keepLines/>
        <w:autoSpaceDE w:val="0"/>
        <w:autoSpaceDN w:val="0"/>
        <w:spacing w:before="156" w:beforeLines="50" w:after="156" w:afterLines="50" w:line="376" w:lineRule="auto"/>
        <w:jc w:val="left"/>
        <w:outlineLvl w:val="3"/>
        <w:rPr>
          <w:rFonts w:cs="Times New Roman"/>
          <w:b/>
          <w:bCs/>
          <w:kern w:val="0"/>
          <w:sz w:val="24"/>
          <w:szCs w:val="24"/>
        </w:rPr>
      </w:pPr>
      <w:r>
        <w:rPr>
          <w:rFonts w:cs="Times New Roman"/>
          <w:b/>
          <w:bCs/>
          <w:kern w:val="0"/>
          <w:sz w:val="24"/>
          <w:szCs w:val="24"/>
        </w:rPr>
        <w:t>1.3.1.1 设备购置费</w:t>
      </w:r>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（一）主要生产设备购置费</w:t>
      </w:r>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本项目的主要生产设备分为：反应器、换热器、塔类设备、泵、储罐、气液分离器等运转设备。</w:t>
      </w:r>
    </w:p>
    <w:p>
      <w:pPr>
        <w:autoSpaceDE w:val="0"/>
        <w:autoSpaceDN w:val="0"/>
        <w:spacing w:before="156" w:beforeLines="50" w:after="156" w:afterLines="50"/>
        <w:ind w:firstLine="361" w:firstLineChars="200"/>
        <w:jc w:val="center"/>
        <w:rPr>
          <w:rFonts w:ascii="Times New Roman" w:hAnsi="Times New Roman" w:cs="Times New Roman"/>
          <w:b/>
          <w:kern w:val="0"/>
          <w:sz w:val="18"/>
          <w:szCs w:val="18"/>
        </w:rPr>
      </w:pPr>
      <w:r>
        <w:rPr>
          <w:rFonts w:hint="eastAsia" w:ascii="Times New Roman" w:hAnsi="Times New Roman" w:cs="Times New Roman"/>
          <w:b/>
          <w:kern w:val="0"/>
          <w:sz w:val="18"/>
          <w:szCs w:val="18"/>
        </w:rPr>
        <w:t>表</w:t>
      </w:r>
      <w:r>
        <w:rPr>
          <w:rFonts w:ascii="Times New Roman" w:hAnsi="Times New Roman" w:cs="Times New Roman"/>
          <w:b/>
          <w:kern w:val="0"/>
          <w:sz w:val="18"/>
          <w:szCs w:val="18"/>
        </w:rPr>
        <w:t xml:space="preserve">1-1 </w:t>
      </w:r>
      <w:r>
        <w:rPr>
          <w:rFonts w:hint="eastAsia" w:ascii="Times New Roman" w:hAnsi="Times New Roman" w:cs="Times New Roman"/>
          <w:b/>
          <w:kern w:val="0"/>
          <w:sz w:val="18"/>
          <w:szCs w:val="18"/>
        </w:rPr>
        <w:t>主要生产设备购置费</w:t>
      </w:r>
    </w:p>
    <w:tbl>
      <w:tblPr>
        <w:tblStyle w:val="16"/>
        <w:tblW w:w="5720" w:type="dxa"/>
        <w:jc w:val="center"/>
        <w:tblLayout w:type="autofit"/>
        <w:tblCellMar>
          <w:top w:w="0" w:type="dxa"/>
          <w:left w:w="108" w:type="dxa"/>
          <w:bottom w:w="0" w:type="dxa"/>
          <w:right w:w="108" w:type="dxa"/>
        </w:tblCellMar>
      </w:tblPr>
      <w:tblGrid>
        <w:gridCol w:w="1500"/>
        <w:gridCol w:w="2920"/>
        <w:gridCol w:w="1300"/>
      </w:tblGrid>
      <w:tr>
        <w:tblPrEx>
          <w:tblCellMar>
            <w:top w:w="0" w:type="dxa"/>
            <w:left w:w="108" w:type="dxa"/>
            <w:bottom w:w="0" w:type="dxa"/>
            <w:right w:w="108" w:type="dxa"/>
          </w:tblCellMar>
        </w:tblPrEx>
        <w:trPr>
          <w:trHeight w:val="280" w:hRule="atLeast"/>
          <w:jc w:val="center"/>
        </w:trPr>
        <w:tc>
          <w:tcPr>
            <w:tcW w:w="150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92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设备名称</w:t>
            </w:r>
          </w:p>
        </w:tc>
        <w:tc>
          <w:tcPr>
            <w:tcW w:w="130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塔设备</w:t>
            </w:r>
          </w:p>
        </w:tc>
        <w:tc>
          <w:tcPr>
            <w:tcW w:w="13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435.63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9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反应器</w:t>
            </w:r>
          </w:p>
        </w:tc>
        <w:tc>
          <w:tcPr>
            <w:tcW w:w="13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799.68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气液分离器</w:t>
            </w:r>
          </w:p>
        </w:tc>
        <w:tc>
          <w:tcPr>
            <w:tcW w:w="13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1081.98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9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换热器</w:t>
            </w:r>
          </w:p>
        </w:tc>
        <w:tc>
          <w:tcPr>
            <w:tcW w:w="13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420.36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压缩机</w:t>
            </w:r>
          </w:p>
        </w:tc>
        <w:tc>
          <w:tcPr>
            <w:tcW w:w="13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542.40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9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储罐</w:t>
            </w:r>
          </w:p>
        </w:tc>
        <w:tc>
          <w:tcPr>
            <w:tcW w:w="13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968.91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w:t>
            </w:r>
          </w:p>
        </w:tc>
        <w:tc>
          <w:tcPr>
            <w:tcW w:w="2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回流罐、分流罐、缓冲罐</w:t>
            </w:r>
          </w:p>
        </w:tc>
        <w:tc>
          <w:tcPr>
            <w:tcW w:w="13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1080.34 </w:t>
            </w:r>
          </w:p>
        </w:tc>
      </w:tr>
      <w:tr>
        <w:tblPrEx>
          <w:tblCellMar>
            <w:top w:w="0" w:type="dxa"/>
            <w:left w:w="108" w:type="dxa"/>
            <w:bottom w:w="0" w:type="dxa"/>
            <w:right w:w="108" w:type="dxa"/>
          </w:tblCellMar>
        </w:tblPrEx>
        <w:trPr>
          <w:trHeight w:val="280" w:hRule="atLeast"/>
          <w:jc w:val="center"/>
        </w:trPr>
        <w:tc>
          <w:tcPr>
            <w:tcW w:w="150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w:t>
            </w:r>
          </w:p>
        </w:tc>
        <w:tc>
          <w:tcPr>
            <w:tcW w:w="29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泵</w:t>
            </w:r>
          </w:p>
        </w:tc>
        <w:tc>
          <w:tcPr>
            <w:tcW w:w="13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19.06 </w:t>
            </w:r>
          </w:p>
        </w:tc>
      </w:tr>
      <w:tr>
        <w:tblPrEx>
          <w:tblCellMar>
            <w:top w:w="0" w:type="dxa"/>
            <w:left w:w="108" w:type="dxa"/>
            <w:bottom w:w="0" w:type="dxa"/>
            <w:right w:w="108" w:type="dxa"/>
          </w:tblCellMar>
        </w:tblPrEx>
        <w:trPr>
          <w:trHeight w:val="280" w:hRule="atLeast"/>
          <w:jc w:val="center"/>
        </w:trPr>
        <w:tc>
          <w:tcPr>
            <w:tcW w:w="4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总计</w:t>
            </w:r>
          </w:p>
        </w:tc>
        <w:tc>
          <w:tcPr>
            <w:tcW w:w="13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5348.36 </w:t>
            </w:r>
          </w:p>
        </w:tc>
      </w:tr>
    </w:tbl>
    <w:p>
      <w:pPr>
        <w:autoSpaceDE w:val="0"/>
        <w:autoSpaceDN w:val="0"/>
        <w:spacing w:before="156" w:beforeLines="50" w:after="156" w:afterLines="50"/>
        <w:ind w:firstLine="361" w:firstLineChars="200"/>
        <w:jc w:val="center"/>
        <w:rPr>
          <w:rFonts w:ascii="Times New Roman" w:hAnsi="Times New Roman" w:cs="Times New Roman"/>
          <w:b/>
          <w:kern w:val="0"/>
          <w:sz w:val="18"/>
          <w:szCs w:val="18"/>
        </w:rPr>
      </w:pPr>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具体设备费用如下：</w:t>
      </w:r>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（1）塔设备：</w:t>
      </w:r>
    </w:p>
    <w:tbl>
      <w:tblPr>
        <w:tblStyle w:val="16"/>
        <w:tblW w:w="8274" w:type="dxa"/>
        <w:jc w:val="center"/>
        <w:tblLayout w:type="autofit"/>
        <w:tblCellMar>
          <w:top w:w="0" w:type="dxa"/>
          <w:left w:w="108" w:type="dxa"/>
          <w:bottom w:w="0" w:type="dxa"/>
          <w:right w:w="108" w:type="dxa"/>
        </w:tblCellMar>
      </w:tblPr>
      <w:tblGrid>
        <w:gridCol w:w="1276"/>
        <w:gridCol w:w="1842"/>
        <w:gridCol w:w="1276"/>
        <w:gridCol w:w="960"/>
        <w:gridCol w:w="1480"/>
        <w:gridCol w:w="1440"/>
      </w:tblGrid>
      <w:tr>
        <w:tblPrEx>
          <w:tblCellMar>
            <w:top w:w="0" w:type="dxa"/>
            <w:left w:w="108" w:type="dxa"/>
            <w:bottom w:w="0" w:type="dxa"/>
            <w:right w:w="108" w:type="dxa"/>
          </w:tblCellMar>
        </w:tblPrEx>
        <w:trPr>
          <w:trHeight w:val="280" w:hRule="atLeast"/>
          <w:jc w:val="center"/>
        </w:trPr>
        <w:tc>
          <w:tcPr>
            <w:tcW w:w="1276"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设备位号</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276"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材料</w:t>
            </w:r>
          </w:p>
        </w:tc>
        <w:tc>
          <w:tcPr>
            <w:tcW w:w="96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重量/t</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数量</w:t>
            </w:r>
          </w:p>
        </w:tc>
        <w:tc>
          <w:tcPr>
            <w:tcW w:w="144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T0101</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AA、酰胺分离塔</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25.1184</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120.56832</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T0102</w:t>
            </w:r>
          </w:p>
        </w:tc>
        <w:tc>
          <w:tcPr>
            <w:tcW w:w="184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AA分离塔</w:t>
            </w:r>
          </w:p>
        </w:tc>
        <w:tc>
          <w:tcPr>
            <w:tcW w:w="127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14.5668</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69.92064</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T0301</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粗产物精馏塔</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18.6235</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89.3928</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T0302</w:t>
            </w:r>
          </w:p>
        </w:tc>
        <w:tc>
          <w:tcPr>
            <w:tcW w:w="184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热泵精馏塔</w:t>
            </w:r>
          </w:p>
        </w:tc>
        <w:tc>
          <w:tcPr>
            <w:tcW w:w="127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5.9671</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28.64208</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T0303</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ICCP精馏塔1</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9.5487</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45.83376</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T0304</w:t>
            </w:r>
          </w:p>
        </w:tc>
        <w:tc>
          <w:tcPr>
            <w:tcW w:w="184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ICCP精馏塔2</w:t>
            </w:r>
          </w:p>
        </w:tc>
        <w:tc>
          <w:tcPr>
            <w:tcW w:w="127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13.2367</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63.53616</w:t>
            </w:r>
          </w:p>
        </w:tc>
      </w:tr>
      <w:tr>
        <w:tblPrEx>
          <w:tblCellMar>
            <w:top w:w="0" w:type="dxa"/>
            <w:left w:w="108" w:type="dxa"/>
            <w:bottom w:w="0" w:type="dxa"/>
            <w:right w:w="108" w:type="dxa"/>
          </w:tblCellMar>
        </w:tblPrEx>
        <w:trPr>
          <w:trHeight w:val="280" w:hRule="atLeast"/>
          <w:jc w:val="center"/>
        </w:trPr>
        <w:tc>
          <w:tcPr>
            <w:tcW w:w="127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T0305</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2ADN精馏塔</w:t>
            </w:r>
          </w:p>
        </w:tc>
        <w:tc>
          <w:tcPr>
            <w:tcW w:w="127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6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3.6949</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44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17.73552</w:t>
            </w:r>
          </w:p>
        </w:tc>
      </w:tr>
      <w:tr>
        <w:tblPrEx>
          <w:tblCellMar>
            <w:top w:w="0" w:type="dxa"/>
            <w:left w:w="108" w:type="dxa"/>
            <w:bottom w:w="0" w:type="dxa"/>
            <w:right w:w="108" w:type="dxa"/>
          </w:tblCellMar>
        </w:tblPrEx>
        <w:trPr>
          <w:trHeight w:val="280" w:hRule="atLeast"/>
          <w:jc w:val="center"/>
        </w:trPr>
        <w:tc>
          <w:tcPr>
            <w:tcW w:w="6834" w:type="dxa"/>
            <w:gridSpan w:val="5"/>
            <w:tcBorders>
              <w:top w:val="single" w:color="auto" w:sz="4" w:space="0"/>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44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435.62928</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（2）反应器：</w:t>
      </w:r>
    </w:p>
    <w:tbl>
      <w:tblPr>
        <w:tblStyle w:val="16"/>
        <w:tblW w:w="7508" w:type="dxa"/>
        <w:jc w:val="center"/>
        <w:tblLayout w:type="autofit"/>
        <w:tblCellMar>
          <w:top w:w="0" w:type="dxa"/>
          <w:left w:w="108" w:type="dxa"/>
          <w:bottom w:w="0" w:type="dxa"/>
          <w:right w:w="108" w:type="dxa"/>
        </w:tblCellMar>
      </w:tblPr>
      <w:tblGrid>
        <w:gridCol w:w="1417"/>
        <w:gridCol w:w="1985"/>
        <w:gridCol w:w="909"/>
        <w:gridCol w:w="929"/>
        <w:gridCol w:w="709"/>
        <w:gridCol w:w="1559"/>
      </w:tblGrid>
      <w:tr>
        <w:tblPrEx>
          <w:tblCellMar>
            <w:top w:w="0" w:type="dxa"/>
            <w:left w:w="108" w:type="dxa"/>
            <w:bottom w:w="0" w:type="dxa"/>
            <w:right w:w="108" w:type="dxa"/>
          </w:tblCellMar>
        </w:tblPrEx>
        <w:trPr>
          <w:trHeight w:val="280" w:hRule="atLeast"/>
          <w:jc w:val="center"/>
        </w:trPr>
        <w:tc>
          <w:tcPr>
            <w:tcW w:w="1417"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设备位号</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90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材料</w:t>
            </w:r>
          </w:p>
        </w:tc>
        <w:tc>
          <w:tcPr>
            <w:tcW w:w="92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重量/t</w:t>
            </w:r>
          </w:p>
        </w:tc>
        <w:tc>
          <w:tcPr>
            <w:tcW w:w="70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数量</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R0101</w:t>
            </w:r>
          </w:p>
        </w:tc>
        <w:tc>
          <w:tcPr>
            <w:tcW w:w="198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AA混合器</w:t>
            </w:r>
          </w:p>
        </w:tc>
        <w:tc>
          <w:tcPr>
            <w:tcW w:w="9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13.51</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64.848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R0102</w:t>
            </w:r>
          </w:p>
        </w:tc>
        <w:tc>
          <w:tcPr>
            <w:tcW w:w="198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AA胺化反应器1</w:t>
            </w:r>
          </w:p>
        </w:tc>
        <w:tc>
          <w:tcPr>
            <w:tcW w:w="9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41.11</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R0103</w:t>
            </w:r>
          </w:p>
        </w:tc>
        <w:tc>
          <w:tcPr>
            <w:tcW w:w="198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AA胺化反应器2</w:t>
            </w:r>
          </w:p>
        </w:tc>
        <w:tc>
          <w:tcPr>
            <w:tcW w:w="9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41.11</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R0104</w:t>
            </w:r>
          </w:p>
        </w:tc>
        <w:tc>
          <w:tcPr>
            <w:tcW w:w="198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AA胺化反应器3</w:t>
            </w:r>
          </w:p>
        </w:tc>
        <w:tc>
          <w:tcPr>
            <w:tcW w:w="9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41.11</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197.328</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R0105</w:t>
            </w:r>
          </w:p>
        </w:tc>
        <w:tc>
          <w:tcPr>
            <w:tcW w:w="198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酰胺脱水反应器</w:t>
            </w:r>
          </w:p>
        </w:tc>
        <w:tc>
          <w:tcPr>
            <w:tcW w:w="9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27.53</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132.144</w:t>
            </w:r>
          </w:p>
        </w:tc>
      </w:tr>
      <w:tr>
        <w:tblPrEx>
          <w:tblCellMar>
            <w:top w:w="0" w:type="dxa"/>
            <w:left w:w="108" w:type="dxa"/>
            <w:bottom w:w="0" w:type="dxa"/>
            <w:right w:w="108" w:type="dxa"/>
          </w:tblCellMar>
        </w:tblPrEx>
        <w:trPr>
          <w:trHeight w:val="280" w:hRule="atLeast"/>
          <w:jc w:val="center"/>
        </w:trPr>
        <w:tc>
          <w:tcPr>
            <w:tcW w:w="1417"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R0201</w:t>
            </w:r>
          </w:p>
        </w:tc>
        <w:tc>
          <w:tcPr>
            <w:tcW w:w="198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粗氨气、水反应器</w:t>
            </w:r>
          </w:p>
        </w:tc>
        <w:tc>
          <w:tcPr>
            <w:tcW w:w="9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92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2.23</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10.704</w:t>
            </w:r>
          </w:p>
        </w:tc>
      </w:tr>
      <w:tr>
        <w:tblPrEx>
          <w:tblCellMar>
            <w:top w:w="0" w:type="dxa"/>
            <w:left w:w="108" w:type="dxa"/>
            <w:bottom w:w="0" w:type="dxa"/>
            <w:right w:w="108" w:type="dxa"/>
          </w:tblCellMar>
        </w:tblPrEx>
        <w:trPr>
          <w:trHeight w:val="280" w:hRule="atLeast"/>
          <w:jc w:val="center"/>
        </w:trPr>
        <w:tc>
          <w:tcPr>
            <w:tcW w:w="594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799.68</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（3）气液分离器</w:t>
      </w:r>
    </w:p>
    <w:tbl>
      <w:tblPr>
        <w:tblStyle w:val="16"/>
        <w:tblW w:w="10201" w:type="dxa"/>
        <w:jc w:val="center"/>
        <w:tblLayout w:type="autofit"/>
        <w:tblCellMar>
          <w:top w:w="0" w:type="dxa"/>
          <w:left w:w="108" w:type="dxa"/>
          <w:bottom w:w="0" w:type="dxa"/>
          <w:right w:w="108" w:type="dxa"/>
        </w:tblCellMar>
      </w:tblPr>
      <w:tblGrid>
        <w:gridCol w:w="1134"/>
        <w:gridCol w:w="2409"/>
        <w:gridCol w:w="1985"/>
        <w:gridCol w:w="910"/>
        <w:gridCol w:w="1480"/>
        <w:gridCol w:w="724"/>
        <w:gridCol w:w="1559"/>
      </w:tblGrid>
      <w:tr>
        <w:trPr>
          <w:trHeight w:val="280" w:hRule="atLeast"/>
          <w:jc w:val="center"/>
        </w:trPr>
        <w:tc>
          <w:tcPr>
            <w:tcW w:w="1134"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设备位号</w:t>
            </w:r>
          </w:p>
        </w:tc>
        <w:tc>
          <w:tcPr>
            <w:tcW w:w="240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类型</w:t>
            </w:r>
          </w:p>
        </w:tc>
        <w:tc>
          <w:tcPr>
            <w:tcW w:w="91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材料</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重量/kg</w:t>
            </w:r>
          </w:p>
        </w:tc>
        <w:tc>
          <w:tcPr>
            <w:tcW w:w="72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数量</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V0103</w:t>
            </w:r>
          </w:p>
        </w:tc>
        <w:tc>
          <w:tcPr>
            <w:tcW w:w="24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中间产物气液分离罐1</w:t>
            </w:r>
          </w:p>
        </w:tc>
        <w:tc>
          <w:tcPr>
            <w:tcW w:w="198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立式丝网分离器</w:t>
            </w:r>
          </w:p>
        </w:tc>
        <w:tc>
          <w:tcPr>
            <w:tcW w:w="91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2207.98</w:t>
            </w:r>
          </w:p>
        </w:tc>
        <w:tc>
          <w:tcPr>
            <w:tcW w:w="72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10.598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V0104</w:t>
            </w:r>
          </w:p>
        </w:tc>
        <w:tc>
          <w:tcPr>
            <w:tcW w:w="24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中间产物气液分离罐2</w:t>
            </w:r>
          </w:p>
        </w:tc>
        <w:tc>
          <w:tcPr>
            <w:tcW w:w="198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立式丝网分离器</w:t>
            </w:r>
          </w:p>
        </w:tc>
        <w:tc>
          <w:tcPr>
            <w:tcW w:w="91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284.95</w:t>
            </w:r>
          </w:p>
        </w:tc>
        <w:tc>
          <w:tcPr>
            <w:tcW w:w="72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1.368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V0202</w:t>
            </w:r>
          </w:p>
        </w:tc>
        <w:tc>
          <w:tcPr>
            <w:tcW w:w="24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氨气闪蒸罐</w:t>
            </w:r>
          </w:p>
        </w:tc>
        <w:tc>
          <w:tcPr>
            <w:tcW w:w="198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立式丝网分离器</w:t>
            </w:r>
          </w:p>
        </w:tc>
        <w:tc>
          <w:tcPr>
            <w:tcW w:w="91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221533.4</w:t>
            </w:r>
          </w:p>
        </w:tc>
        <w:tc>
          <w:tcPr>
            <w:tcW w:w="72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1063.360 </w:t>
            </w:r>
          </w:p>
        </w:tc>
      </w:tr>
      <w:tr>
        <w:tblPrEx>
          <w:tblCellMar>
            <w:top w:w="0" w:type="dxa"/>
            <w:left w:w="108" w:type="dxa"/>
            <w:bottom w:w="0" w:type="dxa"/>
            <w:right w:w="108" w:type="dxa"/>
          </w:tblCellMar>
        </w:tblPrEx>
        <w:trPr>
          <w:trHeight w:val="280" w:hRule="atLeast"/>
          <w:jc w:val="center"/>
        </w:trPr>
        <w:tc>
          <w:tcPr>
            <w:tcW w:w="1134"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V0107</w:t>
            </w:r>
          </w:p>
        </w:tc>
        <w:tc>
          <w:tcPr>
            <w:tcW w:w="24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粗产物气液分离罐</w:t>
            </w:r>
          </w:p>
        </w:tc>
        <w:tc>
          <w:tcPr>
            <w:tcW w:w="198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立式丝网分离器</w:t>
            </w:r>
          </w:p>
        </w:tc>
        <w:tc>
          <w:tcPr>
            <w:tcW w:w="91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S30408</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1385.66</w:t>
            </w:r>
          </w:p>
        </w:tc>
        <w:tc>
          <w:tcPr>
            <w:tcW w:w="72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6.651 </w:t>
            </w:r>
          </w:p>
        </w:tc>
      </w:tr>
      <w:tr>
        <w:tblPrEx>
          <w:tblCellMar>
            <w:top w:w="0" w:type="dxa"/>
            <w:left w:w="108" w:type="dxa"/>
            <w:bottom w:w="0" w:type="dxa"/>
            <w:right w:w="108" w:type="dxa"/>
          </w:tblCellMar>
        </w:tblPrEx>
        <w:trPr>
          <w:trHeight w:val="280" w:hRule="atLeast"/>
          <w:jc w:val="center"/>
        </w:trPr>
        <w:tc>
          <w:tcPr>
            <w:tcW w:w="8642"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1081.977 </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（4）换热器：</w:t>
      </w:r>
    </w:p>
    <w:tbl>
      <w:tblPr>
        <w:tblStyle w:val="16"/>
        <w:tblW w:w="11198" w:type="dxa"/>
        <w:jc w:val="center"/>
        <w:tblLayout w:type="autofit"/>
        <w:tblCellMar>
          <w:top w:w="0" w:type="dxa"/>
          <w:left w:w="108" w:type="dxa"/>
          <w:bottom w:w="0" w:type="dxa"/>
          <w:right w:w="108" w:type="dxa"/>
        </w:tblCellMar>
      </w:tblPr>
      <w:tblGrid>
        <w:gridCol w:w="855"/>
        <w:gridCol w:w="1559"/>
        <w:gridCol w:w="2694"/>
        <w:gridCol w:w="1275"/>
        <w:gridCol w:w="1271"/>
        <w:gridCol w:w="851"/>
        <w:gridCol w:w="992"/>
        <w:gridCol w:w="567"/>
        <w:gridCol w:w="1134"/>
      </w:tblGrid>
      <w:tr>
        <w:tblPrEx>
          <w:tblCellMar>
            <w:top w:w="0" w:type="dxa"/>
            <w:left w:w="108" w:type="dxa"/>
            <w:bottom w:w="0" w:type="dxa"/>
            <w:right w:w="108" w:type="dxa"/>
          </w:tblCellMar>
        </w:tblPrEx>
        <w:trPr>
          <w:trHeight w:val="280" w:hRule="atLeast"/>
          <w:jc w:val="center"/>
        </w:trPr>
        <w:tc>
          <w:tcPr>
            <w:tcW w:w="855"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设备位号</w:t>
            </w:r>
          </w:p>
        </w:tc>
        <w:tc>
          <w:tcPr>
            <w:tcW w:w="155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换热器名称</w:t>
            </w:r>
          </w:p>
        </w:tc>
        <w:tc>
          <w:tcPr>
            <w:tcW w:w="269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型号</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传热面积/m2</w:t>
            </w:r>
          </w:p>
        </w:tc>
        <w:tc>
          <w:tcPr>
            <w:tcW w:w="1271"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换热管/板数量</w:t>
            </w:r>
          </w:p>
        </w:tc>
        <w:tc>
          <w:tcPr>
            <w:tcW w:w="851"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管程材料</w:t>
            </w:r>
          </w:p>
        </w:tc>
        <w:tc>
          <w:tcPr>
            <w:tcW w:w="992"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壳程材料</w:t>
            </w:r>
          </w:p>
        </w:tc>
        <w:tc>
          <w:tcPr>
            <w:tcW w:w="567"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数量</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5"/>
                <w:szCs w:val="15"/>
              </w:rPr>
            </w:pPr>
            <w:r>
              <w:rPr>
                <w:rFonts w:hint="eastAsia" w:ascii="等线" w:hAnsi="等线" w:eastAsia="等线" w:cs="宋体"/>
                <w:color w:val="FFFFFF"/>
                <w:kern w:val="0"/>
                <w:sz w:val="15"/>
                <w:szCs w:val="15"/>
              </w:rPr>
              <w:t>总价（万元）</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氨气、AND换热器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BEM600-0.33/0.088-55.8-6/25-1I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55.8</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269</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10.35</w:t>
            </w:r>
            <w:r>
              <w:rPr>
                <w:rFonts w:ascii="等线" w:hAnsi="等线" w:eastAsia="等线" w:cs="宋体"/>
                <w:color w:val="000000"/>
                <w:kern w:val="0"/>
                <w:sz w:val="15"/>
                <w:szCs w:val="15"/>
              </w:rPr>
              <w:t>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E0102</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中间产物换热器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BEM500-0.33/0.33-90.2-6/19-2I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90.2</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256</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7.23</w:t>
            </w:r>
            <w:r>
              <w:rPr>
                <w:rFonts w:ascii="等线" w:hAnsi="等线" w:eastAsia="等线" w:cs="宋体"/>
                <w:color w:val="000000"/>
                <w:kern w:val="0"/>
                <w:sz w:val="15"/>
                <w:szCs w:val="15"/>
              </w:rPr>
              <w:t>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E0103</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中间产物冷却器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BEU500-0.33/0.33-96.8-6/19-1I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96.8</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275</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7.47</w:t>
            </w:r>
            <w:r>
              <w:rPr>
                <w:rFonts w:ascii="等线" w:hAnsi="等线" w:eastAsia="等线" w:cs="宋体"/>
                <w:color w:val="000000"/>
                <w:kern w:val="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E0104</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中间产物加热器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BEU700-0.33/0.134-93.8-3/19-4I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93.8</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542</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6.20</w:t>
            </w:r>
            <w:r>
              <w:rPr>
                <w:rFonts w:ascii="等线" w:hAnsi="等线" w:eastAsia="等线" w:cs="宋体"/>
                <w:color w:val="000000"/>
                <w:kern w:val="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E0110</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废水冷却器2</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BEM273-0.0123/0.111-5.4-1.5/19-1I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5.4</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65</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0.756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E0303</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热泵精馏换热器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BEM1600-0.253/0.11-1687.2-9/19-4I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1687.2</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3176</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78.463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E0304</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粗AND冷却器1</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BEM1300-0.08/0.275-557.6-4.5/25-1I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557.6</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2123</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40.330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E0108</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T0102冷凝器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BEM500-0..33/0.121-31.2-2/19-1I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31.2</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275</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2.490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E0109</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T0102再沸器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BKU800-0.55/0.33-138.0-3/19-1I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 xml:space="preserve">138.0 </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797</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8.18</w:t>
            </w:r>
            <w:r>
              <w:rPr>
                <w:rFonts w:ascii="等线" w:hAnsi="等线" w:eastAsia="等线" w:cs="宋体"/>
                <w:color w:val="000000"/>
                <w:kern w:val="0"/>
                <w:sz w:val="15"/>
                <w:szCs w:val="15"/>
              </w:rPr>
              <w:t>5</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E0105</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T0101冷凝器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BEM900-0.11/0.121-171-3/19-2I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 xml:space="preserve">171.0 </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988</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9.773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E0106</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T0101再沸器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BEM900-0.11/0.33-355.3-6/19-1I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355.3</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1009</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19.806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E0302</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BEM600-0.056/0.88-109.3-4.5/19-2I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109.3</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416</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7.52</w:t>
            </w:r>
            <w:r>
              <w:rPr>
                <w:rFonts w:ascii="等线" w:hAnsi="等线" w:eastAsia="等线" w:cs="宋体"/>
                <w:color w:val="000000"/>
                <w:kern w:val="0"/>
                <w:sz w:val="15"/>
                <w:szCs w:val="15"/>
              </w:rPr>
              <w:t>2</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E0301</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BEM1500-0.121/0.134-1556-9/19-2I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 xml:space="preserve">1556.0 </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2929</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72.6</w:t>
            </w:r>
            <w:r>
              <w:rPr>
                <w:rFonts w:ascii="等线" w:hAnsi="等线" w:eastAsia="等线" w:cs="宋体"/>
                <w:color w:val="000000"/>
                <w:kern w:val="0"/>
                <w:sz w:val="15"/>
                <w:szCs w:val="15"/>
              </w:rPr>
              <w:t>60</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E0305</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T0303冷凝器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BEM500-0.011/0.121-67.2-4.5/19-2I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67.2</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256</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5.42</w:t>
            </w:r>
            <w:r>
              <w:rPr>
                <w:rFonts w:ascii="等线" w:hAnsi="等线" w:eastAsia="等线" w:cs="宋体"/>
                <w:color w:val="000000"/>
                <w:kern w:val="0"/>
                <w:sz w:val="15"/>
                <w:szCs w:val="15"/>
              </w:rPr>
              <w:t>7</w:t>
            </w:r>
            <w:r>
              <w:rPr>
                <w:rFonts w:hint="eastAsia" w:ascii="等线" w:hAnsi="等线" w:eastAsia="等线" w:cs="宋体"/>
                <w:color w:val="000000"/>
                <w:kern w:val="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E0306</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T0303再沸器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BKU400-0.121/0.023-18.6-2/19-2I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18.6</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164</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1.761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E0307</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T0304冷凝器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BEM800-0.55/0.33-138.0-3/19-4I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189.8</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722</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7.72</w:t>
            </w:r>
            <w:r>
              <w:rPr>
                <w:rFonts w:ascii="等线" w:hAnsi="等线" w:eastAsia="等线" w:cs="宋体"/>
                <w:color w:val="000000"/>
                <w:kern w:val="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E0308</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T0304再沸器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BKU900-0.23/0.88-113.8-2.5/25-1I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113.8</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605</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8.18</w:t>
            </w:r>
            <w:r>
              <w:rPr>
                <w:rFonts w:ascii="等线" w:hAnsi="等线" w:eastAsia="等线" w:cs="宋体"/>
                <w:color w:val="000000"/>
                <w:kern w:val="0"/>
                <w:sz w:val="15"/>
                <w:szCs w:val="15"/>
              </w:rPr>
              <w:t>1</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E0309</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T0305冷凝器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BEM273-0.0123/0.111-5.4-1.5/19-1I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5.4</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65</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0.756</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E0310</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T0305再沸器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BEM273-0.0123/0.134-11.3-3/19-1I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11.3</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65</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1.51</w:t>
            </w:r>
            <w:r>
              <w:rPr>
                <w:rFonts w:ascii="等线" w:hAnsi="等线" w:eastAsia="等线" w:cs="宋体"/>
                <w:color w:val="000000"/>
                <w:kern w:val="0"/>
                <w:sz w:val="15"/>
                <w:szCs w:val="15"/>
              </w:rPr>
              <w:t>3</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E0201</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T0201冷凝器</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BEM1900-0.33/0.111-2424-9/19-4I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 xml:space="preserve">2424.0 </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4566</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107.91</w:t>
            </w:r>
            <w:r>
              <w:rPr>
                <w:rFonts w:ascii="等线" w:hAnsi="等线" w:eastAsia="等线" w:cs="宋体"/>
                <w:color w:val="000000"/>
                <w:kern w:val="0"/>
                <w:sz w:val="15"/>
                <w:szCs w:val="15"/>
              </w:rPr>
              <w:t>8</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E0202</w:t>
            </w:r>
          </w:p>
        </w:tc>
        <w:tc>
          <w:tcPr>
            <w:tcW w:w="155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T0201再沸器</w:t>
            </w:r>
          </w:p>
        </w:tc>
        <w:tc>
          <w:tcPr>
            <w:tcW w:w="269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BEM800-0.55/0.134-209.3-4.5/19-1I</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209.3</w:t>
            </w:r>
          </w:p>
        </w:tc>
        <w:tc>
          <w:tcPr>
            <w:tcW w:w="127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797</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12.27</w:t>
            </w:r>
            <w:r>
              <w:rPr>
                <w:rFonts w:ascii="等线" w:hAnsi="等线" w:eastAsia="等线" w:cs="宋体"/>
                <w:color w:val="000000"/>
                <w:kern w:val="0"/>
                <w:sz w:val="15"/>
                <w:szCs w:val="15"/>
              </w:rPr>
              <w:t>8</w:t>
            </w:r>
          </w:p>
        </w:tc>
      </w:tr>
      <w:tr>
        <w:tblPrEx>
          <w:tblCellMar>
            <w:top w:w="0" w:type="dxa"/>
            <w:left w:w="108" w:type="dxa"/>
            <w:bottom w:w="0" w:type="dxa"/>
            <w:right w:w="108" w:type="dxa"/>
          </w:tblCellMar>
        </w:tblPrEx>
        <w:trPr>
          <w:trHeight w:val="280" w:hRule="atLeast"/>
          <w:jc w:val="center"/>
        </w:trPr>
        <w:tc>
          <w:tcPr>
            <w:tcW w:w="855"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E0107</w:t>
            </w:r>
          </w:p>
        </w:tc>
        <w:tc>
          <w:tcPr>
            <w:tcW w:w="155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废水冷却器1</w:t>
            </w:r>
          </w:p>
        </w:tc>
        <w:tc>
          <w:tcPr>
            <w:tcW w:w="269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BEM219-0.11/0.11-17.7-9/25-1I</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17.7</w:t>
            </w:r>
          </w:p>
        </w:tc>
        <w:tc>
          <w:tcPr>
            <w:tcW w:w="127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29</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16Mn</w:t>
            </w:r>
          </w:p>
        </w:tc>
        <w:tc>
          <w:tcPr>
            <w:tcW w:w="99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Q345R</w:t>
            </w:r>
          </w:p>
        </w:tc>
        <w:tc>
          <w:tcPr>
            <w:tcW w:w="56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3.558</w:t>
            </w:r>
          </w:p>
        </w:tc>
      </w:tr>
      <w:tr>
        <w:tblPrEx>
          <w:tblCellMar>
            <w:top w:w="0" w:type="dxa"/>
            <w:left w:w="108" w:type="dxa"/>
            <w:bottom w:w="0" w:type="dxa"/>
            <w:right w:w="108" w:type="dxa"/>
          </w:tblCellMar>
        </w:tblPrEx>
        <w:trPr>
          <w:trHeight w:val="280" w:hRule="atLeast"/>
          <w:jc w:val="center"/>
        </w:trPr>
        <w:tc>
          <w:tcPr>
            <w:tcW w:w="10064"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合计</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5"/>
                <w:szCs w:val="15"/>
              </w:rPr>
            </w:pPr>
            <w:r>
              <w:rPr>
                <w:rFonts w:hint="eastAsia" w:ascii="等线" w:hAnsi="等线" w:eastAsia="等线" w:cs="宋体"/>
                <w:color w:val="000000"/>
                <w:kern w:val="0"/>
                <w:sz w:val="15"/>
                <w:szCs w:val="15"/>
              </w:rPr>
              <w:t>420.362</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（5）压缩机：</w:t>
      </w:r>
    </w:p>
    <w:tbl>
      <w:tblPr>
        <w:tblStyle w:val="16"/>
        <w:tblW w:w="10343" w:type="dxa"/>
        <w:jc w:val="center"/>
        <w:tblLayout w:type="autofit"/>
        <w:tblCellMar>
          <w:top w:w="0" w:type="dxa"/>
          <w:left w:w="108" w:type="dxa"/>
          <w:bottom w:w="0" w:type="dxa"/>
          <w:right w:w="108" w:type="dxa"/>
        </w:tblCellMar>
      </w:tblPr>
      <w:tblGrid>
        <w:gridCol w:w="1121"/>
        <w:gridCol w:w="2780"/>
        <w:gridCol w:w="1056"/>
        <w:gridCol w:w="1275"/>
        <w:gridCol w:w="1134"/>
        <w:gridCol w:w="851"/>
        <w:gridCol w:w="709"/>
        <w:gridCol w:w="1417"/>
      </w:tblGrid>
      <w:tr>
        <w:tblPrEx>
          <w:tblCellMar>
            <w:top w:w="0" w:type="dxa"/>
            <w:left w:w="108" w:type="dxa"/>
            <w:bottom w:w="0" w:type="dxa"/>
            <w:right w:w="108" w:type="dxa"/>
          </w:tblCellMar>
        </w:tblPrEx>
        <w:trPr>
          <w:trHeight w:val="280" w:hRule="atLeast"/>
          <w:jc w:val="center"/>
        </w:trPr>
        <w:tc>
          <w:tcPr>
            <w:tcW w:w="1121"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设备位号</w:t>
            </w:r>
          </w:p>
        </w:tc>
        <w:tc>
          <w:tcPr>
            <w:tcW w:w="278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名称</w:t>
            </w:r>
          </w:p>
        </w:tc>
        <w:tc>
          <w:tcPr>
            <w:tcW w:w="1056"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类型</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型号</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材质</w:t>
            </w:r>
          </w:p>
        </w:tc>
        <w:tc>
          <w:tcPr>
            <w:tcW w:w="851"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重量/t</w:t>
            </w:r>
          </w:p>
        </w:tc>
        <w:tc>
          <w:tcPr>
            <w:tcW w:w="709"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数量</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0"/>
                <w:szCs w:val="20"/>
              </w:rPr>
            </w:pPr>
            <w:r>
              <w:rPr>
                <w:rFonts w:hint="eastAsia" w:ascii="等线" w:hAnsi="等线" w:eastAsia="等线" w:cs="宋体"/>
                <w:color w:val="FFFFFF"/>
                <w:kern w:val="0"/>
                <w:sz w:val="20"/>
                <w:szCs w:val="20"/>
              </w:rPr>
              <w:t>价格（万元）</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C0202</w:t>
            </w:r>
          </w:p>
        </w:tc>
        <w:tc>
          <w:tcPr>
            <w:tcW w:w="27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循环氨气压缩机</w:t>
            </w:r>
          </w:p>
        </w:tc>
        <w:tc>
          <w:tcPr>
            <w:tcW w:w="105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DAC800</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43</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206.4</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C0201</w:t>
            </w:r>
          </w:p>
        </w:tc>
        <w:tc>
          <w:tcPr>
            <w:tcW w:w="27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粗氨气压缩机</w:t>
            </w:r>
          </w:p>
        </w:tc>
        <w:tc>
          <w:tcPr>
            <w:tcW w:w="105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DAC400</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22</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105.6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C0301</w:t>
            </w:r>
          </w:p>
        </w:tc>
        <w:tc>
          <w:tcPr>
            <w:tcW w:w="27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粗AND压缩机</w:t>
            </w:r>
          </w:p>
        </w:tc>
        <w:tc>
          <w:tcPr>
            <w:tcW w:w="105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DAC400</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22</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105.6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C0101</w:t>
            </w:r>
          </w:p>
        </w:tc>
        <w:tc>
          <w:tcPr>
            <w:tcW w:w="27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废水压缩机1</w:t>
            </w:r>
          </w:p>
        </w:tc>
        <w:tc>
          <w:tcPr>
            <w:tcW w:w="105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DAC300</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17</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81.6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C0102</w:t>
            </w:r>
          </w:p>
        </w:tc>
        <w:tc>
          <w:tcPr>
            <w:tcW w:w="27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废水压缩机2</w:t>
            </w:r>
          </w:p>
        </w:tc>
        <w:tc>
          <w:tcPr>
            <w:tcW w:w="1056"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DAC50</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4.5</w:t>
            </w:r>
          </w:p>
        </w:tc>
        <w:tc>
          <w:tcPr>
            <w:tcW w:w="709"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21.6</w:t>
            </w:r>
          </w:p>
        </w:tc>
      </w:tr>
      <w:tr>
        <w:tblPrEx>
          <w:tblCellMar>
            <w:top w:w="0" w:type="dxa"/>
            <w:left w:w="108" w:type="dxa"/>
            <w:bottom w:w="0" w:type="dxa"/>
            <w:right w:w="108" w:type="dxa"/>
          </w:tblCellMar>
        </w:tblPrEx>
        <w:trPr>
          <w:trHeight w:val="280" w:hRule="atLeast"/>
          <w:jc w:val="center"/>
        </w:trPr>
        <w:tc>
          <w:tcPr>
            <w:tcW w:w="1121"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C0401</w:t>
            </w:r>
          </w:p>
        </w:tc>
        <w:tc>
          <w:tcPr>
            <w:tcW w:w="27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液氨压缩机</w:t>
            </w:r>
          </w:p>
        </w:tc>
        <w:tc>
          <w:tcPr>
            <w:tcW w:w="1056"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离心式</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DAC50</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S30408</w:t>
            </w:r>
          </w:p>
        </w:tc>
        <w:tc>
          <w:tcPr>
            <w:tcW w:w="851"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4.5</w:t>
            </w:r>
          </w:p>
        </w:tc>
        <w:tc>
          <w:tcPr>
            <w:tcW w:w="709"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1</w:t>
            </w:r>
          </w:p>
        </w:tc>
        <w:tc>
          <w:tcPr>
            <w:tcW w:w="1417"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21.6</w:t>
            </w:r>
          </w:p>
        </w:tc>
      </w:tr>
      <w:tr>
        <w:tblPrEx>
          <w:tblCellMar>
            <w:top w:w="0" w:type="dxa"/>
            <w:left w:w="108" w:type="dxa"/>
            <w:bottom w:w="0" w:type="dxa"/>
            <w:right w:w="108" w:type="dxa"/>
          </w:tblCellMar>
        </w:tblPrEx>
        <w:trPr>
          <w:trHeight w:val="280" w:hRule="atLeast"/>
          <w:jc w:val="center"/>
        </w:trPr>
        <w:tc>
          <w:tcPr>
            <w:tcW w:w="8926" w:type="dxa"/>
            <w:gridSpan w:val="7"/>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合计</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0"/>
                <w:szCs w:val="20"/>
              </w:rPr>
            </w:pPr>
            <w:r>
              <w:rPr>
                <w:rFonts w:hint="eastAsia" w:ascii="等线" w:hAnsi="等线" w:eastAsia="等线" w:cs="宋体"/>
                <w:color w:val="000000"/>
                <w:kern w:val="0"/>
                <w:sz w:val="20"/>
                <w:szCs w:val="20"/>
              </w:rPr>
              <w:t>542.4</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（6）储罐：</w:t>
      </w:r>
    </w:p>
    <w:tbl>
      <w:tblPr>
        <w:tblStyle w:val="16"/>
        <w:tblW w:w="11623" w:type="dxa"/>
        <w:jc w:val="center"/>
        <w:tblLayout w:type="autofit"/>
        <w:tblCellMar>
          <w:top w:w="0" w:type="dxa"/>
          <w:left w:w="108" w:type="dxa"/>
          <w:bottom w:w="0" w:type="dxa"/>
          <w:right w:w="108" w:type="dxa"/>
        </w:tblCellMar>
      </w:tblPr>
      <w:tblGrid>
        <w:gridCol w:w="997"/>
        <w:gridCol w:w="1418"/>
        <w:gridCol w:w="1842"/>
        <w:gridCol w:w="713"/>
        <w:gridCol w:w="983"/>
        <w:gridCol w:w="1134"/>
        <w:gridCol w:w="1134"/>
        <w:gridCol w:w="993"/>
        <w:gridCol w:w="1134"/>
        <w:gridCol w:w="1275"/>
      </w:tblGrid>
      <w:tr>
        <w:tblPrEx>
          <w:tblCellMar>
            <w:top w:w="0" w:type="dxa"/>
            <w:left w:w="108" w:type="dxa"/>
            <w:bottom w:w="0" w:type="dxa"/>
            <w:right w:w="108" w:type="dxa"/>
          </w:tblCellMar>
        </w:tblPrEx>
        <w:trPr>
          <w:trHeight w:val="280" w:hRule="atLeast"/>
          <w:jc w:val="center"/>
        </w:trPr>
        <w:tc>
          <w:tcPr>
            <w:tcW w:w="997"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设备位号</w:t>
            </w:r>
          </w:p>
        </w:tc>
        <w:tc>
          <w:tcPr>
            <w:tcW w:w="1418"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名称</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类型</w:t>
            </w:r>
          </w:p>
        </w:tc>
        <w:tc>
          <w:tcPr>
            <w:tcW w:w="713"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公称容积/m3</w:t>
            </w:r>
          </w:p>
        </w:tc>
        <w:tc>
          <w:tcPr>
            <w:tcW w:w="983"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材料</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保护层</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总质量/t</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数量</w:t>
            </w:r>
          </w:p>
        </w:tc>
        <w:tc>
          <w:tcPr>
            <w:tcW w:w="113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造价(万元）</w:t>
            </w:r>
          </w:p>
        </w:tc>
        <w:tc>
          <w:tcPr>
            <w:tcW w:w="1275"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16"/>
                <w:szCs w:val="16"/>
              </w:rPr>
            </w:pPr>
            <w:r>
              <w:rPr>
                <w:rFonts w:hint="eastAsia" w:ascii="等线" w:hAnsi="等线" w:eastAsia="等线" w:cs="宋体"/>
                <w:color w:val="FFFFFF"/>
                <w:kern w:val="0"/>
                <w:sz w:val="16"/>
                <w:szCs w:val="16"/>
              </w:rPr>
              <w:t>总价（万元）</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V0401</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液氨球型储罐</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钢制球形储罐</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2000</w:t>
            </w:r>
          </w:p>
        </w:tc>
        <w:tc>
          <w:tcPr>
            <w:tcW w:w="98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Q370R</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不锈钢薄板</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310</w:t>
            </w: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422</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432</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V0403A/B</w:t>
            </w:r>
          </w:p>
        </w:tc>
        <w:tc>
          <w:tcPr>
            <w:tcW w:w="1418"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ADN储罐</w:t>
            </w:r>
          </w:p>
        </w:tc>
        <w:tc>
          <w:tcPr>
            <w:tcW w:w="1842"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立式圆筒形内浮顶容器</w:t>
            </w:r>
          </w:p>
        </w:tc>
        <w:tc>
          <w:tcPr>
            <w:tcW w:w="713"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3000</w:t>
            </w:r>
          </w:p>
        </w:tc>
        <w:tc>
          <w:tcPr>
            <w:tcW w:w="983"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Q235-A</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不锈钢薄板</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89.485</w:t>
            </w:r>
          </w:p>
        </w:tc>
        <w:tc>
          <w:tcPr>
            <w:tcW w:w="993"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2</w:t>
            </w:r>
          </w:p>
        </w:tc>
        <w:tc>
          <w:tcPr>
            <w:tcW w:w="113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178.97</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357.94</w:t>
            </w:r>
          </w:p>
        </w:tc>
      </w:tr>
      <w:tr>
        <w:tblPrEx>
          <w:tblCellMar>
            <w:top w:w="0" w:type="dxa"/>
            <w:left w:w="108" w:type="dxa"/>
            <w:bottom w:w="0" w:type="dxa"/>
            <w:right w:w="108" w:type="dxa"/>
          </w:tblCellMar>
        </w:tblPrEx>
        <w:trPr>
          <w:trHeight w:val="280" w:hRule="atLeast"/>
          <w:jc w:val="center"/>
        </w:trPr>
        <w:tc>
          <w:tcPr>
            <w:tcW w:w="997"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V0404</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废水储罐</w:t>
            </w:r>
          </w:p>
        </w:tc>
        <w:tc>
          <w:tcPr>
            <w:tcW w:w="1842"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立式圆筒形内浮顶容器</w:t>
            </w:r>
          </w:p>
        </w:tc>
        <w:tc>
          <w:tcPr>
            <w:tcW w:w="71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3000</w:t>
            </w:r>
          </w:p>
        </w:tc>
        <w:tc>
          <w:tcPr>
            <w:tcW w:w="98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Q235-A</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不锈钢薄板</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89.485</w:t>
            </w:r>
          </w:p>
        </w:tc>
        <w:tc>
          <w:tcPr>
            <w:tcW w:w="993"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1</w:t>
            </w:r>
          </w:p>
        </w:tc>
        <w:tc>
          <w:tcPr>
            <w:tcW w:w="113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178.97</w:t>
            </w:r>
          </w:p>
        </w:tc>
        <w:tc>
          <w:tcPr>
            <w:tcW w:w="1275"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178.97</w:t>
            </w:r>
          </w:p>
        </w:tc>
      </w:tr>
      <w:tr>
        <w:tblPrEx>
          <w:tblCellMar>
            <w:top w:w="0" w:type="dxa"/>
            <w:left w:w="108" w:type="dxa"/>
            <w:bottom w:w="0" w:type="dxa"/>
            <w:right w:w="108" w:type="dxa"/>
          </w:tblCellMar>
        </w:tblPrEx>
        <w:trPr>
          <w:trHeight w:val="280" w:hRule="atLeast"/>
          <w:jc w:val="center"/>
        </w:trPr>
        <w:tc>
          <w:tcPr>
            <w:tcW w:w="10348" w:type="dxa"/>
            <w:gridSpan w:val="9"/>
            <w:tcBorders>
              <w:top w:val="single" w:color="auto" w:sz="4" w:space="0"/>
              <w:left w:val="single" w:color="auto" w:sz="4" w:space="0"/>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合计</w:t>
            </w:r>
          </w:p>
        </w:tc>
        <w:tc>
          <w:tcPr>
            <w:tcW w:w="1275"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16"/>
                <w:szCs w:val="16"/>
              </w:rPr>
            </w:pPr>
            <w:r>
              <w:rPr>
                <w:rFonts w:hint="eastAsia" w:ascii="等线" w:hAnsi="等线" w:eastAsia="等线" w:cs="宋体"/>
                <w:color w:val="000000"/>
                <w:kern w:val="0"/>
                <w:sz w:val="16"/>
                <w:szCs w:val="16"/>
              </w:rPr>
              <w:t>968.91</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（7）回流罐、分流罐、缓冲罐：</w:t>
      </w:r>
    </w:p>
    <w:tbl>
      <w:tblPr>
        <w:tblStyle w:val="66"/>
        <w:tblW w:w="10485"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979"/>
        <w:gridCol w:w="1714"/>
        <w:gridCol w:w="2410"/>
        <w:gridCol w:w="1129"/>
        <w:gridCol w:w="1134"/>
        <w:gridCol w:w="993"/>
        <w:gridCol w:w="212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设备位号</w:t>
            </w:r>
          </w:p>
        </w:tc>
        <w:tc>
          <w:tcPr>
            <w:tcW w:w="1714"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名称</w:t>
            </w:r>
          </w:p>
        </w:tc>
        <w:tc>
          <w:tcPr>
            <w:tcW w:w="2410"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类型</w:t>
            </w:r>
          </w:p>
        </w:tc>
        <w:tc>
          <w:tcPr>
            <w:tcW w:w="1129"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材料</w:t>
            </w:r>
          </w:p>
        </w:tc>
        <w:tc>
          <w:tcPr>
            <w:tcW w:w="1134"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总质量/kg</w:t>
            </w:r>
          </w:p>
        </w:tc>
        <w:tc>
          <w:tcPr>
            <w:tcW w:w="993"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数量</w:t>
            </w:r>
          </w:p>
        </w:tc>
        <w:tc>
          <w:tcPr>
            <w:tcW w:w="2126" w:type="dxa"/>
            <w:tcBorders>
              <w:top w:val="single" w:color="4472C4" w:sz="4" w:space="0"/>
              <w:bottom w:val="single" w:color="4472C4" w:sz="4" w:space="0"/>
              <w:right w:val="single" w:color="4472C4" w:sz="4" w:space="0"/>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价格（万元）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V0101</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氨气混合罐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60950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134.09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V0201</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粗氨气缓冲罐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89485</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196.867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V0105</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粗氨气混合罐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60950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134.09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V0102</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汽包</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89485</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196.867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V0108</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废水缓冲罐1</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Q235-A</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640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3.072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V0110</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废水缓冲罐2</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Q235-A</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640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3.072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V0203</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氨气缓冲罐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60950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134.09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V0306</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精制ICCP混合罐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6550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31.44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1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V0402</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氨气缓冲罐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60950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134.09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V0302</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AND分离罐1</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12620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27.764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V0303</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AND分离罐2</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6550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31.44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V0109</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T0102回流罐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立式圆筒形内浮顶容器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19280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42.416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V0106</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T0101回流罐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640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3.072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V0301</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T0301回流罐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290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1.392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V0202</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T0201回流罐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290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1.392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V0307</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T0305回流罐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290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1.392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V0304</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T0303回流罐</w:t>
            </w:r>
          </w:p>
        </w:tc>
        <w:tc>
          <w:tcPr>
            <w:tcW w:w="241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993"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V0305</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T0304回流罐</w:t>
            </w:r>
          </w:p>
        </w:tc>
        <w:tc>
          <w:tcPr>
            <w:tcW w:w="241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卧式椭圆形封头容器</w:t>
            </w:r>
          </w:p>
        </w:tc>
        <w:tc>
          <w:tcPr>
            <w:tcW w:w="1129"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290</w:t>
            </w:r>
          </w:p>
        </w:tc>
        <w:tc>
          <w:tcPr>
            <w:tcW w:w="993"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12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1.392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8359" w:type="dxa"/>
            <w:gridSpan w:val="6"/>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合计</w:t>
            </w:r>
          </w:p>
        </w:tc>
        <w:tc>
          <w:tcPr>
            <w:tcW w:w="212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1080.338</w:t>
            </w:r>
          </w:p>
        </w:tc>
      </w:tr>
    </w:tbl>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（8）泵价格表：</w:t>
      </w:r>
    </w:p>
    <w:tbl>
      <w:tblPr>
        <w:tblStyle w:val="66"/>
        <w:tblW w:w="10206"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25"/>
        <w:gridCol w:w="1714"/>
        <w:gridCol w:w="1417"/>
        <w:gridCol w:w="1276"/>
        <w:gridCol w:w="1134"/>
        <w:gridCol w:w="1418"/>
        <w:gridCol w:w="850"/>
        <w:gridCol w:w="1418"/>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设备位号</w:t>
            </w:r>
          </w:p>
        </w:tc>
        <w:tc>
          <w:tcPr>
            <w:tcW w:w="1714"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名称</w:t>
            </w:r>
          </w:p>
        </w:tc>
        <w:tc>
          <w:tcPr>
            <w:tcW w:w="1417"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型号</w:t>
            </w:r>
          </w:p>
        </w:tc>
        <w:tc>
          <w:tcPr>
            <w:tcW w:w="1276"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类型</w:t>
            </w:r>
          </w:p>
        </w:tc>
        <w:tc>
          <w:tcPr>
            <w:tcW w:w="1134"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材质</w:t>
            </w:r>
          </w:p>
        </w:tc>
        <w:tc>
          <w:tcPr>
            <w:tcW w:w="1418"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造价（万元）</w:t>
            </w:r>
          </w:p>
        </w:tc>
        <w:tc>
          <w:tcPr>
            <w:tcW w:w="850"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数量</w:t>
            </w:r>
          </w:p>
        </w:tc>
        <w:tc>
          <w:tcPr>
            <w:tcW w:w="1418" w:type="dxa"/>
            <w:tcBorders>
              <w:top w:val="single" w:color="4472C4" w:sz="4" w:space="0"/>
              <w:bottom w:val="single" w:color="4472C4" w:sz="4" w:space="0"/>
              <w:right w:val="single" w:color="4472C4" w:sz="4" w:space="0"/>
              <w:insideH w:val="single" w:sz="4" w:space="0"/>
              <w:insideV w:val="nil"/>
            </w:tcBorders>
            <w:shd w:val="clear" w:color="auto" w:fill="4472C4"/>
            <w:noWrap/>
          </w:tcPr>
          <w:p>
            <w:pPr>
              <w:widowControl/>
              <w:jc w:val="center"/>
              <w:rPr>
                <w:rFonts w:ascii="等线" w:hAnsi="等线" w:eastAsia="等线" w:cs="宋体"/>
                <w:b/>
                <w:bCs/>
                <w:color w:val="FFFFFF"/>
                <w:kern w:val="0"/>
                <w:sz w:val="18"/>
                <w:szCs w:val="18"/>
              </w:rPr>
            </w:pPr>
            <w:r>
              <w:rPr>
                <w:rFonts w:hint="eastAsia" w:ascii="等线" w:hAnsi="等线" w:eastAsia="等线" w:cs="宋体"/>
                <w:b/>
                <w:bCs/>
                <w:color w:val="FFFFFF"/>
                <w:kern w:val="0"/>
                <w:sz w:val="18"/>
                <w:szCs w:val="18"/>
              </w:rPr>
              <w:t>总价（万元）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P0101A/B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AA输送泵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80D-12</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0.33</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P0102A/B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汽包蒸汽输送泵1</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IL200-150-250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2.75</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2.75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P0103A/B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汽包蒸汽输送泵2</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IL150-125-250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2.45</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2.45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P0104A/B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汽包蒸汽输送泵3</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300S19A</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1.95</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P0105A/B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汽包蒸汽输送泵4</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XA150/40B</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0.22</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P0106A/B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T0101回流泵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IX50-32-125A</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0.83</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0.83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P0107A/B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酰胺输送泵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XA40/13H</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0.21</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P0108A/B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粗ADN输送泵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IX180-65-100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1.95</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P0109A/B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T0102回流泵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IX165-50-125</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1.55</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1.55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P0110A/B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循环AA输送泵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IX50-32-125A</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0.43</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0.43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P0201A/B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T0201回流泵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ISL40-32-100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0.16</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P0202A/B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废水输送泵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IL40-40-125</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0.86</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0.86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P0302A/B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粗产物输送泵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100D-16</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0.54</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0.54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P0304A/B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精制ADN输送泵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IX165-50-100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1.35</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1.35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P0305A/B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循环ADN输送泵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IX165-50-110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离心泵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1.45</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1.45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P0301A/B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T0301回流泵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QBY3-20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气动隔膜泵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P0308A/B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T0304回流泵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QBY3-20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气动隔膜泵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P0310A/B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粗2ADN输送泵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DBY-15</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电动隔膜泵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0.31</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P0311A/B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T0305回流泵</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DBY-10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电动隔膜泵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0.21</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P0312A/B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精致2ADN输送泵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DBY-15</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电动隔膜泵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0.31</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0.31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P0303A/B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副产物输送泵1</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32W-30</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W型漩涡泵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P0306A/B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T0303回流泵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32W-30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W型旋涡泵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P0307A/B</w:t>
            </w:r>
          </w:p>
        </w:tc>
        <w:tc>
          <w:tcPr>
            <w:tcW w:w="171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副产物输送泵2</w:t>
            </w:r>
          </w:p>
        </w:tc>
        <w:tc>
          <w:tcPr>
            <w:tcW w:w="1417"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25W-25</w:t>
            </w:r>
          </w:p>
        </w:tc>
        <w:tc>
          <w:tcPr>
            <w:tcW w:w="1276"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W型旋涡泵</w:t>
            </w:r>
          </w:p>
        </w:tc>
        <w:tc>
          <w:tcPr>
            <w:tcW w:w="1134"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c>
          <w:tcPr>
            <w:tcW w:w="850"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979" w:type="dxa"/>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P0309A/B</w:t>
            </w:r>
          </w:p>
        </w:tc>
        <w:tc>
          <w:tcPr>
            <w:tcW w:w="171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ICCP输送泵</w:t>
            </w:r>
          </w:p>
        </w:tc>
        <w:tc>
          <w:tcPr>
            <w:tcW w:w="1417"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32W-30</w:t>
            </w:r>
          </w:p>
        </w:tc>
        <w:tc>
          <w:tcPr>
            <w:tcW w:w="1276"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W型旋涡泵</w:t>
            </w:r>
          </w:p>
        </w:tc>
        <w:tc>
          <w:tcPr>
            <w:tcW w:w="1134"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S30408</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c>
          <w:tcPr>
            <w:tcW w:w="850"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418" w:type="dxa"/>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0.28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8788" w:type="dxa"/>
            <w:gridSpan w:val="7"/>
            <w:shd w:val="clear" w:color="auto" w:fill="D9E2F3"/>
            <w:noWrap/>
          </w:tcPr>
          <w:p>
            <w:pPr>
              <w:widowControl/>
              <w:jc w:val="center"/>
              <w:rPr>
                <w:rFonts w:ascii="等线" w:hAnsi="等线" w:eastAsia="等线" w:cs="宋体"/>
                <w:b/>
                <w:bCs/>
                <w:color w:val="000000"/>
                <w:kern w:val="0"/>
                <w:sz w:val="18"/>
                <w:szCs w:val="18"/>
              </w:rPr>
            </w:pPr>
            <w:r>
              <w:rPr>
                <w:rFonts w:hint="eastAsia" w:ascii="等线" w:hAnsi="等线" w:eastAsia="等线" w:cs="宋体"/>
                <w:b/>
                <w:bCs/>
                <w:color w:val="000000"/>
                <w:kern w:val="0"/>
                <w:sz w:val="18"/>
                <w:szCs w:val="18"/>
              </w:rPr>
              <w:t>合计</w:t>
            </w:r>
          </w:p>
        </w:tc>
        <w:tc>
          <w:tcPr>
            <w:tcW w:w="1418" w:type="dxa"/>
            <w:shd w:val="clear" w:color="auto" w:fill="D9E2F3"/>
            <w:noWrap/>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19.06</w:t>
            </w:r>
          </w:p>
        </w:tc>
      </w:tr>
    </w:tbl>
    <w:p>
      <w:pPr>
        <w:autoSpaceDE w:val="0"/>
        <w:autoSpaceDN w:val="0"/>
        <w:spacing w:before="156" w:beforeLines="50" w:after="156" w:afterLines="50"/>
        <w:ind w:firstLine="420" w:firstLineChars="200"/>
        <w:jc w:val="left"/>
        <w:rPr>
          <w:rFonts w:ascii="Times New Roman" w:hAnsi="Times New Roman" w:cs="Times New Roman"/>
          <w:kern w:val="0"/>
        </w:rPr>
      </w:pPr>
    </w:p>
    <w:p>
      <w:pPr>
        <w:autoSpaceDE w:val="0"/>
        <w:autoSpaceDN w:val="0"/>
        <w:spacing w:before="156" w:beforeLines="50" w:after="156" w:afterLines="50"/>
        <w:ind w:firstLine="420" w:firstLineChars="200"/>
        <w:jc w:val="left"/>
        <w:rPr>
          <w:rFonts w:ascii="Times New Roman" w:hAnsi="Times New Roman" w:cs="Times New Roman"/>
          <w:kern w:val="0"/>
        </w:rPr>
      </w:pPr>
      <w:r>
        <w:rPr>
          <w:rFonts w:hint="eastAsia" w:ascii="Times New Roman" w:hAnsi="Times New Roman" w:cs="Times New Roman"/>
          <w:kern w:val="0"/>
        </w:rPr>
        <w:t>（二）其他工程费用</w:t>
      </w:r>
    </w:p>
    <w:p>
      <w:pPr>
        <w:autoSpaceDE w:val="0"/>
        <w:autoSpaceDN w:val="0"/>
        <w:spacing w:before="156" w:beforeLines="50" w:after="156" w:afterLines="50"/>
        <w:ind w:firstLine="420"/>
        <w:jc w:val="left"/>
        <w:rPr>
          <w:rFonts w:ascii="Times New Roman" w:hAnsi="Times New Roman" w:cs="Times New Roman"/>
          <w:b/>
          <w:kern w:val="0"/>
          <w:sz w:val="18"/>
          <w:szCs w:val="18"/>
        </w:rPr>
      </w:pPr>
      <w:r>
        <w:rPr>
          <w:rFonts w:hint="eastAsia" w:ascii="Times New Roman" w:hAnsi="Times New Roman" w:cs="Times New Roman"/>
          <w:kern w:val="0"/>
          <w:szCs w:val="21"/>
        </w:rPr>
        <w:t>根据主要生产设备购置费，按照一定比例确定管道及仪表自控系统费用、设备运杂费、备品备件购置费、工器具及生产家具购置费、设备内填充物购置费、电气设备费和其他设备购置费。</w:t>
      </w:r>
    </w:p>
    <w:p>
      <w:pPr>
        <w:autoSpaceDE w:val="0"/>
        <w:autoSpaceDN w:val="0"/>
        <w:spacing w:before="156" w:beforeLines="50" w:after="156" w:afterLines="50"/>
        <w:ind w:firstLine="420"/>
        <w:jc w:val="center"/>
        <w:rPr>
          <w:rFonts w:ascii="Times New Roman" w:hAnsi="Times New Roman" w:cs="Times New Roman"/>
          <w:b/>
          <w:kern w:val="0"/>
          <w:sz w:val="18"/>
          <w:szCs w:val="18"/>
        </w:rPr>
      </w:pPr>
      <w:r>
        <w:rPr>
          <w:rFonts w:hint="eastAsia" w:ascii="Times New Roman" w:hAnsi="Times New Roman" w:cs="Times New Roman"/>
          <w:b/>
          <w:kern w:val="0"/>
          <w:sz w:val="18"/>
          <w:szCs w:val="18"/>
        </w:rPr>
        <w:t>表</w:t>
      </w:r>
      <w:r>
        <w:rPr>
          <w:rFonts w:ascii="Times New Roman" w:hAnsi="Times New Roman" w:cs="Times New Roman"/>
          <w:b/>
          <w:kern w:val="0"/>
          <w:sz w:val="18"/>
          <w:szCs w:val="18"/>
        </w:rPr>
        <w:t xml:space="preserve">1-2 </w:t>
      </w:r>
      <w:r>
        <w:rPr>
          <w:rFonts w:hint="eastAsia" w:ascii="Times New Roman" w:hAnsi="Times New Roman" w:cs="Times New Roman"/>
          <w:b/>
          <w:kern w:val="0"/>
          <w:sz w:val="18"/>
          <w:szCs w:val="18"/>
        </w:rPr>
        <w:t>设备购置一览表</w:t>
      </w:r>
    </w:p>
    <w:tbl>
      <w:tblPr>
        <w:tblStyle w:val="16"/>
        <w:tblW w:w="6360" w:type="dxa"/>
        <w:jc w:val="center"/>
        <w:tblLayout w:type="autofit"/>
        <w:tblCellMar>
          <w:top w:w="0" w:type="dxa"/>
          <w:left w:w="108" w:type="dxa"/>
          <w:bottom w:w="0" w:type="dxa"/>
          <w:right w:w="108" w:type="dxa"/>
        </w:tblCellMar>
      </w:tblPr>
      <w:tblGrid>
        <w:gridCol w:w="1040"/>
        <w:gridCol w:w="2840"/>
        <w:gridCol w:w="1040"/>
        <w:gridCol w:w="144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8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0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费率（%）</w:t>
            </w:r>
          </w:p>
        </w:tc>
        <w:tc>
          <w:tcPr>
            <w:tcW w:w="14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8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工艺设备费</w:t>
            </w:r>
          </w:p>
        </w:tc>
        <w:tc>
          <w:tcPr>
            <w:tcW w:w="10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100</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5348.36 </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8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设备内部填充费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20</w:t>
            </w:r>
          </w:p>
        </w:tc>
        <w:tc>
          <w:tcPr>
            <w:tcW w:w="14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1069.671391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8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工艺管道及防腐保温工程费</w:t>
            </w:r>
          </w:p>
        </w:tc>
        <w:tc>
          <w:tcPr>
            <w:tcW w:w="10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36</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1925.408504</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8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仪表控制费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w:t>
            </w:r>
          </w:p>
        </w:tc>
        <w:tc>
          <w:tcPr>
            <w:tcW w:w="14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748.7699737</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8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电动、变电配电、电讯设备</w:t>
            </w:r>
          </w:p>
        </w:tc>
        <w:tc>
          <w:tcPr>
            <w:tcW w:w="10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641.8028346</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8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生产工具费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2.5</w:t>
            </w:r>
          </w:p>
        </w:tc>
        <w:tc>
          <w:tcPr>
            <w:tcW w:w="14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133.7089239</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w:t>
            </w:r>
          </w:p>
        </w:tc>
        <w:tc>
          <w:tcPr>
            <w:tcW w:w="28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备品备件购置费</w:t>
            </w:r>
          </w:p>
        </w:tc>
        <w:tc>
          <w:tcPr>
            <w:tcW w:w="10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320.9014173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w:t>
            </w:r>
          </w:p>
        </w:tc>
        <w:tc>
          <w:tcPr>
            <w:tcW w:w="28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设备运杂费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14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213.9342782</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w:t>
            </w:r>
          </w:p>
        </w:tc>
        <w:tc>
          <w:tcPr>
            <w:tcW w:w="28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公用工程设备购置费</w:t>
            </w:r>
          </w:p>
        </w:tc>
        <w:tc>
          <w:tcPr>
            <w:tcW w:w="10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30</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1604.507087</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w:t>
            </w:r>
          </w:p>
        </w:tc>
        <w:tc>
          <w:tcPr>
            <w:tcW w:w="28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车辆购置添加费</w:t>
            </w:r>
          </w:p>
        </w:tc>
        <w:tc>
          <w:tcPr>
            <w:tcW w:w="10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20</w:t>
            </w:r>
          </w:p>
        </w:tc>
        <w:tc>
          <w:tcPr>
            <w:tcW w:w="14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1069.671391</w:t>
            </w:r>
          </w:p>
        </w:tc>
      </w:tr>
      <w:tr>
        <w:tblPrEx>
          <w:tblCellMar>
            <w:top w:w="0" w:type="dxa"/>
            <w:left w:w="108" w:type="dxa"/>
            <w:bottom w:w="0" w:type="dxa"/>
            <w:right w:w="108" w:type="dxa"/>
          </w:tblCellMar>
        </w:tblPrEx>
        <w:trPr>
          <w:trHeight w:val="280" w:hRule="atLeast"/>
          <w:jc w:val="center"/>
        </w:trPr>
        <w:tc>
          <w:tcPr>
            <w:tcW w:w="4920" w:type="dxa"/>
            <w:gridSpan w:val="3"/>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总计（万元）</w:t>
            </w:r>
          </w:p>
        </w:tc>
        <w:tc>
          <w:tcPr>
            <w:tcW w:w="14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13076.73 </w:t>
            </w:r>
          </w:p>
        </w:tc>
      </w:tr>
    </w:tbl>
    <w:p>
      <w:pPr>
        <w:autoSpaceDE w:val="0"/>
        <w:autoSpaceDN w:val="0"/>
        <w:spacing w:before="156" w:beforeLines="50" w:after="156" w:afterLines="50"/>
        <w:ind w:firstLine="420"/>
        <w:jc w:val="center"/>
        <w:rPr>
          <w:rFonts w:ascii="Times New Roman" w:hAnsi="Times New Roman" w:cs="Times New Roman"/>
          <w:kern w:val="0"/>
          <w:szCs w:val="21"/>
        </w:rPr>
      </w:pPr>
    </w:p>
    <w:p>
      <w:pPr>
        <w:keepNext/>
        <w:keepLines/>
        <w:autoSpaceDE w:val="0"/>
        <w:autoSpaceDN w:val="0"/>
        <w:spacing w:before="156" w:beforeLines="50" w:after="156" w:afterLines="50" w:line="376" w:lineRule="auto"/>
        <w:jc w:val="left"/>
        <w:outlineLvl w:val="3"/>
        <w:rPr>
          <w:rFonts w:cs="Times New Roman"/>
          <w:b/>
          <w:bCs/>
          <w:kern w:val="0"/>
          <w:sz w:val="24"/>
          <w:szCs w:val="24"/>
        </w:rPr>
      </w:pPr>
      <w:r>
        <w:rPr>
          <w:rFonts w:cs="Times New Roman"/>
          <w:b/>
          <w:bCs/>
          <w:kern w:val="0"/>
          <w:sz w:val="24"/>
          <w:szCs w:val="24"/>
        </w:rPr>
        <w:t xml:space="preserve">1.3.1.2 </w:t>
      </w:r>
      <w:r>
        <w:rPr>
          <w:rFonts w:hint="eastAsia" w:cs="Times New Roman"/>
          <w:b/>
          <w:bCs/>
          <w:kern w:val="0"/>
          <w:sz w:val="24"/>
          <w:szCs w:val="24"/>
        </w:rPr>
        <w:t xml:space="preserve">安装工程费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安装工程费包括主要生产、辅助生产、公用工程项目的工艺设备的安装、各种管道的安装、电动、变配电、电讯等电器设备安装；计量仪器、仪表等自控设备安装费用；设备内部填充、内衬、设备保温、防腐以及附属设备的平台、栏杆等工艺金属结构的材料及安装费用。 在设备组装中安装工程费用主要包括直接费用、间接费用、计划利润和税金等组成。直接费 用，由人工费、材料费、施工机械使用费和其他直接费用组成；间接费包括企业管理费、财 务费用和其他费用；计划利润和税金，按现行有关规定计算。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工艺设备、机械设备，按每台设备占得原价百分比估算，为简化计算，安装工程费也可以根据积累数据采用系数法估算。主要设备安装工程费用见表 </w:t>
      </w:r>
      <w:r>
        <w:rPr>
          <w:rFonts w:ascii="Times New Roman" w:hAnsi="Times New Roman" w:cs="Times New Roman"/>
        </w:rPr>
        <w:t>8-3</w:t>
      </w:r>
      <w:r>
        <w:rPr>
          <w:rFonts w:hint="eastAsia" w:ascii="Times New Roman" w:hAnsi="Times New Roman" w:cs="Times New Roman"/>
        </w:rPr>
        <w:t>。</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1-3 </w:t>
      </w:r>
      <w:r>
        <w:rPr>
          <w:rFonts w:hint="eastAsia" w:ascii="Times New Roman" w:hAnsi="Times New Roman" w:cs="Times New Roman"/>
          <w:b/>
          <w:sz w:val="18"/>
          <w:szCs w:val="18"/>
        </w:rPr>
        <w:t>安装费用一览表</w:t>
      </w:r>
    </w:p>
    <w:tbl>
      <w:tblPr>
        <w:tblStyle w:val="66"/>
        <w:tblW w:w="794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040"/>
        <w:gridCol w:w="2074"/>
        <w:gridCol w:w="1276"/>
        <w:gridCol w:w="1701"/>
        <w:gridCol w:w="1849"/>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tcBorders>
              <w:top w:val="single" w:color="4472C4" w:sz="4" w:space="0"/>
              <w:left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编号</w:t>
            </w:r>
          </w:p>
        </w:tc>
        <w:tc>
          <w:tcPr>
            <w:tcW w:w="2074"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设备名称</w:t>
            </w:r>
          </w:p>
        </w:tc>
        <w:tc>
          <w:tcPr>
            <w:tcW w:w="1276"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安装因子</w:t>
            </w:r>
          </w:p>
        </w:tc>
        <w:tc>
          <w:tcPr>
            <w:tcW w:w="1701" w:type="dxa"/>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原价（万元）</w:t>
            </w:r>
          </w:p>
        </w:tc>
        <w:tc>
          <w:tcPr>
            <w:tcW w:w="1849" w:type="dxa"/>
            <w:tcBorders>
              <w:top w:val="single" w:color="4472C4" w:sz="4" w:space="0"/>
              <w:bottom w:val="single" w:color="4472C4" w:sz="4" w:space="0"/>
              <w:right w:val="single" w:color="4472C4" w:sz="4" w:space="0"/>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价格（万元）</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1</w:t>
            </w:r>
          </w:p>
        </w:tc>
        <w:tc>
          <w:tcPr>
            <w:tcW w:w="2074"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塔设备</w:t>
            </w:r>
          </w:p>
        </w:tc>
        <w:tc>
          <w:tcPr>
            <w:tcW w:w="1276"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0.4</w:t>
            </w:r>
          </w:p>
        </w:tc>
        <w:tc>
          <w:tcPr>
            <w:tcW w:w="1701"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435.62928</w:t>
            </w:r>
          </w:p>
        </w:tc>
        <w:tc>
          <w:tcPr>
            <w:tcW w:w="1849"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174.251712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2</w:t>
            </w:r>
          </w:p>
        </w:tc>
        <w:tc>
          <w:tcPr>
            <w:tcW w:w="2074"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反应器</w:t>
            </w:r>
          </w:p>
        </w:tc>
        <w:tc>
          <w:tcPr>
            <w:tcW w:w="1276"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0.3</w:t>
            </w:r>
          </w:p>
        </w:tc>
        <w:tc>
          <w:tcPr>
            <w:tcW w:w="1701"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799.68</w:t>
            </w:r>
          </w:p>
        </w:tc>
        <w:tc>
          <w:tcPr>
            <w:tcW w:w="1849"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239.904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3</w:t>
            </w:r>
          </w:p>
        </w:tc>
        <w:tc>
          <w:tcPr>
            <w:tcW w:w="2074"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气液分离器</w:t>
            </w:r>
          </w:p>
        </w:tc>
        <w:tc>
          <w:tcPr>
            <w:tcW w:w="1276"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0.3</w:t>
            </w:r>
          </w:p>
        </w:tc>
        <w:tc>
          <w:tcPr>
            <w:tcW w:w="1701"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1081.977248</w:t>
            </w:r>
          </w:p>
        </w:tc>
        <w:tc>
          <w:tcPr>
            <w:tcW w:w="1849"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324.5931744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4</w:t>
            </w:r>
          </w:p>
        </w:tc>
        <w:tc>
          <w:tcPr>
            <w:tcW w:w="2074"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换热器</w:t>
            </w:r>
          </w:p>
        </w:tc>
        <w:tc>
          <w:tcPr>
            <w:tcW w:w="1276"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0.3</w:t>
            </w:r>
          </w:p>
        </w:tc>
        <w:tc>
          <w:tcPr>
            <w:tcW w:w="1701"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420.362427</w:t>
            </w:r>
          </w:p>
        </w:tc>
        <w:tc>
          <w:tcPr>
            <w:tcW w:w="1849"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126.1087281</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5</w:t>
            </w:r>
          </w:p>
        </w:tc>
        <w:tc>
          <w:tcPr>
            <w:tcW w:w="2074"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压缩机</w:t>
            </w:r>
          </w:p>
        </w:tc>
        <w:tc>
          <w:tcPr>
            <w:tcW w:w="1276"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0.2</w:t>
            </w:r>
          </w:p>
        </w:tc>
        <w:tc>
          <w:tcPr>
            <w:tcW w:w="1701"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542.4</w:t>
            </w:r>
          </w:p>
        </w:tc>
        <w:tc>
          <w:tcPr>
            <w:tcW w:w="1849"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108.48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6</w:t>
            </w:r>
          </w:p>
        </w:tc>
        <w:tc>
          <w:tcPr>
            <w:tcW w:w="2074"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泵</w:t>
            </w:r>
          </w:p>
        </w:tc>
        <w:tc>
          <w:tcPr>
            <w:tcW w:w="1276"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0.2</w:t>
            </w:r>
          </w:p>
        </w:tc>
        <w:tc>
          <w:tcPr>
            <w:tcW w:w="1701"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19.06</w:t>
            </w:r>
          </w:p>
        </w:tc>
        <w:tc>
          <w:tcPr>
            <w:tcW w:w="1849"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3.812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7</w:t>
            </w:r>
          </w:p>
        </w:tc>
        <w:tc>
          <w:tcPr>
            <w:tcW w:w="2074"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工艺管道</w:t>
            </w:r>
          </w:p>
        </w:tc>
        <w:tc>
          <w:tcPr>
            <w:tcW w:w="1276"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0.4</w:t>
            </w:r>
          </w:p>
        </w:tc>
        <w:tc>
          <w:tcPr>
            <w:tcW w:w="1701"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1925.408504</w:t>
            </w:r>
          </w:p>
        </w:tc>
        <w:tc>
          <w:tcPr>
            <w:tcW w:w="1849"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770.1634015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8</w:t>
            </w:r>
          </w:p>
        </w:tc>
        <w:tc>
          <w:tcPr>
            <w:tcW w:w="2074"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仪表及自控系统</w:t>
            </w:r>
          </w:p>
        </w:tc>
        <w:tc>
          <w:tcPr>
            <w:tcW w:w="1276"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0.2</w:t>
            </w:r>
          </w:p>
        </w:tc>
        <w:tc>
          <w:tcPr>
            <w:tcW w:w="1701"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748.7699737</w:t>
            </w:r>
          </w:p>
        </w:tc>
        <w:tc>
          <w:tcPr>
            <w:tcW w:w="1849"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149.7539947</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1040"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9</w:t>
            </w:r>
          </w:p>
        </w:tc>
        <w:tc>
          <w:tcPr>
            <w:tcW w:w="2074"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其他设备</w:t>
            </w:r>
          </w:p>
        </w:tc>
        <w:tc>
          <w:tcPr>
            <w:tcW w:w="1276"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0.2</w:t>
            </w:r>
          </w:p>
        </w:tc>
        <w:tc>
          <w:tcPr>
            <w:tcW w:w="1701"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3984.525931</w:t>
            </w:r>
          </w:p>
        </w:tc>
        <w:tc>
          <w:tcPr>
            <w:tcW w:w="1849"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796.9051863</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6091" w:type="dxa"/>
            <w:gridSpan w:val="4"/>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总计</w:t>
            </w:r>
          </w:p>
        </w:tc>
        <w:tc>
          <w:tcPr>
            <w:tcW w:w="1849"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2693.972197</w:t>
            </w:r>
          </w:p>
        </w:tc>
      </w:tr>
    </w:tbl>
    <w:p>
      <w:pPr>
        <w:autoSpaceDE w:val="0"/>
        <w:autoSpaceDN w:val="0"/>
        <w:spacing w:before="156" w:beforeLines="50" w:after="156" w:afterLines="50"/>
        <w:ind w:firstLine="420" w:firstLineChars="200"/>
        <w:jc w:val="center"/>
        <w:rPr>
          <w:rFonts w:ascii="Times New Roman" w:hAnsi="Times New Roman" w:cs="Times New Roman"/>
        </w:rPr>
      </w:pPr>
    </w:p>
    <w:p>
      <w:pPr>
        <w:keepNext/>
        <w:keepLines/>
        <w:autoSpaceDE w:val="0"/>
        <w:autoSpaceDN w:val="0"/>
        <w:spacing w:before="156" w:beforeLines="50" w:after="156" w:afterLines="50" w:line="376" w:lineRule="auto"/>
        <w:jc w:val="left"/>
        <w:outlineLvl w:val="3"/>
        <w:rPr>
          <w:rFonts w:cs="Times New Roman"/>
          <w:b/>
          <w:bCs/>
          <w:kern w:val="0"/>
          <w:sz w:val="24"/>
          <w:szCs w:val="24"/>
        </w:rPr>
      </w:pPr>
      <w:r>
        <w:rPr>
          <w:rFonts w:cs="Times New Roman"/>
          <w:b/>
          <w:bCs/>
          <w:kern w:val="0"/>
          <w:sz w:val="24"/>
          <w:szCs w:val="24"/>
        </w:rPr>
        <w:t>1</w:t>
      </w:r>
      <w:r>
        <w:rPr>
          <w:rFonts w:hint="eastAsia" w:cs="Times New Roman"/>
          <w:b/>
          <w:bCs/>
          <w:kern w:val="0"/>
          <w:sz w:val="24"/>
          <w:szCs w:val="24"/>
        </w:rPr>
        <w:t xml:space="preserve">.3.1.3 建筑工程费用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建筑工程费用包括建筑物工程、构筑物工程及大型土石方、场地平整机厂区绿化等产生 的费用。主要由直接费用、间接费用、税金组成。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（一）直接费用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包括建筑物工程、构筑物工程和大型土石方、场地、平整及厂区绿化等。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本项目中土建工程：包括生产装置的构筑物和建筑物以及办公楼、仓库、通讯和维修费用，为</w:t>
      </w:r>
      <w:r>
        <w:rPr>
          <w:rFonts w:ascii="Times New Roman" w:hAnsi="Times New Roman" w:cs="Times New Roman"/>
        </w:rPr>
        <w:t>40%</w:t>
      </w:r>
      <w:r>
        <w:rPr>
          <w:rFonts w:hint="eastAsia" w:ascii="Times New Roman" w:hAnsi="Times New Roman" w:cs="Times New Roman"/>
        </w:rPr>
        <w:t>。可得费用为</w:t>
      </w:r>
      <w:r>
        <w:rPr>
          <w:rFonts w:ascii="Times New Roman" w:hAnsi="Times New Roman" w:cs="Times New Roman"/>
        </w:rPr>
        <w:t>5230.69</w:t>
      </w:r>
      <w:r>
        <w:rPr>
          <w:rFonts w:hint="eastAsia" w:ascii="Times New Roman" w:hAnsi="Times New Roman" w:cs="Times New Roman"/>
        </w:rPr>
        <w:t xml:space="preserve">万元。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场地建设：包括场地清理和平整、道路、停车场和绿化等，为</w:t>
      </w:r>
      <w:r>
        <w:rPr>
          <w:rFonts w:ascii="Times New Roman" w:hAnsi="Times New Roman" w:cs="Times New Roman"/>
        </w:rPr>
        <w:t>20%</w:t>
      </w:r>
      <w:r>
        <w:rPr>
          <w:rFonts w:hint="eastAsia" w:ascii="Times New Roman" w:hAnsi="Times New Roman" w:cs="Times New Roman"/>
        </w:rPr>
        <w:t>，可得费用为</w:t>
      </w:r>
      <w:r>
        <w:rPr>
          <w:rFonts w:ascii="Times New Roman" w:hAnsi="Times New Roman" w:cs="Times New Roman"/>
        </w:rPr>
        <w:t>2615.35</w:t>
      </w:r>
      <w:r>
        <w:rPr>
          <w:rFonts w:hint="eastAsia" w:ascii="Times New Roman" w:hAnsi="Times New Roman" w:cs="Times New Roman"/>
        </w:rPr>
        <w:t xml:space="preserve">万元。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（二）间接费用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以直接费用为基础，按一定的间接费率计算的。本项目建于惠州大亚湾石化工业区，此 处的间接费率为 </w:t>
      </w:r>
      <w:r>
        <w:rPr>
          <w:rFonts w:ascii="Times New Roman" w:hAnsi="Times New Roman" w:cs="Times New Roman"/>
        </w:rPr>
        <w:t>10%</w:t>
      </w:r>
      <w:r>
        <w:rPr>
          <w:rFonts w:hint="eastAsia" w:ascii="Times New Roman" w:hAnsi="Times New Roman" w:cs="Times New Roman"/>
        </w:rPr>
        <w:t>，故得间接费为</w:t>
      </w:r>
      <w:r>
        <w:rPr>
          <w:rFonts w:ascii="Times New Roman" w:hAnsi="Times New Roman" w:cs="Times New Roman"/>
        </w:rPr>
        <w:t>784.60</w:t>
      </w:r>
      <w:r>
        <w:rPr>
          <w:rFonts w:hint="eastAsia" w:ascii="Times New Roman" w:hAnsi="Times New Roman" w:cs="Times New Roman"/>
        </w:rPr>
        <w:t xml:space="preserve">万元。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（三）税金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 xml:space="preserve">①营业税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以建筑工程的直接费、间接费之和为基数，按照费率的</w:t>
      </w:r>
      <w:r>
        <w:rPr>
          <w:rFonts w:ascii="Times New Roman" w:hAnsi="Times New Roman" w:cs="Times New Roman"/>
        </w:rPr>
        <w:t>3%</w:t>
      </w:r>
      <w:r>
        <w:rPr>
          <w:rFonts w:hint="eastAsia" w:ascii="Times New Roman" w:hAnsi="Times New Roman" w:cs="Times New Roman"/>
        </w:rPr>
        <w:t xml:space="preserve">计征。本项目营业税为 </w:t>
      </w:r>
      <w:r>
        <w:rPr>
          <w:rFonts w:ascii="Times New Roman" w:hAnsi="Times New Roman" w:cs="Times New Roman"/>
        </w:rPr>
        <w:t>258.92</w:t>
      </w:r>
      <w:r>
        <w:rPr>
          <w:rFonts w:hint="eastAsia" w:ascii="Times New Roman" w:hAnsi="Times New Roman" w:cs="Times New Roman"/>
        </w:rPr>
        <w:t xml:space="preserve">万元。 </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②城市建设维护税</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以营业税为基数，按照费率的</w:t>
      </w:r>
      <w:r>
        <w:rPr>
          <w:rFonts w:ascii="Times New Roman" w:hAnsi="Times New Roman" w:cs="Times New Roman"/>
        </w:rPr>
        <w:t>7%计征。本项目</w:t>
      </w:r>
      <w:r>
        <w:rPr>
          <w:rFonts w:hint="eastAsia" w:ascii="Times New Roman" w:hAnsi="Times New Roman" w:cs="Times New Roman"/>
        </w:rPr>
        <w:t>城市建设维护税</w:t>
      </w:r>
      <w:r>
        <w:rPr>
          <w:rFonts w:ascii="Times New Roman" w:hAnsi="Times New Roman" w:cs="Times New Roman"/>
        </w:rPr>
        <w:t>为18.124万元。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③教育附加税</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按营业税的</w:t>
      </w:r>
      <w:r>
        <w:rPr>
          <w:rFonts w:ascii="Times New Roman" w:hAnsi="Times New Roman" w:cs="Times New Roman"/>
        </w:rPr>
        <w:t>3%计征。本项目的教育附加税为7.77万元。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建筑工程费用汇总如表</w:t>
      </w:r>
      <w:r>
        <w:rPr>
          <w:rFonts w:ascii="Times New Roman" w:hAnsi="Times New Roman" w:cs="Times New Roman"/>
        </w:rPr>
        <w:t xml:space="preserve"> 8-4</w:t>
      </w:r>
      <w:r>
        <w:rPr>
          <w:rFonts w:hint="eastAsia" w:ascii="Times New Roman" w:hAnsi="Times New Roman" w:cs="Times New Roman"/>
        </w:rPr>
        <w:t>。</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1-4 </w:t>
      </w:r>
      <w:r>
        <w:rPr>
          <w:rFonts w:hint="eastAsia" w:ascii="Times New Roman" w:hAnsi="Times New Roman" w:cs="Times New Roman"/>
          <w:b/>
          <w:sz w:val="18"/>
          <w:szCs w:val="18"/>
        </w:rPr>
        <w:t>建筑工程费用一览表</w:t>
      </w:r>
    </w:p>
    <w:tbl>
      <w:tblPr>
        <w:tblStyle w:val="16"/>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直接费用</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7846.039653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间接费用</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784.6039653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税金</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284.8112394</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8915.454858</w:t>
            </w:r>
          </w:p>
        </w:tc>
      </w:tr>
    </w:tbl>
    <w:p>
      <w:pPr>
        <w:keepNext/>
        <w:keepLines/>
        <w:autoSpaceDE w:val="0"/>
        <w:autoSpaceDN w:val="0"/>
        <w:spacing w:before="156" w:beforeLines="50" w:after="156" w:afterLines="50" w:line="376" w:lineRule="auto"/>
        <w:jc w:val="left"/>
        <w:outlineLvl w:val="3"/>
        <w:rPr>
          <w:rFonts w:cs="Times New Roman"/>
          <w:b/>
          <w:bCs/>
          <w:kern w:val="0"/>
          <w:sz w:val="24"/>
          <w:szCs w:val="24"/>
        </w:rPr>
      </w:pPr>
      <w:r>
        <w:rPr>
          <w:rFonts w:cs="Times New Roman"/>
          <w:b/>
          <w:bCs/>
          <w:kern w:val="0"/>
          <w:sz w:val="24"/>
          <w:szCs w:val="24"/>
        </w:rPr>
        <w:t>1</w:t>
      </w:r>
      <w:r>
        <w:rPr>
          <w:rFonts w:hint="eastAsia" w:cs="Times New Roman"/>
          <w:b/>
          <w:bCs/>
          <w:kern w:val="0"/>
          <w:sz w:val="24"/>
          <w:szCs w:val="24"/>
        </w:rPr>
        <w:t xml:space="preserve">.3.1.4 固定资产汇总 </w:t>
      </w:r>
    </w:p>
    <w:p>
      <w:pPr>
        <w:autoSpaceDE w:val="0"/>
        <w:autoSpaceDN w:val="0"/>
        <w:spacing w:before="156" w:beforeLines="50" w:after="156" w:afterLines="50"/>
        <w:ind w:firstLine="420" w:firstLineChars="200"/>
        <w:jc w:val="left"/>
        <w:rPr>
          <w:rFonts w:cs="宋体"/>
          <w:color w:val="000000"/>
          <w:kern w:val="0"/>
          <w:szCs w:val="21"/>
        </w:rPr>
      </w:pPr>
      <w:r>
        <w:rPr>
          <w:rFonts w:hint="eastAsia" w:cs="宋体"/>
          <w:color w:val="000000"/>
          <w:kern w:val="0"/>
          <w:szCs w:val="21"/>
        </w:rPr>
        <w:t>本项目固定投资费用汇总如下：</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1-5 </w:t>
      </w:r>
      <w:r>
        <w:rPr>
          <w:rFonts w:hint="eastAsia" w:ascii="Times New Roman" w:hAnsi="Times New Roman" w:cs="Times New Roman"/>
          <w:b/>
          <w:sz w:val="18"/>
          <w:szCs w:val="18"/>
        </w:rPr>
        <w:t>固定投资费用一览表</w:t>
      </w:r>
    </w:p>
    <w:tbl>
      <w:tblPr>
        <w:tblStyle w:val="16"/>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工程设备费</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13076.73275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建筑工程费</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8915.454858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安装工程费</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2693.972197</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24686.15981</w:t>
            </w:r>
          </w:p>
        </w:tc>
      </w:tr>
    </w:tbl>
    <w:p>
      <w:pPr>
        <w:keepNext/>
        <w:keepLines/>
        <w:autoSpaceDE w:val="0"/>
        <w:autoSpaceDN w:val="0"/>
        <w:spacing w:before="156" w:beforeLines="50" w:after="156" w:afterLines="50" w:line="416" w:lineRule="auto"/>
        <w:jc w:val="left"/>
        <w:outlineLvl w:val="2"/>
        <w:rPr>
          <w:rFonts w:cs="仿宋"/>
          <w:b/>
          <w:bCs/>
          <w:kern w:val="0"/>
          <w:sz w:val="24"/>
          <w:szCs w:val="24"/>
        </w:rPr>
      </w:pPr>
      <w:bookmarkStart w:id="18" w:name="_Toc141669648"/>
      <w:bookmarkStart w:id="19" w:name="_Toc141661858"/>
      <w:r>
        <w:rPr>
          <w:rFonts w:cs="仿宋"/>
          <w:b/>
          <w:bCs/>
          <w:kern w:val="0"/>
          <w:sz w:val="24"/>
          <w:szCs w:val="24"/>
        </w:rPr>
        <w:t>1.3.2 无形资产费用</w:t>
      </w:r>
      <w:bookmarkEnd w:id="18"/>
      <w:bookmarkEnd w:id="19"/>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无形资产主要由土地使用费和技术转让费构成。</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1）土地使用费：本项目是</w:t>
      </w:r>
      <w:r>
        <w:rPr>
          <w:rFonts w:hint="eastAsia" w:ascii="Times New Roman" w:hAnsi="Times New Roman" w:cs="Times New Roman"/>
        </w:rPr>
        <w:t>重庆华峰化工</w:t>
      </w:r>
      <w:r>
        <w:rPr>
          <w:rFonts w:ascii="Times New Roman" w:hAnsi="Times New Roman" w:cs="Times New Roman"/>
        </w:rPr>
        <w:t>有限公司下游项目，设计用地103315㎡，新</w:t>
      </w:r>
      <w:r>
        <w:rPr>
          <w:rFonts w:hint="eastAsia" w:ascii="Times New Roman" w:hAnsi="Times New Roman" w:cs="Times New Roman"/>
        </w:rPr>
        <w:t>建化工生产装置符合其发展规划需要，建设在白涛化工园区发展空地上，发展空地上，</w:t>
      </w:r>
      <w:r>
        <w:rPr>
          <w:rFonts w:ascii="Times New Roman" w:hAnsi="Times New Roman" w:cs="Times New Roman"/>
        </w:rPr>
        <w:t xml:space="preserve"> 查询得惠州大亚湾石化工业企业土地均价为每平方米562.5元，</w:t>
      </w:r>
      <w:r>
        <w:rPr>
          <w:rFonts w:hint="eastAsia" w:ascii="Times New Roman" w:hAnsi="Times New Roman" w:cs="Times New Roman"/>
        </w:rPr>
        <w:t>故总共花费</w:t>
      </w:r>
      <w:r>
        <w:rPr>
          <w:rFonts w:ascii="Times New Roman" w:hAnsi="Times New Roman" w:cs="Times New Roman"/>
        </w:rPr>
        <w:t>5811.47万元。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2）技术转让费</w:t>
      </w:r>
      <w:r>
        <w:rPr>
          <w:rFonts w:hint="eastAsia" w:ascii="Times New Roman" w:hAnsi="Times New Roman" w:cs="Times New Roman"/>
        </w:rPr>
        <w:t>：本项目涉及绿色固体催化剂（</w:t>
      </w:r>
      <w:r>
        <w:rPr>
          <w:rFonts w:hint="eastAsia" w:ascii="仿宋" w:hAnsi="仿宋" w:cs="仿宋"/>
          <w:color w:val="000000"/>
          <w:kern w:val="0"/>
          <w:szCs w:val="21"/>
        </w:rPr>
        <w:t>CN 106140234 A</w:t>
      </w:r>
      <w:r>
        <w:rPr>
          <w:rFonts w:hint="eastAsia" w:ascii="Times New Roman" w:hAnsi="Times New Roman" w:cs="Times New Roman"/>
        </w:rPr>
        <w:t>）专利技术转让费用，约</w:t>
      </w:r>
      <w:r>
        <w:rPr>
          <w:rFonts w:ascii="Times New Roman" w:hAnsi="Times New Roman" w:cs="Times New Roman"/>
        </w:rPr>
        <w:t>100</w:t>
      </w:r>
      <w:r>
        <w:rPr>
          <w:rFonts w:hint="eastAsia" w:ascii="Times New Roman" w:hAnsi="Times New Roman" w:cs="Times New Roman"/>
        </w:rPr>
        <w:t>万元。</w:t>
      </w:r>
    </w:p>
    <w:p>
      <w:pPr>
        <w:keepNext/>
        <w:keepLines/>
        <w:autoSpaceDE w:val="0"/>
        <w:autoSpaceDN w:val="0"/>
        <w:spacing w:before="156" w:beforeLines="50" w:after="156" w:afterLines="50" w:line="416" w:lineRule="auto"/>
        <w:jc w:val="left"/>
        <w:outlineLvl w:val="2"/>
        <w:rPr>
          <w:rFonts w:cs="仿宋"/>
          <w:b/>
          <w:bCs/>
          <w:kern w:val="0"/>
          <w:sz w:val="24"/>
          <w:szCs w:val="24"/>
        </w:rPr>
      </w:pPr>
      <w:bookmarkStart w:id="20" w:name="_Toc141669649"/>
      <w:bookmarkStart w:id="21" w:name="_Toc141661859"/>
      <w:r>
        <w:rPr>
          <w:rFonts w:cs="仿宋"/>
          <w:b/>
          <w:bCs/>
          <w:kern w:val="0"/>
          <w:sz w:val="24"/>
          <w:szCs w:val="24"/>
        </w:rPr>
        <w:t>1.3.3 递延资产费用</w:t>
      </w:r>
      <w:bookmarkEnd w:id="20"/>
      <w:bookmarkEnd w:id="21"/>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递延资产主要由建设单位管理费、生产准备费、装置联合启动调试费构成。递延资产主要由建设单位管理费、生产准备费、装置联合启动调试费构成。</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1-6 </w:t>
      </w:r>
      <w:r>
        <w:rPr>
          <w:rFonts w:hint="eastAsia" w:ascii="Times New Roman" w:hAnsi="Times New Roman" w:cs="Times New Roman"/>
          <w:b/>
          <w:sz w:val="18"/>
          <w:szCs w:val="18"/>
        </w:rPr>
        <w:t>递延资产费用</w:t>
      </w:r>
    </w:p>
    <w:tbl>
      <w:tblPr>
        <w:tblStyle w:val="16"/>
        <w:tblW w:w="5340" w:type="dxa"/>
        <w:jc w:val="center"/>
        <w:tblLayout w:type="autofit"/>
        <w:tblCellMar>
          <w:top w:w="0" w:type="dxa"/>
          <w:left w:w="108" w:type="dxa"/>
          <w:bottom w:w="0" w:type="dxa"/>
          <w:right w:w="108" w:type="dxa"/>
        </w:tblCellMar>
      </w:tblPr>
      <w:tblGrid>
        <w:gridCol w:w="846"/>
        <w:gridCol w:w="2574"/>
        <w:gridCol w:w="1920"/>
      </w:tblGrid>
      <w:tr>
        <w:tblPrEx>
          <w:tblCellMar>
            <w:top w:w="0" w:type="dxa"/>
            <w:left w:w="108" w:type="dxa"/>
            <w:bottom w:w="0" w:type="dxa"/>
            <w:right w:w="108" w:type="dxa"/>
          </w:tblCellMar>
        </w:tblPrEx>
        <w:trPr>
          <w:trHeight w:val="280" w:hRule="atLeast"/>
          <w:jc w:val="center"/>
        </w:trPr>
        <w:tc>
          <w:tcPr>
            <w:tcW w:w="846"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574"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92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57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建设单位管理费</w:t>
            </w:r>
          </w:p>
        </w:tc>
        <w:tc>
          <w:tcPr>
            <w:tcW w:w="1920"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22"/>
              </w:rPr>
            </w:pPr>
            <w:r>
              <w:rPr>
                <w:rFonts w:ascii="等线" w:hAnsi="等线" w:eastAsia="等线" w:cs="宋体"/>
                <w:color w:val="000000"/>
                <w:kern w:val="0"/>
                <w:sz w:val="22"/>
              </w:rPr>
              <w:t>197.4892785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57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装置联合启动调试费</w:t>
            </w:r>
          </w:p>
        </w:tc>
        <w:tc>
          <w:tcPr>
            <w:tcW w:w="1920"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22"/>
              </w:rPr>
            </w:pPr>
            <w:r>
              <w:rPr>
                <w:rFonts w:ascii="等线" w:hAnsi="等线" w:eastAsia="等线" w:cs="宋体"/>
                <w:color w:val="000000"/>
                <w:kern w:val="0"/>
                <w:sz w:val="22"/>
              </w:rPr>
              <w:t>246.8615981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57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研究试验费</w:t>
            </w:r>
          </w:p>
        </w:tc>
        <w:tc>
          <w:tcPr>
            <w:tcW w:w="1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100</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574" w:type="dxa"/>
            <w:tcBorders>
              <w:top w:val="nil"/>
              <w:left w:val="nil"/>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城市基础设施配套费</w:t>
            </w:r>
          </w:p>
        </w:tc>
        <w:tc>
          <w:tcPr>
            <w:tcW w:w="1920" w:type="dxa"/>
            <w:tcBorders>
              <w:top w:val="nil"/>
              <w:left w:val="nil"/>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50</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574" w:type="dxa"/>
            <w:tcBorders>
              <w:top w:val="nil"/>
              <w:left w:val="nil"/>
              <w:bottom w:val="nil"/>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生产准备费</w:t>
            </w:r>
          </w:p>
        </w:tc>
        <w:tc>
          <w:tcPr>
            <w:tcW w:w="1920" w:type="dxa"/>
            <w:tcBorders>
              <w:top w:val="nil"/>
              <w:left w:val="nil"/>
              <w:bottom w:val="nil"/>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17.8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574" w:type="dxa"/>
            <w:tcBorders>
              <w:top w:val="nil"/>
              <w:left w:val="nil"/>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办公及生活家居购置费</w:t>
            </w:r>
          </w:p>
        </w:tc>
        <w:tc>
          <w:tcPr>
            <w:tcW w:w="1920" w:type="dxa"/>
            <w:tcBorders>
              <w:top w:val="nil"/>
              <w:left w:val="nil"/>
              <w:bottom w:val="nil"/>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r>
              <w:rPr>
                <w:rFonts w:ascii="等线" w:hAnsi="等线" w:eastAsia="等线" w:cs="宋体"/>
                <w:color w:val="000000"/>
                <w:kern w:val="0"/>
                <w:sz w:val="22"/>
              </w:rPr>
              <w:t>.2</w:t>
            </w:r>
          </w:p>
        </w:tc>
      </w:tr>
      <w:tr>
        <w:tblPrEx>
          <w:tblCellMar>
            <w:top w:w="0" w:type="dxa"/>
            <w:left w:w="108" w:type="dxa"/>
            <w:bottom w:w="0" w:type="dxa"/>
            <w:right w:w="108" w:type="dxa"/>
          </w:tblCellMar>
        </w:tblPrEx>
        <w:trPr>
          <w:trHeight w:val="280" w:hRule="atLeast"/>
          <w:jc w:val="center"/>
        </w:trPr>
        <w:tc>
          <w:tcPr>
            <w:tcW w:w="3420" w:type="dxa"/>
            <w:gridSpan w:val="2"/>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合计（万元）</w:t>
            </w:r>
          </w:p>
        </w:tc>
        <w:tc>
          <w:tcPr>
            <w:tcW w:w="19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717.351</w:t>
            </w:r>
          </w:p>
        </w:tc>
      </w:tr>
    </w:tbl>
    <w:p>
      <w:pPr>
        <w:keepLines/>
        <w:outlineLvl w:val="2"/>
        <w:rPr>
          <w:rFonts w:ascii="Times New Roman" w:hAnsi="Times New Roman" w:cs="Times New Roman"/>
          <w:b/>
          <w:bCs/>
          <w:sz w:val="28"/>
          <w:szCs w:val="32"/>
        </w:rPr>
      </w:pPr>
      <w:bookmarkStart w:id="22" w:name="_Toc141661860"/>
      <w:bookmarkStart w:id="23" w:name="_Toc24455"/>
      <w:bookmarkStart w:id="24" w:name="_Toc141669650"/>
      <w:r>
        <w:rPr>
          <w:rFonts w:ascii="Times New Roman" w:hAnsi="Times New Roman" w:cs="Times New Roman"/>
          <w:b/>
          <w:bCs/>
          <w:sz w:val="28"/>
          <w:szCs w:val="32"/>
        </w:rPr>
        <w:t>1.3.4 预备费用</w:t>
      </w:r>
      <w:bookmarkEnd w:id="22"/>
      <w:bookmarkEnd w:id="23"/>
      <w:bookmarkEnd w:id="24"/>
    </w:p>
    <w:p>
      <w:pPr>
        <w:jc w:val="left"/>
        <w:rPr>
          <w:rFonts w:ascii="Times New Roman" w:hAnsi="Times New Roman" w:cs="Times New Roman"/>
          <w:b/>
        </w:rPr>
      </w:pPr>
      <w:r>
        <w:rPr>
          <w:rFonts w:ascii="Times New Roman" w:hAnsi="Times New Roman" w:cs="Times New Roman"/>
          <w:b/>
        </w:rPr>
        <w:t>（一）基本预备费</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基本预备费，此费用估算以固定资产、无形资产和递延资产费用之和为计算基数，按9%~15%估算。本项目取为12%，则基本预备费为3829.12万元。</w:t>
      </w:r>
    </w:p>
    <w:p>
      <w:pPr>
        <w:jc w:val="left"/>
        <w:rPr>
          <w:rFonts w:ascii="Times New Roman" w:hAnsi="Times New Roman" w:cs="Times New Roman"/>
          <w:b/>
        </w:rPr>
      </w:pPr>
      <w:r>
        <w:rPr>
          <w:rFonts w:ascii="Times New Roman" w:hAnsi="Times New Roman" w:cs="Times New Roman"/>
          <w:b/>
        </w:rPr>
        <w:t>（二）涨价预备费</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建设工期短，忽略涨价影响。</w:t>
      </w:r>
    </w:p>
    <w:p>
      <w:pPr>
        <w:keepLines/>
        <w:outlineLvl w:val="2"/>
        <w:rPr>
          <w:rFonts w:ascii="Times New Roman" w:hAnsi="Times New Roman" w:cs="Times New Roman"/>
          <w:b/>
          <w:bCs/>
          <w:sz w:val="28"/>
          <w:szCs w:val="32"/>
        </w:rPr>
      </w:pPr>
      <w:bookmarkStart w:id="25" w:name="_Toc141661861"/>
      <w:bookmarkStart w:id="26" w:name="_Toc141669651"/>
      <w:bookmarkStart w:id="27" w:name="_Toc12468"/>
      <w:r>
        <w:rPr>
          <w:rFonts w:ascii="Times New Roman" w:hAnsi="Times New Roman" w:cs="Times New Roman"/>
          <w:b/>
          <w:bCs/>
          <w:sz w:val="28"/>
          <w:szCs w:val="32"/>
        </w:rPr>
        <w:t>1.3.5 建设投资估算表</w:t>
      </w:r>
      <w:bookmarkEnd w:id="25"/>
      <w:bookmarkEnd w:id="26"/>
      <w:bookmarkEnd w:id="27"/>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1-7 </w:t>
      </w:r>
      <w:r>
        <w:rPr>
          <w:rFonts w:hint="eastAsia" w:ascii="Times New Roman" w:hAnsi="Times New Roman" w:cs="Times New Roman"/>
          <w:b/>
          <w:sz w:val="18"/>
          <w:szCs w:val="18"/>
        </w:rPr>
        <w:t>建设投资估算表</w:t>
      </w:r>
    </w:p>
    <w:tbl>
      <w:tblPr>
        <w:tblStyle w:val="16"/>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固定资产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24686.15981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无形资产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5911.46875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递延资产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1311.701753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预备费用</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3829.119638</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建设投资合计</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35738.44995</w:t>
            </w:r>
          </w:p>
        </w:tc>
      </w:tr>
    </w:tbl>
    <w:p>
      <w:pPr>
        <w:autoSpaceDE w:val="0"/>
        <w:autoSpaceDN w:val="0"/>
        <w:spacing w:before="156" w:beforeLines="50" w:after="156" w:afterLines="50"/>
        <w:ind w:firstLine="420" w:firstLineChars="200"/>
        <w:jc w:val="left"/>
        <w:rPr>
          <w:rFonts w:ascii="Times New Roman" w:hAnsi="Times New Roman" w:cs="Times New Roman"/>
        </w:rPr>
      </w:pP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28" w:name="_Toc141661862"/>
      <w:bookmarkStart w:id="29" w:name="_Toc141669652"/>
      <w:r>
        <w:rPr>
          <w:rFonts w:ascii="Times New Roman" w:hAnsi="Times New Roman" w:cs="Times New Roman"/>
          <w:b/>
          <w:bCs/>
          <w:kern w:val="0"/>
          <w:sz w:val="32"/>
          <w:szCs w:val="32"/>
        </w:rPr>
        <w:t>1.4 建设期利息估算</w:t>
      </w:r>
      <w:bookmarkEnd w:id="28"/>
      <w:bookmarkEnd w:id="29"/>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2023年中国人民银行最新银行贷款利率如下表所示：</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ascii="Times New Roman" w:hAnsi="Times New Roman" w:cs="Times New Roman"/>
          <w:b/>
          <w:sz w:val="18"/>
          <w:szCs w:val="18"/>
        </w:rPr>
        <w:t>表1-8 2023年中国人民银行贷款利率</w:t>
      </w:r>
    </w:p>
    <w:tbl>
      <w:tblPr>
        <w:tblStyle w:val="16"/>
        <w:tblW w:w="3807" w:type="pct"/>
        <w:jc w:val="center"/>
        <w:tblLayout w:type="autofit"/>
        <w:tblCellMar>
          <w:top w:w="0" w:type="dxa"/>
          <w:left w:w="108" w:type="dxa"/>
          <w:bottom w:w="0" w:type="dxa"/>
          <w:right w:w="108" w:type="dxa"/>
        </w:tblCellMar>
      </w:tblPr>
      <w:tblGrid>
        <w:gridCol w:w="3622"/>
        <w:gridCol w:w="2867"/>
      </w:tblGrid>
      <w:tr>
        <w:tblPrEx>
          <w:tblCellMar>
            <w:top w:w="0" w:type="dxa"/>
            <w:left w:w="108" w:type="dxa"/>
            <w:bottom w:w="0" w:type="dxa"/>
            <w:right w:w="108" w:type="dxa"/>
          </w:tblCellMar>
        </w:tblPrEx>
        <w:trPr>
          <w:trHeight w:val="278" w:hRule="atLeast"/>
          <w:jc w:val="center"/>
        </w:trPr>
        <w:tc>
          <w:tcPr>
            <w:tcW w:w="2791" w:type="pct"/>
            <w:tcBorders>
              <w:top w:val="single" w:color="000000" w:sz="8" w:space="0"/>
              <w:left w:val="single" w:color="000000" w:sz="8" w:space="0"/>
              <w:bottom w:val="single" w:color="000000" w:sz="8" w:space="0"/>
              <w:right w:val="single" w:color="000000" w:sz="8" w:space="0"/>
            </w:tcBorders>
            <w:shd w:val="clear" w:color="auto" w:fill="4472C4"/>
            <w:vAlign w:val="center"/>
          </w:tcPr>
          <w:p>
            <w:pPr>
              <w:widowControl/>
              <w:jc w:val="center"/>
              <w:textAlignment w:val="center"/>
              <w:rPr>
                <w:rFonts w:cs="宋体"/>
                <w:b/>
                <w:bCs/>
                <w:color w:val="FFFFFF"/>
                <w:szCs w:val="21"/>
              </w:rPr>
            </w:pPr>
            <w:r>
              <w:rPr>
                <w:rFonts w:hint="eastAsia" w:cs="宋体"/>
                <w:b/>
                <w:bCs/>
                <w:color w:val="FFFFFF"/>
                <w:kern w:val="0"/>
                <w:szCs w:val="21"/>
                <w:lang w:bidi="ar"/>
              </w:rPr>
              <w:t>期限</w:t>
            </w:r>
          </w:p>
        </w:tc>
        <w:tc>
          <w:tcPr>
            <w:tcW w:w="2209" w:type="pct"/>
            <w:tcBorders>
              <w:top w:val="single" w:color="000000" w:sz="8" w:space="0"/>
              <w:left w:val="single" w:color="000000" w:sz="8" w:space="0"/>
              <w:bottom w:val="single" w:color="000000" w:sz="8" w:space="0"/>
              <w:right w:val="single" w:color="000000" w:sz="8" w:space="0"/>
            </w:tcBorders>
            <w:shd w:val="clear" w:color="auto" w:fill="4472C4"/>
            <w:vAlign w:val="center"/>
          </w:tcPr>
          <w:p>
            <w:pPr>
              <w:widowControl/>
              <w:jc w:val="center"/>
              <w:textAlignment w:val="center"/>
              <w:rPr>
                <w:rFonts w:cs="宋体"/>
                <w:b/>
                <w:bCs/>
                <w:color w:val="FFFFFF"/>
                <w:szCs w:val="21"/>
              </w:rPr>
            </w:pPr>
            <w:r>
              <w:rPr>
                <w:rFonts w:hint="eastAsia" w:cs="宋体"/>
                <w:b/>
                <w:bCs/>
                <w:color w:val="FFFFFF"/>
                <w:kern w:val="0"/>
                <w:szCs w:val="21"/>
                <w:lang w:bidi="ar"/>
              </w:rPr>
              <w:t>年利率</w:t>
            </w:r>
            <w:r>
              <w:rPr>
                <w:rFonts w:ascii="Times New Roman" w:hAnsi="Times New Roman" w:cs="Times New Roman"/>
                <w:b/>
                <w:bCs/>
                <w:color w:val="FFFFFF"/>
                <w:kern w:val="0"/>
                <w:szCs w:val="21"/>
                <w:lang w:bidi="ar"/>
              </w:rPr>
              <w:t>/%</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cs="宋体"/>
                <w:color w:val="000000"/>
                <w:szCs w:val="21"/>
              </w:rPr>
            </w:pPr>
            <w:r>
              <w:rPr>
                <w:rFonts w:hint="eastAsia" w:cs="宋体"/>
                <w:color w:val="000000"/>
                <w:kern w:val="0"/>
                <w:szCs w:val="21"/>
                <w:lang w:bidi="ar"/>
              </w:rPr>
              <w:t>一年以内（含一年）</w:t>
            </w:r>
          </w:p>
        </w:tc>
        <w:tc>
          <w:tcPr>
            <w:tcW w:w="2209" w:type="pct"/>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4.35</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D9E1F2"/>
            <w:vAlign w:val="center"/>
          </w:tcPr>
          <w:p>
            <w:pPr>
              <w:widowControl/>
              <w:jc w:val="center"/>
              <w:textAlignment w:val="center"/>
              <w:rPr>
                <w:rFonts w:cs="宋体"/>
                <w:color w:val="000000"/>
                <w:szCs w:val="21"/>
              </w:rPr>
            </w:pPr>
            <w:r>
              <w:rPr>
                <w:rFonts w:hint="eastAsia" w:cs="宋体"/>
                <w:color w:val="000000"/>
                <w:kern w:val="0"/>
                <w:szCs w:val="21"/>
                <w:lang w:bidi="ar"/>
              </w:rPr>
              <w:t>一至五年（含五年）</w:t>
            </w:r>
          </w:p>
        </w:tc>
        <w:tc>
          <w:tcPr>
            <w:tcW w:w="2209" w:type="pct"/>
            <w:tcBorders>
              <w:top w:val="nil"/>
              <w:left w:val="single" w:color="000000" w:sz="8" w:space="0"/>
              <w:bottom w:val="single" w:color="000000" w:sz="8" w:space="0"/>
              <w:right w:val="single" w:color="000000" w:sz="8" w:space="0"/>
            </w:tcBorders>
            <w:shd w:val="clear" w:color="auto" w:fill="D9E1F2"/>
            <w:vAlign w:val="center"/>
          </w:tcPr>
          <w:p>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4.75</w:t>
            </w:r>
          </w:p>
        </w:tc>
      </w:tr>
      <w:tr>
        <w:tblPrEx>
          <w:tblCellMar>
            <w:top w:w="0" w:type="dxa"/>
            <w:left w:w="108" w:type="dxa"/>
            <w:bottom w:w="0" w:type="dxa"/>
            <w:right w:w="108" w:type="dxa"/>
          </w:tblCellMar>
        </w:tblPrEx>
        <w:trPr>
          <w:trHeight w:val="285" w:hRule="atLeast"/>
          <w:jc w:val="center"/>
        </w:trPr>
        <w:tc>
          <w:tcPr>
            <w:tcW w:w="2791" w:type="pct"/>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cs="宋体"/>
                <w:color w:val="000000"/>
                <w:szCs w:val="21"/>
              </w:rPr>
            </w:pPr>
            <w:r>
              <w:rPr>
                <w:rFonts w:hint="eastAsia" w:cs="宋体"/>
                <w:color w:val="000000"/>
                <w:kern w:val="0"/>
                <w:szCs w:val="21"/>
                <w:lang w:bidi="ar"/>
              </w:rPr>
              <w:t>五年以上</w:t>
            </w:r>
          </w:p>
        </w:tc>
        <w:tc>
          <w:tcPr>
            <w:tcW w:w="2209" w:type="pct"/>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4.9</w:t>
            </w:r>
          </w:p>
        </w:tc>
      </w:tr>
    </w:tbl>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借款额在第一年全部发生，借款以复利方式计息：</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各年利息=（年初借款本息累计+本年借款额/2）×年利率</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本项目总投资的10000万元将向银行贷款，其余自筹获得。</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1-9 </w:t>
      </w:r>
      <w:r>
        <w:rPr>
          <w:rFonts w:hint="eastAsia" w:ascii="Times New Roman" w:hAnsi="Times New Roman" w:cs="Times New Roman"/>
          <w:b/>
          <w:sz w:val="18"/>
          <w:szCs w:val="18"/>
        </w:rPr>
        <w:t>建设期利息估算表</w:t>
      </w:r>
    </w:p>
    <w:tbl>
      <w:tblPr>
        <w:tblStyle w:val="16"/>
        <w:tblW w:w="11128" w:type="dxa"/>
        <w:jc w:val="center"/>
        <w:tblLayout w:type="autofit"/>
        <w:tblCellMar>
          <w:top w:w="0" w:type="dxa"/>
          <w:left w:w="108" w:type="dxa"/>
          <w:bottom w:w="0" w:type="dxa"/>
          <w:right w:w="108" w:type="dxa"/>
        </w:tblCellMar>
      </w:tblPr>
      <w:tblGrid>
        <w:gridCol w:w="664"/>
        <w:gridCol w:w="2080"/>
        <w:gridCol w:w="1428"/>
        <w:gridCol w:w="1116"/>
        <w:gridCol w:w="1116"/>
        <w:gridCol w:w="1116"/>
        <w:gridCol w:w="1456"/>
        <w:gridCol w:w="1076"/>
        <w:gridCol w:w="1076"/>
      </w:tblGrid>
      <w:tr>
        <w:tblPrEx>
          <w:tblCellMar>
            <w:top w:w="0" w:type="dxa"/>
            <w:left w:w="108" w:type="dxa"/>
            <w:bottom w:w="0" w:type="dxa"/>
            <w:right w:w="108" w:type="dxa"/>
          </w:tblCellMar>
        </w:tblPrEx>
        <w:trPr>
          <w:trHeight w:val="280" w:hRule="atLeast"/>
          <w:jc w:val="center"/>
        </w:trPr>
        <w:tc>
          <w:tcPr>
            <w:tcW w:w="66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080"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428"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年份</w:t>
            </w:r>
          </w:p>
        </w:tc>
        <w:tc>
          <w:tcPr>
            <w:tcW w:w="111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c>
          <w:tcPr>
            <w:tcW w:w="111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c>
          <w:tcPr>
            <w:tcW w:w="111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c>
          <w:tcPr>
            <w:tcW w:w="145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c>
          <w:tcPr>
            <w:tcW w:w="107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c>
          <w:tcPr>
            <w:tcW w:w="1076" w:type="dxa"/>
            <w:tcBorders>
              <w:top w:val="nil"/>
              <w:left w:val="nil"/>
              <w:bottom w:val="nil"/>
              <w:right w:val="nil"/>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　</w:t>
            </w:r>
          </w:p>
        </w:tc>
      </w:tr>
      <w:tr>
        <w:tblPrEx>
          <w:tblCellMar>
            <w:top w:w="0" w:type="dxa"/>
            <w:left w:w="108" w:type="dxa"/>
            <w:bottom w:w="0" w:type="dxa"/>
            <w:right w:w="108" w:type="dxa"/>
          </w:tblCellMar>
        </w:tblPrEx>
        <w:trPr>
          <w:trHeight w:val="280" w:hRule="atLeast"/>
          <w:jc w:val="center"/>
        </w:trPr>
        <w:tc>
          <w:tcPr>
            <w:tcW w:w="664"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2080"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1428"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2</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3</w:t>
            </w:r>
          </w:p>
        </w:tc>
        <w:tc>
          <w:tcPr>
            <w:tcW w:w="111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4</w:t>
            </w:r>
          </w:p>
        </w:tc>
        <w:tc>
          <w:tcPr>
            <w:tcW w:w="145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5</w:t>
            </w:r>
          </w:p>
        </w:tc>
        <w:tc>
          <w:tcPr>
            <w:tcW w:w="1076" w:type="dxa"/>
            <w:tcBorders>
              <w:top w:val="nil"/>
              <w:left w:val="nil"/>
              <w:bottom w:val="nil"/>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6</w:t>
            </w:r>
          </w:p>
        </w:tc>
        <w:tc>
          <w:tcPr>
            <w:tcW w:w="1076" w:type="dxa"/>
            <w:tcBorders>
              <w:top w:val="nil"/>
              <w:left w:val="nil"/>
              <w:bottom w:val="nil"/>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7</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0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借款额</w:t>
            </w:r>
          </w:p>
        </w:tc>
        <w:tc>
          <w:tcPr>
            <w:tcW w:w="142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10000.00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10245.00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8747.01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7175.61 </w:t>
            </w:r>
          </w:p>
        </w:tc>
        <w:tc>
          <w:tcPr>
            <w:tcW w:w="14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5527.21 </w:t>
            </w:r>
          </w:p>
        </w:tc>
        <w:tc>
          <w:tcPr>
            <w:tcW w:w="1076" w:type="dxa"/>
            <w:tcBorders>
              <w:top w:val="single" w:color="B4C6E7" w:sz="4" w:space="0"/>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3798.05 </w:t>
            </w:r>
          </w:p>
        </w:tc>
        <w:tc>
          <w:tcPr>
            <w:tcW w:w="1076" w:type="dxa"/>
            <w:tcBorders>
              <w:top w:val="single" w:color="B4C6E7" w:sz="4" w:space="0"/>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1984.15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0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借款利息</w:t>
            </w:r>
          </w:p>
        </w:tc>
        <w:tc>
          <w:tcPr>
            <w:tcW w:w="142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245.00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502.01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428.60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351.60 </w:t>
            </w:r>
          </w:p>
        </w:tc>
        <w:tc>
          <w:tcPr>
            <w:tcW w:w="14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270.83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186.10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97.22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0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借款本息和</w:t>
            </w:r>
          </w:p>
        </w:tc>
        <w:tc>
          <w:tcPr>
            <w:tcW w:w="142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10245.00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10747.01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9175.61 </w:t>
            </w:r>
          </w:p>
        </w:tc>
        <w:tc>
          <w:tcPr>
            <w:tcW w:w="111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7527.21 </w:t>
            </w:r>
          </w:p>
        </w:tc>
        <w:tc>
          <w:tcPr>
            <w:tcW w:w="14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5798.05 </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3984.15 </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2081.37 </w:t>
            </w:r>
          </w:p>
        </w:tc>
      </w:tr>
      <w:tr>
        <w:tblPrEx>
          <w:tblCellMar>
            <w:top w:w="0" w:type="dxa"/>
            <w:left w:w="108" w:type="dxa"/>
            <w:bottom w:w="0" w:type="dxa"/>
            <w:right w:w="108" w:type="dxa"/>
          </w:tblCellMar>
        </w:tblPrEx>
        <w:trPr>
          <w:trHeight w:val="280" w:hRule="atLeast"/>
          <w:jc w:val="center"/>
        </w:trPr>
        <w:tc>
          <w:tcPr>
            <w:tcW w:w="66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0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还款金额</w:t>
            </w:r>
          </w:p>
        </w:tc>
        <w:tc>
          <w:tcPr>
            <w:tcW w:w="142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2000.00 </w:t>
            </w:r>
          </w:p>
        </w:tc>
        <w:tc>
          <w:tcPr>
            <w:tcW w:w="111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2000.00 </w:t>
            </w:r>
          </w:p>
        </w:tc>
        <w:tc>
          <w:tcPr>
            <w:tcW w:w="14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2000.00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2000.00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2081.37 </w:t>
            </w:r>
          </w:p>
        </w:tc>
      </w:tr>
      <w:tr>
        <w:tblPrEx>
          <w:tblCellMar>
            <w:top w:w="0" w:type="dxa"/>
            <w:left w:w="108" w:type="dxa"/>
            <w:bottom w:w="0" w:type="dxa"/>
            <w:right w:w="108" w:type="dxa"/>
          </w:tblCellMar>
        </w:tblPrEx>
        <w:trPr>
          <w:trHeight w:val="280" w:hRule="atLeast"/>
          <w:jc w:val="center"/>
        </w:trPr>
        <w:tc>
          <w:tcPr>
            <w:tcW w:w="2744" w:type="dxa"/>
            <w:gridSpan w:val="2"/>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建设期借款本息和</w:t>
            </w:r>
          </w:p>
        </w:tc>
        <w:tc>
          <w:tcPr>
            <w:tcW w:w="8384" w:type="dxa"/>
            <w:gridSpan w:val="7"/>
            <w:tcBorders>
              <w:top w:val="single" w:color="B4C6E7" w:sz="4" w:space="0"/>
              <w:left w:val="nil"/>
              <w:bottom w:val="nil"/>
              <w:right w:val="nil"/>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11798.05 </w:t>
            </w:r>
          </w:p>
        </w:tc>
      </w:tr>
      <w:tr>
        <w:tblPrEx>
          <w:tblCellMar>
            <w:top w:w="0" w:type="dxa"/>
            <w:left w:w="108" w:type="dxa"/>
            <w:bottom w:w="0" w:type="dxa"/>
            <w:right w:w="108" w:type="dxa"/>
          </w:tblCellMar>
        </w:tblPrEx>
        <w:trPr>
          <w:trHeight w:val="280" w:hRule="atLeast"/>
          <w:jc w:val="center"/>
        </w:trPr>
        <w:tc>
          <w:tcPr>
            <w:tcW w:w="2744"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建设期贷款总利息</w:t>
            </w:r>
          </w:p>
        </w:tc>
        <w:tc>
          <w:tcPr>
            <w:tcW w:w="8384" w:type="dxa"/>
            <w:gridSpan w:val="7"/>
            <w:tcBorders>
              <w:top w:val="nil"/>
              <w:left w:val="nil"/>
              <w:bottom w:val="nil"/>
              <w:right w:val="nil"/>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1798.05 </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30" w:name="_Toc141669653"/>
      <w:bookmarkStart w:id="31" w:name="_Toc141661863"/>
      <w:r>
        <w:rPr>
          <w:rFonts w:ascii="Times New Roman" w:hAnsi="Times New Roman" w:cs="Times New Roman"/>
          <w:b/>
          <w:bCs/>
          <w:kern w:val="0"/>
          <w:sz w:val="32"/>
          <w:szCs w:val="32"/>
        </w:rPr>
        <w:t>1.5 流动资金</w:t>
      </w:r>
      <w:bookmarkEnd w:id="30"/>
      <w:bookmarkEnd w:id="31"/>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流动资金是指企业全部的流动资产，包括现金、存货（材料、在制品及成品）、</w:t>
      </w:r>
      <w:r>
        <w:rPr>
          <w:rFonts w:ascii="Times New Roman" w:hAnsi="Times New Roman" w:cs="Times New Roman"/>
        </w:rPr>
        <w:t>应收</w:t>
      </w:r>
      <w:r>
        <w:rPr>
          <w:rFonts w:hint="eastAsia" w:ascii="Times New Roman" w:hAnsi="Times New Roman" w:cs="Times New Roman"/>
        </w:rPr>
        <w:t>账款、有价证券、预付款等项目。为有效控制资金流动性，有必要对所需流</w:t>
      </w:r>
      <w:r>
        <w:rPr>
          <w:rFonts w:ascii="Times New Roman" w:hAnsi="Times New Roman" w:cs="Times New Roman"/>
        </w:rPr>
        <w:t>动资金进行估</w:t>
      </w:r>
      <w:r>
        <w:rPr>
          <w:rFonts w:hint="eastAsia" w:ascii="Times New Roman" w:hAnsi="Times New Roman" w:cs="Times New Roman"/>
        </w:rPr>
        <w:t>算流动资金。流动资金于投产期前两年投入，并于期末回收。参考《化工设计与经济》一书中的估算方法，按建设资金的</w:t>
      </w:r>
      <w:r>
        <w:rPr>
          <w:rFonts w:ascii="Times New Roman" w:hAnsi="Times New Roman" w:cs="Times New Roman"/>
        </w:rPr>
        <w:t xml:space="preserve"> 15%估算，得到流动资金总额为5360.77万元。</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1-10 </w:t>
      </w:r>
      <w:r>
        <w:rPr>
          <w:rFonts w:hint="eastAsia" w:ascii="Times New Roman" w:hAnsi="Times New Roman" w:cs="Times New Roman"/>
          <w:b/>
          <w:sz w:val="18"/>
          <w:szCs w:val="18"/>
        </w:rPr>
        <w:t>流动资金估算表</w:t>
      </w:r>
    </w:p>
    <w:tbl>
      <w:tblPr>
        <w:tblStyle w:val="16"/>
        <w:tblW w:w="4740" w:type="dxa"/>
        <w:jc w:val="center"/>
        <w:tblLayout w:type="autofit"/>
        <w:tblCellMar>
          <w:top w:w="0" w:type="dxa"/>
          <w:left w:w="108" w:type="dxa"/>
          <w:bottom w:w="0" w:type="dxa"/>
          <w:right w:w="108" w:type="dxa"/>
        </w:tblCellMar>
      </w:tblPr>
      <w:tblGrid>
        <w:gridCol w:w="1100"/>
        <w:gridCol w:w="1100"/>
        <w:gridCol w:w="1100"/>
        <w:gridCol w:w="1440"/>
      </w:tblGrid>
      <w:tr>
        <w:tblPrEx>
          <w:tblCellMar>
            <w:top w:w="0" w:type="dxa"/>
            <w:left w:w="108" w:type="dxa"/>
            <w:bottom w:w="0" w:type="dxa"/>
            <w:right w:w="108" w:type="dxa"/>
          </w:tblCellMar>
        </w:tblPrEx>
        <w:trPr>
          <w:trHeight w:val="280" w:hRule="atLeast"/>
          <w:jc w:val="center"/>
        </w:trPr>
        <w:tc>
          <w:tcPr>
            <w:tcW w:w="1100" w:type="dxa"/>
            <w:tcBorders>
              <w:top w:val="single" w:color="000000" w:sz="4" w:space="0"/>
              <w:left w:val="single" w:color="000000" w:sz="4" w:space="0"/>
              <w:bottom w:val="single" w:color="000000" w:sz="4" w:space="0"/>
              <w:right w:val="single" w:color="000000"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编号</w:t>
            </w:r>
          </w:p>
        </w:tc>
        <w:tc>
          <w:tcPr>
            <w:tcW w:w="1100" w:type="dxa"/>
            <w:tcBorders>
              <w:top w:val="single" w:color="000000" w:sz="4" w:space="0"/>
              <w:left w:val="nil"/>
              <w:bottom w:val="single" w:color="000000" w:sz="4" w:space="0"/>
              <w:right w:val="single" w:color="000000"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100" w:type="dxa"/>
            <w:tcBorders>
              <w:top w:val="single" w:color="000000" w:sz="4" w:space="0"/>
              <w:left w:val="nil"/>
              <w:bottom w:val="single" w:color="000000" w:sz="4" w:space="0"/>
              <w:right w:val="single" w:color="000000"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费率（%）</w:t>
            </w:r>
          </w:p>
        </w:tc>
        <w:tc>
          <w:tcPr>
            <w:tcW w:w="1440" w:type="dxa"/>
            <w:tcBorders>
              <w:top w:val="single" w:color="000000" w:sz="4" w:space="0"/>
              <w:left w:val="nil"/>
              <w:bottom w:val="single" w:color="000000" w:sz="4" w:space="0"/>
              <w:right w:val="single" w:color="000000"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100" w:type="dxa"/>
            <w:tcBorders>
              <w:top w:val="nil"/>
              <w:left w:val="single" w:color="000000" w:sz="4" w:space="0"/>
              <w:bottom w:val="single" w:color="000000" w:sz="4" w:space="0"/>
              <w:right w:val="single" w:color="000000"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100" w:type="dxa"/>
            <w:tcBorders>
              <w:top w:val="nil"/>
              <w:left w:val="nil"/>
              <w:bottom w:val="single" w:color="000000" w:sz="4" w:space="0"/>
              <w:right w:val="single" w:color="000000"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流动资金</w:t>
            </w:r>
          </w:p>
        </w:tc>
        <w:tc>
          <w:tcPr>
            <w:tcW w:w="1100" w:type="dxa"/>
            <w:tcBorders>
              <w:top w:val="nil"/>
              <w:left w:val="nil"/>
              <w:bottom w:val="single" w:color="000000" w:sz="4" w:space="0"/>
              <w:right w:val="single" w:color="000000"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15</w:t>
            </w:r>
          </w:p>
        </w:tc>
        <w:tc>
          <w:tcPr>
            <w:tcW w:w="1440" w:type="dxa"/>
            <w:tcBorders>
              <w:top w:val="nil"/>
              <w:left w:val="nil"/>
              <w:bottom w:val="single" w:color="000000" w:sz="4" w:space="0"/>
              <w:right w:val="single" w:color="000000"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5360.767493</w:t>
            </w:r>
          </w:p>
        </w:tc>
      </w:tr>
    </w:tbl>
    <w:p>
      <w:pPr>
        <w:autoSpaceDE w:val="0"/>
        <w:autoSpaceDN w:val="0"/>
        <w:spacing w:before="156" w:beforeLines="50" w:after="156" w:afterLines="50"/>
        <w:ind w:firstLine="420" w:firstLineChars="200"/>
        <w:jc w:val="center"/>
        <w:rPr>
          <w:rFonts w:ascii="Times New Roman" w:hAnsi="Times New Roman" w:cs="Times New Roman"/>
        </w:rPr>
      </w:pP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32" w:name="_Toc141669654"/>
      <w:bookmarkStart w:id="33" w:name="_Toc141661864"/>
      <w:r>
        <w:rPr>
          <w:rFonts w:ascii="Times New Roman" w:hAnsi="Times New Roman" w:cs="Times New Roman"/>
          <w:b/>
          <w:bCs/>
          <w:kern w:val="0"/>
          <w:sz w:val="32"/>
          <w:szCs w:val="32"/>
        </w:rPr>
        <w:t>1.6 固定资产投资方向调节税</w:t>
      </w:r>
      <w:bookmarkEnd w:id="32"/>
      <w:bookmarkEnd w:id="33"/>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根据国务院《固定资产投资方向调节税税目税率表》，“大中型基本化工原料（包括无机和有机原料）”的固定资产投资方向调节税税目税率为</w:t>
      </w:r>
      <w:r>
        <w:rPr>
          <w:rFonts w:ascii="Times New Roman" w:hAnsi="Times New Roman" w:cs="Times New Roman"/>
        </w:rPr>
        <w:t>0。</w:t>
      </w: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34" w:name="_Toc141669655"/>
      <w:bookmarkStart w:id="35" w:name="_Toc141661865"/>
      <w:r>
        <w:rPr>
          <w:rFonts w:ascii="Times New Roman" w:hAnsi="Times New Roman" w:cs="Times New Roman"/>
          <w:b/>
          <w:bCs/>
          <w:kern w:val="0"/>
          <w:sz w:val="32"/>
          <w:szCs w:val="32"/>
        </w:rPr>
        <w:t>1.7 项目总投资汇总</w:t>
      </w:r>
      <w:bookmarkEnd w:id="34"/>
      <w:bookmarkEnd w:id="35"/>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项目总投资由建设投资、建设期利息和流动资金组成，前述部分均对各部分进行了相应的估算，项目总投资情况见表</w:t>
      </w:r>
      <w:r>
        <w:rPr>
          <w:rFonts w:ascii="Times New Roman" w:hAnsi="Times New Roman" w:cs="Times New Roman"/>
        </w:rPr>
        <w:t>8-11。</w:t>
      </w:r>
    </w:p>
    <w:p>
      <w:pPr>
        <w:autoSpaceDE w:val="0"/>
        <w:autoSpaceDN w:val="0"/>
        <w:spacing w:before="156" w:beforeLines="50" w:after="156" w:afterLines="50"/>
        <w:ind w:firstLine="361" w:firstLineChars="200"/>
        <w:jc w:val="center"/>
        <w:rPr>
          <w:rFonts w:ascii="Times New Roman" w:hAnsi="Times New Roman" w:cs="Times New Roman"/>
          <w:b/>
          <w:kern w:val="0"/>
          <w:sz w:val="18"/>
          <w:szCs w:val="18"/>
        </w:rPr>
      </w:pPr>
      <w:r>
        <w:rPr>
          <w:rFonts w:hint="eastAsia" w:ascii="Times New Roman" w:hAnsi="Times New Roman" w:cs="Times New Roman"/>
          <w:b/>
          <w:kern w:val="0"/>
          <w:sz w:val="18"/>
          <w:szCs w:val="18"/>
        </w:rPr>
        <w:t>表8</w:t>
      </w:r>
      <w:r>
        <w:rPr>
          <w:rFonts w:ascii="Times New Roman" w:hAnsi="Times New Roman" w:cs="Times New Roman"/>
          <w:b/>
          <w:kern w:val="0"/>
          <w:sz w:val="18"/>
          <w:szCs w:val="18"/>
        </w:rPr>
        <w:t xml:space="preserve">-11 </w:t>
      </w:r>
      <w:r>
        <w:rPr>
          <w:rFonts w:hint="eastAsia" w:ascii="Times New Roman" w:hAnsi="Times New Roman" w:cs="Times New Roman"/>
          <w:b/>
          <w:kern w:val="0"/>
          <w:sz w:val="18"/>
          <w:szCs w:val="18"/>
        </w:rPr>
        <w:t>项目总投资汇总表</w:t>
      </w:r>
    </w:p>
    <w:tbl>
      <w:tblPr>
        <w:tblStyle w:val="16"/>
        <w:tblW w:w="5400" w:type="dxa"/>
        <w:jc w:val="center"/>
        <w:tblLayout w:type="autofit"/>
        <w:tblCellMar>
          <w:top w:w="0" w:type="dxa"/>
          <w:left w:w="108" w:type="dxa"/>
          <w:bottom w:w="0" w:type="dxa"/>
          <w:right w:w="108" w:type="dxa"/>
        </w:tblCellMar>
      </w:tblPr>
      <w:tblGrid>
        <w:gridCol w:w="1040"/>
        <w:gridCol w:w="2380"/>
        <w:gridCol w:w="1980"/>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3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9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价格（万元）</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建设投资</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35738.44995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1.1</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固定资产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24686.15981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无形资产</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5911.46875</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递延资产</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1311.701753</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预备费用</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3829.119638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建设期利息</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1798.046488</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流动资金</w:t>
            </w:r>
          </w:p>
        </w:tc>
        <w:tc>
          <w:tcPr>
            <w:tcW w:w="19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5360.767493</w:t>
            </w:r>
          </w:p>
        </w:tc>
      </w:tr>
      <w:tr>
        <w:tblPrEx>
          <w:tblCellMar>
            <w:top w:w="0" w:type="dxa"/>
            <w:left w:w="108" w:type="dxa"/>
            <w:bottom w:w="0" w:type="dxa"/>
            <w:right w:w="108" w:type="dxa"/>
          </w:tblCellMar>
        </w:tblPrEx>
        <w:trPr>
          <w:trHeight w:val="280" w:hRule="atLeast"/>
          <w:jc w:val="center"/>
        </w:trPr>
        <w:tc>
          <w:tcPr>
            <w:tcW w:w="3420" w:type="dxa"/>
            <w:gridSpan w:val="2"/>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19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42897.26393</w:t>
            </w:r>
          </w:p>
        </w:tc>
      </w:tr>
    </w:tbl>
    <w:p>
      <w:pPr>
        <w:autoSpaceDE w:val="0"/>
        <w:autoSpaceDN w:val="0"/>
        <w:spacing w:before="156" w:beforeLines="50" w:after="156" w:afterLines="50"/>
        <w:ind w:firstLine="361" w:firstLineChars="200"/>
        <w:jc w:val="center"/>
        <w:rPr>
          <w:rFonts w:ascii="Times New Roman" w:hAnsi="Times New Roman" w:cs="Times New Roman"/>
          <w:b/>
          <w:kern w:val="0"/>
          <w:sz w:val="18"/>
          <w:szCs w:val="18"/>
        </w:rPr>
      </w:pPr>
    </w:p>
    <w:p>
      <w:pPr>
        <w:widowControl/>
        <w:jc w:val="left"/>
        <w:rPr>
          <w:rFonts w:ascii="Times New Roman" w:hAnsi="Times New Roman" w:cs="Times New Roman"/>
          <w:kern w:val="0"/>
        </w:rPr>
      </w:pPr>
      <w:r>
        <w:rPr>
          <w:rFonts w:ascii="Times New Roman" w:hAnsi="Times New Roman" w:cs="Times New Roman"/>
          <w:kern w:val="0"/>
        </w:rPr>
        <w:br w:type="page"/>
      </w:r>
    </w:p>
    <w:p>
      <w:pPr>
        <w:keepNext/>
        <w:keepLines/>
        <w:autoSpaceDE w:val="0"/>
        <w:autoSpaceDN w:val="0"/>
        <w:spacing w:before="156" w:beforeLines="50" w:after="156" w:afterLines="50" w:line="578" w:lineRule="auto"/>
        <w:jc w:val="center"/>
        <w:outlineLvl w:val="0"/>
        <w:rPr>
          <w:rFonts w:ascii="Times New Roman" w:hAnsi="Times New Roman" w:cs="Times New Roman"/>
          <w:b/>
          <w:bCs/>
          <w:color w:val="000000"/>
          <w:kern w:val="44"/>
          <w:sz w:val="44"/>
          <w:szCs w:val="44"/>
        </w:rPr>
      </w:pPr>
      <w:bookmarkStart w:id="36" w:name="_Toc141661866"/>
      <w:bookmarkStart w:id="37" w:name="_Toc141669656"/>
      <w:r>
        <w:rPr>
          <w:rFonts w:ascii="Times New Roman" w:hAnsi="Times New Roman" w:cs="Times New Roman"/>
          <w:b/>
          <w:bCs/>
          <w:color w:val="000000"/>
          <w:kern w:val="44"/>
          <w:sz w:val="44"/>
          <w:szCs w:val="44"/>
        </w:rPr>
        <w:t>第</w:t>
      </w:r>
      <w:r>
        <w:rPr>
          <w:rFonts w:hint="eastAsia" w:ascii="Times New Roman" w:hAnsi="Times New Roman" w:cs="Times New Roman"/>
          <w:b/>
          <w:bCs/>
          <w:color w:val="000000"/>
          <w:kern w:val="44"/>
          <w:sz w:val="44"/>
          <w:szCs w:val="44"/>
        </w:rPr>
        <w:t>二</w:t>
      </w:r>
      <w:r>
        <w:rPr>
          <w:rFonts w:ascii="Times New Roman" w:hAnsi="Times New Roman" w:cs="Times New Roman"/>
          <w:b/>
          <w:bCs/>
          <w:color w:val="000000"/>
          <w:kern w:val="44"/>
          <w:sz w:val="44"/>
          <w:szCs w:val="44"/>
        </w:rPr>
        <w:t>章 财务与经济评价</w:t>
      </w:r>
      <w:bookmarkEnd w:id="36"/>
      <w:bookmarkEnd w:id="37"/>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38" w:name="_Toc141661867"/>
      <w:bookmarkStart w:id="39" w:name="_Toc141669657"/>
      <w:r>
        <w:rPr>
          <w:rFonts w:ascii="Times New Roman" w:hAnsi="Times New Roman" w:cs="Times New Roman"/>
          <w:b/>
          <w:bCs/>
          <w:kern w:val="0"/>
          <w:sz w:val="32"/>
          <w:szCs w:val="32"/>
        </w:rPr>
        <w:t>2.1 产品总成本和费用估算</w:t>
      </w:r>
      <w:bookmarkEnd w:id="38"/>
      <w:bookmarkEnd w:id="39"/>
    </w:p>
    <w:p>
      <w:pPr>
        <w:keepLines/>
        <w:outlineLvl w:val="2"/>
        <w:rPr>
          <w:rFonts w:ascii="Times New Roman" w:hAnsi="Times New Roman" w:cs="Times New Roman"/>
          <w:b/>
          <w:bCs/>
          <w:sz w:val="28"/>
          <w:szCs w:val="32"/>
        </w:rPr>
      </w:pPr>
      <w:bookmarkStart w:id="40" w:name="_Toc16695"/>
      <w:bookmarkStart w:id="41" w:name="_Toc141661868"/>
      <w:bookmarkStart w:id="42" w:name="_Toc141669658"/>
      <w:r>
        <w:rPr>
          <w:rFonts w:ascii="Times New Roman" w:hAnsi="Times New Roman" w:cs="Times New Roman"/>
          <w:b/>
          <w:bCs/>
          <w:sz w:val="28"/>
          <w:szCs w:val="32"/>
        </w:rPr>
        <w:t>2.1.1 成本估算说明</w:t>
      </w:r>
      <w:bookmarkEnd w:id="40"/>
      <w:bookmarkEnd w:id="41"/>
      <w:bookmarkEnd w:id="42"/>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2.1.1.1 概述</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产品成本包括生产中所消耗的物化劳动和活劳动，是判定产品价格的重要依据之一，也是考核企业生产经营管理水平的一项综合性指标。 </w:t>
      </w:r>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2.1.1.2 编制依据</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《化工投资项目可行性研究报告编制办法》(2012年)</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《中国石油化工项目可行性研究技术经济方法与参数》(2007年)</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《中华人民共和国企业所得税法》及《实施条例》</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《中华人民共和国增值税暂行条例》及《实施细则》</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《成本费用核算与管理办法）》(石化股份财[2003]427号)</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《建设项目经济评价方法与参数》(第三版)</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《2023“天正设计杯”第十</w:t>
      </w:r>
      <w:r>
        <w:rPr>
          <w:rFonts w:hint="eastAsia" w:ascii="Times New Roman" w:hAnsi="Times New Roman" w:cs="Times New Roman"/>
        </w:rPr>
        <w:t>七</w:t>
      </w:r>
      <w:r>
        <w:rPr>
          <w:rFonts w:ascii="Times New Roman" w:hAnsi="Times New Roman" w:cs="Times New Roman"/>
        </w:rPr>
        <w:t>届全国大学生化工设计设计任务书》中关于经济分析与评价基础数据</w:t>
      </w:r>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2.1.1.3 编制说明</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（1）依据发改投资（2006）1325号文发布的《建设项目经济评价方法与参数》和《企业会计制度》(财会[2014]8号)编制；</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（2）各原材料及公用工程费用通过调研现行市场价格估算和向园区询价方式获取；</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（3）本项目计划一年建成，第二年投产，第三年和第四年生产负荷分别达到设计能力的70%和90%，从第四年开始达产。达产期为12年。</w:t>
      </w:r>
    </w:p>
    <w:p>
      <w:pPr>
        <w:keepLines/>
        <w:outlineLvl w:val="2"/>
        <w:rPr>
          <w:rFonts w:ascii="Times New Roman" w:hAnsi="Times New Roman" w:cs="Times New Roman"/>
          <w:b/>
          <w:bCs/>
          <w:sz w:val="28"/>
          <w:szCs w:val="32"/>
        </w:rPr>
      </w:pPr>
      <w:bookmarkStart w:id="43" w:name="_Toc141669659"/>
      <w:bookmarkStart w:id="44" w:name="_Toc141661869"/>
      <w:bookmarkStart w:id="45" w:name="_Toc24041"/>
      <w:r>
        <w:rPr>
          <w:rFonts w:ascii="Times New Roman" w:hAnsi="Times New Roman" w:cs="Times New Roman"/>
          <w:b/>
          <w:bCs/>
          <w:sz w:val="28"/>
          <w:szCs w:val="32"/>
        </w:rPr>
        <w:t>2.1.2 产品总成本费用估算</w:t>
      </w:r>
      <w:bookmarkEnd w:id="43"/>
      <w:bookmarkEnd w:id="44"/>
      <w:bookmarkEnd w:id="45"/>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2.1.2.1 概述</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成本和费用估算的方法主要有生产要素估算法和生产成本加期间费用估算法，在可行性研究报告中，一般可按生产要素法估算。这里采用生产成本要素法估算。</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产品总成本费用=外购原材料、燃料和动力费+工资及福利费+折旧费+摊销费+修理费+管理费+财务费（利息支出）+销售费+其他费用</w:t>
      </w:r>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2.1.2.2 原材料及辅助材料费</w:t>
      </w:r>
    </w:p>
    <w:p>
      <w:pPr>
        <w:autoSpaceDE w:val="0"/>
        <w:autoSpaceDN w:val="0"/>
        <w:spacing w:before="156" w:beforeLines="50" w:after="156" w:afterLines="50"/>
        <w:jc w:val="center"/>
        <w:rPr>
          <w:rFonts w:ascii="Times New Roman" w:hAnsi="Times New Roman" w:cs="Times New Roman"/>
          <w:b/>
          <w:kern w:val="0"/>
          <w:sz w:val="18"/>
          <w:szCs w:val="18"/>
        </w:rPr>
      </w:pPr>
      <w:r>
        <w:rPr>
          <w:rFonts w:hint="eastAsia" w:ascii="Times New Roman" w:hAnsi="Times New Roman" w:cs="Times New Roman"/>
          <w:b/>
          <w:kern w:val="0"/>
          <w:sz w:val="18"/>
          <w:szCs w:val="18"/>
        </w:rPr>
        <w:t>表</w:t>
      </w:r>
      <w:r>
        <w:rPr>
          <w:rFonts w:ascii="Times New Roman" w:hAnsi="Times New Roman" w:cs="Times New Roman"/>
          <w:b/>
          <w:kern w:val="0"/>
          <w:sz w:val="18"/>
          <w:szCs w:val="18"/>
        </w:rPr>
        <w:t xml:space="preserve">2-1 </w:t>
      </w:r>
      <w:r>
        <w:rPr>
          <w:rFonts w:hint="eastAsia" w:ascii="Times New Roman" w:hAnsi="Times New Roman" w:cs="Times New Roman"/>
          <w:b/>
          <w:kern w:val="0"/>
          <w:sz w:val="18"/>
          <w:szCs w:val="18"/>
        </w:rPr>
        <w:t>原材料及辅助材料费一览表</w:t>
      </w:r>
    </w:p>
    <w:tbl>
      <w:tblPr>
        <w:tblStyle w:val="16"/>
        <w:tblW w:w="9634" w:type="dxa"/>
        <w:jc w:val="center"/>
        <w:tblLayout w:type="autofit"/>
        <w:tblCellMar>
          <w:top w:w="0" w:type="dxa"/>
          <w:left w:w="108" w:type="dxa"/>
          <w:bottom w:w="0" w:type="dxa"/>
          <w:right w:w="108" w:type="dxa"/>
        </w:tblCellMar>
      </w:tblPr>
      <w:tblGrid>
        <w:gridCol w:w="1900"/>
        <w:gridCol w:w="1980"/>
        <w:gridCol w:w="2020"/>
        <w:gridCol w:w="1480"/>
        <w:gridCol w:w="2254"/>
      </w:tblGrid>
      <w:tr>
        <w:tblPrEx>
          <w:tblCellMar>
            <w:top w:w="0" w:type="dxa"/>
            <w:left w:w="108" w:type="dxa"/>
            <w:bottom w:w="0" w:type="dxa"/>
            <w:right w:w="108" w:type="dxa"/>
          </w:tblCellMar>
        </w:tblPrEx>
        <w:trPr>
          <w:trHeight w:val="280" w:hRule="atLeast"/>
          <w:jc w:val="center"/>
        </w:trPr>
        <w:tc>
          <w:tcPr>
            <w:tcW w:w="1900"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98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202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数量（t/a）</w:t>
            </w:r>
          </w:p>
        </w:tc>
        <w:tc>
          <w:tcPr>
            <w:tcW w:w="1480"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单价（元/吨）</w:t>
            </w:r>
          </w:p>
        </w:tc>
        <w:tc>
          <w:tcPr>
            <w:tcW w:w="2254" w:type="dxa"/>
            <w:tcBorders>
              <w:top w:val="single" w:color="auto" w:sz="4" w:space="0"/>
              <w:left w:val="nil"/>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总费用（万元/年）</w:t>
            </w:r>
          </w:p>
        </w:tc>
      </w:tr>
      <w:tr>
        <w:tblPrEx>
          <w:tblCellMar>
            <w:top w:w="0" w:type="dxa"/>
            <w:left w:w="108" w:type="dxa"/>
            <w:bottom w:w="0" w:type="dxa"/>
            <w:right w:w="108" w:type="dxa"/>
          </w:tblCellMar>
        </w:tblPrEx>
        <w:trPr>
          <w:trHeight w:val="280" w:hRule="atLeast"/>
          <w:jc w:val="center"/>
        </w:trPr>
        <w:tc>
          <w:tcPr>
            <w:tcW w:w="1900" w:type="dxa"/>
            <w:vMerge w:val="restart"/>
            <w:tcBorders>
              <w:top w:val="nil"/>
              <w:left w:val="single" w:color="auto" w:sz="4" w:space="0"/>
              <w:bottom w:val="single" w:color="auto"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主要原料</w:t>
            </w:r>
          </w:p>
        </w:tc>
        <w:tc>
          <w:tcPr>
            <w:tcW w:w="19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己二酸</w:t>
            </w:r>
          </w:p>
        </w:tc>
        <w:tc>
          <w:tcPr>
            <w:tcW w:w="202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178561.9024 </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8900</w:t>
            </w:r>
          </w:p>
        </w:tc>
        <w:tc>
          <w:tcPr>
            <w:tcW w:w="225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158920.0931</w:t>
            </w:r>
          </w:p>
        </w:tc>
      </w:tr>
      <w:tr>
        <w:tblPrEx>
          <w:tblCellMar>
            <w:top w:w="0" w:type="dxa"/>
            <w:left w:w="108" w:type="dxa"/>
            <w:bottom w:w="0" w:type="dxa"/>
            <w:right w:w="108" w:type="dxa"/>
          </w:tblCellMar>
        </w:tblPrEx>
        <w:trPr>
          <w:trHeight w:val="280" w:hRule="atLeast"/>
          <w:jc w:val="center"/>
        </w:trPr>
        <w:tc>
          <w:tcPr>
            <w:tcW w:w="1900" w:type="dxa"/>
            <w:vMerge w:val="continue"/>
            <w:tcBorders>
              <w:top w:val="nil"/>
              <w:left w:val="single" w:color="auto" w:sz="4" w:space="0"/>
              <w:bottom w:val="single" w:color="auto" w:sz="4" w:space="0"/>
              <w:right w:val="single" w:color="auto" w:sz="4" w:space="0"/>
            </w:tcBorders>
            <w:vAlign w:val="center"/>
          </w:tcPr>
          <w:p>
            <w:pPr>
              <w:widowControl/>
              <w:jc w:val="left"/>
              <w:rPr>
                <w:rFonts w:ascii="等线" w:hAnsi="等线" w:eastAsia="等线" w:cs="宋体"/>
                <w:color w:val="FFFFFF"/>
                <w:kern w:val="0"/>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氨</w:t>
            </w:r>
          </w:p>
        </w:tc>
        <w:tc>
          <w:tcPr>
            <w:tcW w:w="202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47681.0601 </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2800</w:t>
            </w:r>
          </w:p>
        </w:tc>
        <w:tc>
          <w:tcPr>
            <w:tcW w:w="225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13350.69682</w:t>
            </w:r>
          </w:p>
        </w:tc>
      </w:tr>
      <w:tr>
        <w:tblPrEx>
          <w:tblCellMar>
            <w:top w:w="0" w:type="dxa"/>
            <w:left w:w="108" w:type="dxa"/>
            <w:bottom w:w="0" w:type="dxa"/>
            <w:right w:w="108" w:type="dxa"/>
          </w:tblCellMar>
        </w:tblPrEx>
        <w:trPr>
          <w:trHeight w:val="280" w:hRule="atLeast"/>
          <w:jc w:val="center"/>
        </w:trPr>
        <w:tc>
          <w:tcPr>
            <w:tcW w:w="1900" w:type="dxa"/>
            <w:vMerge w:val="restart"/>
            <w:tcBorders>
              <w:top w:val="nil"/>
              <w:left w:val="single" w:color="auto" w:sz="4" w:space="0"/>
              <w:bottom w:val="single" w:color="000000" w:sz="4" w:space="0"/>
              <w:right w:val="single" w:color="auto"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辅助原料</w:t>
            </w:r>
          </w:p>
        </w:tc>
        <w:tc>
          <w:tcPr>
            <w:tcW w:w="19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磷酸</w:t>
            </w:r>
          </w:p>
        </w:tc>
        <w:tc>
          <w:tcPr>
            <w:tcW w:w="202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0.9600 </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6800</w:t>
            </w:r>
          </w:p>
        </w:tc>
        <w:tc>
          <w:tcPr>
            <w:tcW w:w="225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0.6528</w:t>
            </w:r>
          </w:p>
        </w:tc>
      </w:tr>
      <w:tr>
        <w:tblPrEx>
          <w:tblCellMar>
            <w:top w:w="0" w:type="dxa"/>
            <w:left w:w="108" w:type="dxa"/>
            <w:bottom w:w="0" w:type="dxa"/>
            <w:right w:w="108" w:type="dxa"/>
          </w:tblCellMar>
        </w:tblPrEx>
        <w:trPr>
          <w:trHeight w:val="28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jc w:val="left"/>
              <w:rPr>
                <w:rFonts w:ascii="等线" w:hAnsi="等线" w:eastAsia="等线" w:cs="宋体"/>
                <w:color w:val="FFFFFF"/>
                <w:kern w:val="0"/>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工艺软水</w:t>
            </w:r>
          </w:p>
        </w:tc>
        <w:tc>
          <w:tcPr>
            <w:tcW w:w="202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22160.4022 </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w:t>
            </w:r>
          </w:p>
        </w:tc>
        <w:tc>
          <w:tcPr>
            <w:tcW w:w="225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22.16040218</w:t>
            </w:r>
          </w:p>
        </w:tc>
      </w:tr>
      <w:tr>
        <w:tblPrEx>
          <w:tblCellMar>
            <w:top w:w="0" w:type="dxa"/>
            <w:left w:w="108" w:type="dxa"/>
            <w:bottom w:w="0" w:type="dxa"/>
            <w:right w:w="108" w:type="dxa"/>
          </w:tblCellMar>
        </w:tblPrEx>
        <w:trPr>
          <w:trHeight w:val="28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jc w:val="left"/>
              <w:rPr>
                <w:rFonts w:ascii="等线" w:hAnsi="等线" w:eastAsia="等线" w:cs="宋体"/>
                <w:color w:val="FFFFFF"/>
                <w:kern w:val="0"/>
                <w:sz w:val="22"/>
              </w:rPr>
            </w:pPr>
          </w:p>
        </w:tc>
        <w:tc>
          <w:tcPr>
            <w:tcW w:w="19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硫酸铝</w:t>
            </w:r>
          </w:p>
        </w:tc>
        <w:tc>
          <w:tcPr>
            <w:tcW w:w="202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0.72</w:t>
            </w:r>
          </w:p>
        </w:tc>
        <w:tc>
          <w:tcPr>
            <w:tcW w:w="1480"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1350</w:t>
            </w:r>
          </w:p>
        </w:tc>
        <w:tc>
          <w:tcPr>
            <w:tcW w:w="225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0.0972</w:t>
            </w:r>
          </w:p>
        </w:tc>
      </w:tr>
      <w:tr>
        <w:tblPrEx>
          <w:tblCellMar>
            <w:top w:w="0" w:type="dxa"/>
            <w:left w:w="108" w:type="dxa"/>
            <w:bottom w:w="0" w:type="dxa"/>
            <w:right w:w="108" w:type="dxa"/>
          </w:tblCellMar>
        </w:tblPrEx>
        <w:trPr>
          <w:trHeight w:val="290" w:hRule="atLeast"/>
          <w:jc w:val="center"/>
        </w:trPr>
        <w:tc>
          <w:tcPr>
            <w:tcW w:w="1900" w:type="dxa"/>
            <w:vMerge w:val="continue"/>
            <w:tcBorders>
              <w:top w:val="nil"/>
              <w:left w:val="single" w:color="auto" w:sz="4" w:space="0"/>
              <w:bottom w:val="single" w:color="000000" w:sz="4" w:space="0"/>
              <w:right w:val="single" w:color="auto" w:sz="4" w:space="0"/>
            </w:tcBorders>
            <w:vAlign w:val="center"/>
          </w:tcPr>
          <w:p>
            <w:pPr>
              <w:widowControl/>
              <w:jc w:val="left"/>
              <w:rPr>
                <w:rFonts w:ascii="等线" w:hAnsi="等线" w:eastAsia="等线" w:cs="宋体"/>
                <w:color w:val="FFFFFF"/>
                <w:kern w:val="0"/>
                <w:sz w:val="22"/>
              </w:rPr>
            </w:pPr>
          </w:p>
        </w:tc>
        <w:tc>
          <w:tcPr>
            <w:tcW w:w="19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硅藻土（载体）</w:t>
            </w:r>
          </w:p>
        </w:tc>
        <w:tc>
          <w:tcPr>
            <w:tcW w:w="202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0.216</w:t>
            </w:r>
          </w:p>
        </w:tc>
        <w:tc>
          <w:tcPr>
            <w:tcW w:w="1480"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3200</w:t>
            </w:r>
          </w:p>
        </w:tc>
        <w:tc>
          <w:tcPr>
            <w:tcW w:w="2254" w:type="dxa"/>
            <w:tcBorders>
              <w:top w:val="nil"/>
              <w:left w:val="nil"/>
              <w:bottom w:val="single" w:color="auto" w:sz="4" w:space="0"/>
              <w:right w:val="single" w:color="auto"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0.06912</w:t>
            </w:r>
          </w:p>
        </w:tc>
      </w:tr>
      <w:tr>
        <w:tblPrEx>
          <w:tblCellMar>
            <w:top w:w="0" w:type="dxa"/>
            <w:left w:w="108" w:type="dxa"/>
            <w:bottom w:w="0" w:type="dxa"/>
            <w:right w:w="108" w:type="dxa"/>
          </w:tblCellMar>
        </w:tblPrEx>
        <w:trPr>
          <w:trHeight w:val="280" w:hRule="atLeast"/>
          <w:jc w:val="center"/>
        </w:trPr>
        <w:tc>
          <w:tcPr>
            <w:tcW w:w="738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c>
          <w:tcPr>
            <w:tcW w:w="2254" w:type="dxa"/>
            <w:tcBorders>
              <w:top w:val="nil"/>
              <w:left w:val="nil"/>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172293.7695</w:t>
            </w:r>
          </w:p>
        </w:tc>
      </w:tr>
    </w:tbl>
    <w:p>
      <w:pPr>
        <w:autoSpaceDE w:val="0"/>
        <w:autoSpaceDN w:val="0"/>
        <w:spacing w:before="156" w:beforeLines="50" w:after="156" w:afterLines="50"/>
        <w:jc w:val="center"/>
        <w:rPr>
          <w:rFonts w:ascii="Times New Roman" w:hAnsi="Times New Roman" w:cs="Times New Roman"/>
          <w:b/>
          <w:kern w:val="0"/>
          <w:sz w:val="18"/>
          <w:szCs w:val="18"/>
        </w:rPr>
      </w:pPr>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2.1.2.3 燃料和动力费</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本项目的热公用工程采用的加热蒸汽标准为：低压蒸汽温度为0.</w:t>
      </w:r>
      <w:r>
        <w:rPr>
          <w:rFonts w:hint="eastAsia" w:ascii="Times New Roman" w:hAnsi="Times New Roman" w:cs="Times New Roman"/>
        </w:rPr>
        <w:t>25</w:t>
      </w:r>
      <w:r>
        <w:rPr>
          <w:rFonts w:ascii="Times New Roman" w:hAnsi="Times New Roman" w:cs="Times New Roman"/>
        </w:rPr>
        <w:t>MPa，</w:t>
      </w:r>
      <w:r>
        <w:rPr>
          <w:rFonts w:hint="eastAsia" w:ascii="Times New Roman" w:hAnsi="Times New Roman" w:cs="Times New Roman"/>
        </w:rPr>
        <w:t>中</w:t>
      </w:r>
      <w:r>
        <w:rPr>
          <w:rFonts w:ascii="Times New Roman" w:hAnsi="Times New Roman" w:cs="Times New Roman"/>
        </w:rPr>
        <w:t>压蒸汽温度为</w:t>
      </w:r>
      <w:r>
        <w:rPr>
          <w:rFonts w:hint="eastAsia" w:ascii="Times New Roman" w:hAnsi="Times New Roman" w:cs="Times New Roman"/>
        </w:rPr>
        <w:t>4MPa和烟道气</w:t>
      </w:r>
      <w:r>
        <w:rPr>
          <w:rFonts w:ascii="Times New Roman" w:hAnsi="Times New Roman" w:cs="Times New Roman"/>
        </w:rPr>
        <w:t>。加热蒸汽由</w:t>
      </w:r>
      <w:r>
        <w:rPr>
          <w:rFonts w:hint="eastAsia" w:ascii="Times New Roman" w:hAnsi="Times New Roman" w:cs="Times New Roman"/>
        </w:rPr>
        <w:t>重庆白涛</w:t>
      </w:r>
      <w:r>
        <w:rPr>
          <w:rFonts w:ascii="Times New Roman" w:hAnsi="Times New Roman" w:cs="Times New Roman"/>
        </w:rPr>
        <w:t>化工园区集成的蒸汽供热系统，参考《2023年“</w:t>
      </w:r>
      <w:r>
        <w:rPr>
          <w:rFonts w:hint="eastAsia" w:ascii="Times New Roman" w:hAnsi="Times New Roman" w:cs="Times New Roman"/>
        </w:rPr>
        <w:t>华亿股份</w:t>
      </w:r>
      <w:r>
        <w:rPr>
          <w:rFonts w:ascii="Times New Roman" w:hAnsi="Times New Roman" w:cs="Times New Roman"/>
        </w:rPr>
        <w:t>杯”第十</w:t>
      </w:r>
      <w:r>
        <w:rPr>
          <w:rFonts w:hint="eastAsia" w:ascii="Times New Roman" w:hAnsi="Times New Roman" w:cs="Times New Roman"/>
        </w:rPr>
        <w:t>七</w:t>
      </w:r>
      <w:r>
        <w:rPr>
          <w:rFonts w:ascii="Times New Roman" w:hAnsi="Times New Roman" w:cs="Times New Roman"/>
        </w:rPr>
        <w:t>届全国大学生化工设计竞赛设计任务书》中关于经济分析与评价基础数据</w:t>
      </w:r>
      <w:r>
        <w:rPr>
          <w:rFonts w:hint="eastAsia" w:ascii="Times New Roman" w:hAnsi="Times New Roman" w:cs="Times New Roman"/>
        </w:rPr>
        <w:t>以及市场调研价格进行费用估算</w:t>
      </w:r>
      <w:r>
        <w:rPr>
          <w:rFonts w:ascii="Times New Roman" w:hAnsi="Times New Roman" w:cs="Times New Roman"/>
        </w:rPr>
        <w:t>。</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本工程的冷公用工程采用20℃的循环冷却水和-25℃冷冻盐水</w:t>
      </w:r>
      <w:r>
        <w:rPr>
          <w:rFonts w:hint="eastAsia" w:ascii="Times New Roman" w:hAnsi="Times New Roman" w:cs="Times New Roman"/>
        </w:rPr>
        <w:t>以及三氟甲烷（-</w:t>
      </w:r>
      <w:r>
        <w:rPr>
          <w:rFonts w:ascii="Times New Roman" w:hAnsi="Times New Roman" w:cs="Times New Roman"/>
        </w:rPr>
        <w:t>75</w:t>
      </w:r>
      <w:r>
        <w:rPr>
          <w:rFonts w:hint="eastAsia" w:ascii="Times New Roman" w:hAnsi="Times New Roman" w:cs="Times New Roman"/>
        </w:rPr>
        <w:t>℃）</w:t>
      </w:r>
      <w:r>
        <w:rPr>
          <w:rFonts w:ascii="Times New Roman" w:hAnsi="Times New Roman" w:cs="Times New Roman"/>
        </w:rPr>
        <w:t>进行冷却。循环冷却水由厂区内自供水系统提供与处理，冷冻盐水</w:t>
      </w:r>
      <w:r>
        <w:rPr>
          <w:rFonts w:hint="eastAsia" w:ascii="Times New Roman" w:hAnsi="Times New Roman" w:cs="Times New Roman"/>
        </w:rPr>
        <w:t>、三氟甲烷</w:t>
      </w:r>
      <w:r>
        <w:rPr>
          <w:rFonts w:ascii="Times New Roman" w:hAnsi="Times New Roman" w:cs="Times New Roman"/>
        </w:rPr>
        <w:t>由母厂冷冻站提供与处理。</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2-2 </w:t>
      </w:r>
      <w:r>
        <w:rPr>
          <w:rFonts w:hint="eastAsia" w:ascii="Times New Roman" w:hAnsi="Times New Roman" w:cs="Times New Roman"/>
          <w:b/>
          <w:sz w:val="18"/>
          <w:szCs w:val="18"/>
        </w:rPr>
        <w:t>燃料和动力费一览表</w:t>
      </w:r>
    </w:p>
    <w:tbl>
      <w:tblPr>
        <w:tblStyle w:val="66"/>
        <w:tblW w:w="11052"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126"/>
        <w:gridCol w:w="1333"/>
        <w:gridCol w:w="2020"/>
        <w:gridCol w:w="1480"/>
        <w:gridCol w:w="2000"/>
        <w:gridCol w:w="2093"/>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vMerge w:val="restart"/>
            <w:tcBorders>
              <w:top w:val="single" w:color="4472C4" w:sz="4" w:space="0"/>
              <w:left w:val="single" w:color="4472C4" w:sz="4" w:space="0"/>
              <w:bottom w:val="single" w:color="4472C4" w:sz="4" w:space="0"/>
              <w:right w:val="nil"/>
              <w:insideH w:val="single" w:sz="4" w:space="0"/>
              <w:insideV w:val="nil"/>
            </w:tcBorders>
            <w:shd w:val="clear" w:color="auto" w:fill="4472C4"/>
          </w:tcPr>
          <w:p>
            <w:pPr>
              <w:widowControl/>
              <w:jc w:val="center"/>
              <w:rPr>
                <w:rFonts w:ascii="等线" w:hAnsi="等线" w:eastAsia="等线" w:cs="宋体"/>
                <w:b/>
                <w:bCs/>
                <w:color w:val="FFFFFF"/>
                <w:kern w:val="0"/>
                <w:sz w:val="20"/>
                <w:szCs w:val="21"/>
              </w:rPr>
            </w:pPr>
            <w:r>
              <w:rPr>
                <w:rFonts w:hint="eastAsia" w:ascii="等线" w:hAnsi="等线" w:eastAsia="等线" w:cs="宋体"/>
                <w:b/>
                <w:bCs/>
                <w:color w:val="FFFFFF"/>
                <w:kern w:val="0"/>
                <w:sz w:val="20"/>
                <w:szCs w:val="21"/>
              </w:rPr>
              <w:t>公用工程名称</w:t>
            </w:r>
          </w:p>
        </w:tc>
        <w:tc>
          <w:tcPr>
            <w:tcW w:w="1333" w:type="dxa"/>
            <w:vMerge w:val="restart"/>
            <w:tcBorders>
              <w:top w:val="single" w:color="4472C4" w:sz="4" w:space="0"/>
              <w:bottom w:val="single" w:color="4472C4" w:sz="4" w:space="0"/>
              <w:right w:val="nil"/>
              <w:insideH w:val="single" w:sz="4" w:space="0"/>
              <w:insideV w:val="nil"/>
            </w:tcBorders>
            <w:shd w:val="clear" w:color="auto" w:fill="4472C4"/>
          </w:tcPr>
          <w:p>
            <w:pPr>
              <w:widowControl/>
              <w:jc w:val="center"/>
              <w:rPr>
                <w:rFonts w:ascii="Times New Roman" w:hAnsi="Times New Roman" w:eastAsia="等线" w:cs="Times New Roman"/>
                <w:b/>
                <w:bCs/>
                <w:color w:val="FFFFFF"/>
                <w:kern w:val="0"/>
                <w:sz w:val="20"/>
                <w:szCs w:val="21"/>
              </w:rPr>
            </w:pPr>
            <w:r>
              <w:rPr>
                <w:rFonts w:hint="eastAsia" w:ascii="等线" w:hAnsi="等线" w:eastAsia="等线" w:cs="Times New Roman"/>
                <w:b/>
                <w:bCs/>
                <w:color w:val="FFFFFF"/>
                <w:kern w:val="0"/>
                <w:sz w:val="20"/>
                <w:szCs w:val="21"/>
              </w:rPr>
              <w:t>单位</w:t>
            </w:r>
          </w:p>
        </w:tc>
        <w:tc>
          <w:tcPr>
            <w:tcW w:w="3500" w:type="dxa"/>
            <w:gridSpan w:val="2"/>
            <w:tcBorders>
              <w:top w:val="single" w:color="4472C4" w:sz="4" w:space="0"/>
              <w:bottom w:val="single" w:color="4472C4" w:sz="4" w:space="0"/>
              <w:right w:val="nil"/>
              <w:insideH w:val="single" w:sz="4" w:space="0"/>
              <w:insideV w:val="nil"/>
            </w:tcBorders>
            <w:shd w:val="clear" w:color="auto" w:fill="4472C4"/>
          </w:tcPr>
          <w:p>
            <w:pPr>
              <w:widowControl/>
              <w:jc w:val="center"/>
              <w:rPr>
                <w:rFonts w:ascii="Times New Roman" w:hAnsi="Times New Roman" w:eastAsia="等线" w:cs="Times New Roman"/>
                <w:b/>
                <w:bCs/>
                <w:color w:val="FFFFFF"/>
                <w:kern w:val="0"/>
                <w:sz w:val="20"/>
                <w:szCs w:val="21"/>
              </w:rPr>
            </w:pPr>
            <w:r>
              <w:rPr>
                <w:rFonts w:hint="eastAsia" w:ascii="等线" w:hAnsi="等线" w:eastAsia="等线" w:cs="Times New Roman"/>
                <w:b/>
                <w:bCs/>
                <w:color w:val="FFFFFF"/>
                <w:kern w:val="0"/>
                <w:sz w:val="20"/>
                <w:szCs w:val="21"/>
              </w:rPr>
              <w:t>消耗</w:t>
            </w:r>
          </w:p>
        </w:tc>
        <w:tc>
          <w:tcPr>
            <w:tcW w:w="2000" w:type="dxa"/>
            <w:vMerge w:val="restart"/>
            <w:tcBorders>
              <w:top w:val="single" w:color="4472C4" w:sz="4" w:space="0"/>
              <w:bottom w:val="single" w:color="4472C4" w:sz="4" w:space="0"/>
              <w:right w:val="nil"/>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单价（元/吨）</w:t>
            </w:r>
          </w:p>
        </w:tc>
        <w:tc>
          <w:tcPr>
            <w:tcW w:w="2093" w:type="dxa"/>
            <w:vMerge w:val="restart"/>
            <w:tcBorders>
              <w:top w:val="single" w:color="4472C4" w:sz="4" w:space="0"/>
              <w:bottom w:val="single" w:color="4472C4" w:sz="4" w:space="0"/>
              <w:right w:val="single" w:color="4472C4" w:sz="4" w:space="0"/>
              <w:insideH w:val="single" w:sz="4" w:space="0"/>
              <w:insideV w:val="nil"/>
            </w:tcBorders>
            <w:shd w:val="clear" w:color="auto" w:fill="4472C4"/>
            <w:noWrap/>
          </w:tcPr>
          <w:p>
            <w:pPr>
              <w:widowControl/>
              <w:jc w:val="center"/>
              <w:rPr>
                <w:rFonts w:ascii="等线" w:hAnsi="等线" w:eastAsia="等线" w:cs="宋体"/>
                <w:b/>
                <w:bCs/>
                <w:color w:val="FFFFFF"/>
                <w:kern w:val="0"/>
                <w:sz w:val="22"/>
                <w:szCs w:val="20"/>
              </w:rPr>
            </w:pPr>
            <w:r>
              <w:rPr>
                <w:rFonts w:hint="eastAsia" w:ascii="等线" w:hAnsi="等线" w:eastAsia="等线" w:cs="宋体"/>
                <w:b/>
                <w:bCs/>
                <w:color w:val="FFFFFF"/>
                <w:kern w:val="0"/>
                <w:sz w:val="22"/>
                <w:szCs w:val="20"/>
              </w:rPr>
              <w:t>总费用（万元/年）</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vMerge w:val="continue"/>
            <w:shd w:val="clear" w:color="auto" w:fill="D9E2F3"/>
          </w:tcPr>
          <w:p>
            <w:pPr>
              <w:widowControl/>
              <w:jc w:val="left"/>
              <w:rPr>
                <w:rFonts w:ascii="等线" w:hAnsi="等线" w:eastAsia="等线" w:cs="宋体"/>
                <w:b/>
                <w:bCs/>
                <w:color w:val="FFFFFF"/>
                <w:kern w:val="0"/>
                <w:sz w:val="20"/>
                <w:szCs w:val="21"/>
              </w:rPr>
            </w:pPr>
          </w:p>
        </w:tc>
        <w:tc>
          <w:tcPr>
            <w:tcW w:w="1333" w:type="dxa"/>
            <w:vMerge w:val="continue"/>
            <w:shd w:val="clear" w:color="auto" w:fill="D9E2F3"/>
          </w:tcPr>
          <w:p>
            <w:pPr>
              <w:widowControl/>
              <w:jc w:val="left"/>
              <w:rPr>
                <w:rFonts w:ascii="Times New Roman" w:hAnsi="Times New Roman" w:eastAsia="等线" w:cs="Times New Roman"/>
                <w:b/>
                <w:bCs/>
                <w:color w:val="FFFFFF"/>
                <w:kern w:val="0"/>
                <w:sz w:val="20"/>
                <w:szCs w:val="21"/>
              </w:rPr>
            </w:pPr>
          </w:p>
        </w:tc>
        <w:tc>
          <w:tcPr>
            <w:tcW w:w="2020" w:type="dxa"/>
            <w:shd w:val="clear" w:color="auto" w:fill="4472C4"/>
          </w:tcPr>
          <w:p>
            <w:pPr>
              <w:widowControl/>
              <w:jc w:val="center"/>
              <w:rPr>
                <w:rFonts w:ascii="Times New Roman" w:hAnsi="Times New Roman" w:eastAsia="等线" w:cs="Times New Roman"/>
                <w:b/>
                <w:bCs/>
                <w:color w:val="FFFFFF"/>
                <w:kern w:val="0"/>
                <w:sz w:val="20"/>
                <w:szCs w:val="21"/>
              </w:rPr>
            </w:pPr>
            <w:r>
              <w:rPr>
                <w:rFonts w:hint="eastAsia" w:ascii="等线" w:hAnsi="等线" w:eastAsia="等线" w:cs="Times New Roman"/>
                <w:b/>
                <w:bCs/>
                <w:color w:val="FFFFFF"/>
                <w:kern w:val="0"/>
                <w:sz w:val="20"/>
                <w:szCs w:val="21"/>
              </w:rPr>
              <w:t>小时耗量</w:t>
            </w:r>
          </w:p>
        </w:tc>
        <w:tc>
          <w:tcPr>
            <w:tcW w:w="1480" w:type="dxa"/>
            <w:shd w:val="clear" w:color="auto" w:fill="4472C4"/>
          </w:tcPr>
          <w:p>
            <w:pPr>
              <w:widowControl/>
              <w:jc w:val="center"/>
              <w:rPr>
                <w:rFonts w:ascii="Times New Roman" w:hAnsi="Times New Roman" w:eastAsia="等线" w:cs="Times New Roman"/>
                <w:b/>
                <w:bCs/>
                <w:color w:val="FFFFFF"/>
                <w:kern w:val="0"/>
                <w:sz w:val="20"/>
                <w:szCs w:val="21"/>
              </w:rPr>
            </w:pPr>
            <w:r>
              <w:rPr>
                <w:rFonts w:hint="eastAsia" w:ascii="等线" w:hAnsi="等线" w:eastAsia="等线" w:cs="Times New Roman"/>
                <w:b/>
                <w:bCs/>
                <w:color w:val="FFFFFF"/>
                <w:kern w:val="0"/>
                <w:sz w:val="20"/>
                <w:szCs w:val="21"/>
              </w:rPr>
              <w:t>年耗量</w:t>
            </w:r>
          </w:p>
        </w:tc>
        <w:tc>
          <w:tcPr>
            <w:tcW w:w="2000" w:type="dxa"/>
            <w:vMerge w:val="continue"/>
            <w:shd w:val="clear" w:color="auto" w:fill="D9E2F3"/>
          </w:tcPr>
          <w:p>
            <w:pPr>
              <w:widowControl/>
              <w:jc w:val="left"/>
              <w:rPr>
                <w:rFonts w:ascii="等线" w:hAnsi="等线" w:eastAsia="等线" w:cs="宋体"/>
                <w:color w:val="FFFFFF"/>
                <w:kern w:val="0"/>
                <w:sz w:val="22"/>
                <w:szCs w:val="20"/>
              </w:rPr>
            </w:pPr>
          </w:p>
        </w:tc>
        <w:tc>
          <w:tcPr>
            <w:tcW w:w="2093" w:type="dxa"/>
            <w:vMerge w:val="continue"/>
            <w:shd w:val="clear" w:color="auto" w:fill="D9E2F3"/>
          </w:tcPr>
          <w:p>
            <w:pPr>
              <w:widowControl/>
              <w:jc w:val="left"/>
              <w:rPr>
                <w:rFonts w:ascii="等线" w:hAnsi="等线" w:eastAsia="等线" w:cs="宋体"/>
                <w:color w:val="FFFFFF"/>
                <w:kern w:val="0"/>
                <w:sz w:val="22"/>
                <w:szCs w:val="20"/>
              </w:rPr>
            </w:pP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三氟甲烷</w:t>
            </w:r>
          </w:p>
        </w:tc>
        <w:tc>
          <w:tcPr>
            <w:tcW w:w="133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4.32861021</w:t>
            </w:r>
          </w:p>
        </w:tc>
        <w:tc>
          <w:tcPr>
            <w:tcW w:w="148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34628.88168</w:t>
            </w:r>
          </w:p>
        </w:tc>
        <w:tc>
          <w:tcPr>
            <w:tcW w:w="200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120</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415.5465802</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电</w:t>
            </w:r>
          </w:p>
        </w:tc>
        <w:tc>
          <w:tcPr>
            <w:tcW w:w="133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kW·h/a</w:t>
            </w:r>
          </w:p>
        </w:tc>
        <w:tc>
          <w:tcPr>
            <w:tcW w:w="202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7834.99836</w:t>
            </w:r>
          </w:p>
        </w:tc>
        <w:tc>
          <w:tcPr>
            <w:tcW w:w="148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62679986.88</w:t>
            </w:r>
          </w:p>
        </w:tc>
        <w:tc>
          <w:tcPr>
            <w:tcW w:w="200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0.75</w:t>
            </w:r>
          </w:p>
        </w:tc>
        <w:tc>
          <w:tcPr>
            <w:tcW w:w="209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4700.999016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0.25MPa低压蒸汽</w:t>
            </w:r>
          </w:p>
        </w:tc>
        <w:tc>
          <w:tcPr>
            <w:tcW w:w="133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100.159324</w:t>
            </w:r>
          </w:p>
        </w:tc>
        <w:tc>
          <w:tcPr>
            <w:tcW w:w="148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801274.592</w:t>
            </w:r>
          </w:p>
        </w:tc>
        <w:tc>
          <w:tcPr>
            <w:tcW w:w="200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200</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16025.49184</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4MPa中压蒸汽</w:t>
            </w:r>
          </w:p>
        </w:tc>
        <w:tc>
          <w:tcPr>
            <w:tcW w:w="133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535.290856</w:t>
            </w:r>
          </w:p>
        </w:tc>
        <w:tc>
          <w:tcPr>
            <w:tcW w:w="148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4282326.848</w:t>
            </w:r>
          </w:p>
        </w:tc>
        <w:tc>
          <w:tcPr>
            <w:tcW w:w="200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265</w:t>
            </w:r>
          </w:p>
        </w:tc>
        <w:tc>
          <w:tcPr>
            <w:tcW w:w="209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113481.6615</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20℃冷却水</w:t>
            </w:r>
          </w:p>
        </w:tc>
        <w:tc>
          <w:tcPr>
            <w:tcW w:w="133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1963.30082</w:t>
            </w:r>
          </w:p>
        </w:tc>
        <w:tc>
          <w:tcPr>
            <w:tcW w:w="148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15706406.56</w:t>
            </w:r>
          </w:p>
        </w:tc>
        <w:tc>
          <w:tcPr>
            <w:tcW w:w="200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0.5</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785.320328</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-25℃冷冻盐水</w:t>
            </w:r>
          </w:p>
        </w:tc>
        <w:tc>
          <w:tcPr>
            <w:tcW w:w="133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4.47836715</w:t>
            </w:r>
          </w:p>
        </w:tc>
        <w:tc>
          <w:tcPr>
            <w:tcW w:w="148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35826.9372</w:t>
            </w:r>
          </w:p>
        </w:tc>
        <w:tc>
          <w:tcPr>
            <w:tcW w:w="200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30</w:t>
            </w:r>
          </w:p>
        </w:tc>
        <w:tc>
          <w:tcPr>
            <w:tcW w:w="209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107.4808116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氮气</w:t>
            </w:r>
          </w:p>
        </w:tc>
        <w:tc>
          <w:tcPr>
            <w:tcW w:w="133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Nm3/a</w:t>
            </w:r>
          </w:p>
        </w:tc>
        <w:tc>
          <w:tcPr>
            <w:tcW w:w="202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7.85</w:t>
            </w:r>
          </w:p>
        </w:tc>
        <w:tc>
          <w:tcPr>
            <w:tcW w:w="148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62800</w:t>
            </w:r>
          </w:p>
        </w:tc>
        <w:tc>
          <w:tcPr>
            <w:tcW w:w="200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0.2</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1.256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仪表空气</w:t>
            </w:r>
          </w:p>
        </w:tc>
        <w:tc>
          <w:tcPr>
            <w:tcW w:w="133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Nm3/a</w:t>
            </w:r>
          </w:p>
        </w:tc>
        <w:tc>
          <w:tcPr>
            <w:tcW w:w="202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6</w:t>
            </w:r>
          </w:p>
        </w:tc>
        <w:tc>
          <w:tcPr>
            <w:tcW w:w="148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48000</w:t>
            </w:r>
          </w:p>
        </w:tc>
        <w:tc>
          <w:tcPr>
            <w:tcW w:w="2000"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0.12</w:t>
            </w:r>
          </w:p>
        </w:tc>
        <w:tc>
          <w:tcPr>
            <w:tcW w:w="209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0.576</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2126" w:type="dxa"/>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燃料气</w:t>
            </w:r>
          </w:p>
        </w:tc>
        <w:tc>
          <w:tcPr>
            <w:tcW w:w="133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t/a</w:t>
            </w:r>
          </w:p>
        </w:tc>
        <w:tc>
          <w:tcPr>
            <w:tcW w:w="202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143.946359</w:t>
            </w:r>
          </w:p>
        </w:tc>
        <w:tc>
          <w:tcPr>
            <w:tcW w:w="148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1151570.872</w:t>
            </w:r>
          </w:p>
        </w:tc>
        <w:tc>
          <w:tcPr>
            <w:tcW w:w="2000"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119.58</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137704.8449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8959" w:type="dxa"/>
            <w:gridSpan w:val="5"/>
            <w:shd w:val="clear" w:color="auto" w:fill="D9E2F3"/>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合计（万元/年）</w:t>
            </w:r>
          </w:p>
        </w:tc>
        <w:tc>
          <w:tcPr>
            <w:tcW w:w="2093" w:type="dxa"/>
            <w:shd w:val="clear" w:color="auto" w:fill="D9E2F3"/>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273223.1769</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280" w:hRule="atLeast"/>
          <w:jc w:val="center"/>
        </w:trPr>
        <w:tc>
          <w:tcPr>
            <w:tcW w:w="8959" w:type="dxa"/>
            <w:gridSpan w:val="5"/>
            <w:noWrap/>
          </w:tcPr>
          <w:p>
            <w:pPr>
              <w:widowControl/>
              <w:jc w:val="center"/>
              <w:rPr>
                <w:rFonts w:ascii="等线" w:hAnsi="等线" w:eastAsia="等线" w:cs="宋体"/>
                <w:b/>
                <w:bCs/>
                <w:color w:val="000000"/>
                <w:kern w:val="0"/>
                <w:sz w:val="22"/>
                <w:szCs w:val="20"/>
              </w:rPr>
            </w:pPr>
            <w:r>
              <w:rPr>
                <w:rFonts w:hint="eastAsia" w:ascii="等线" w:hAnsi="等线" w:eastAsia="等线" w:cs="宋体"/>
                <w:b/>
                <w:bCs/>
                <w:color w:val="000000"/>
                <w:kern w:val="0"/>
                <w:sz w:val="22"/>
                <w:szCs w:val="20"/>
              </w:rPr>
              <w:t>总计直接材料费用（万元/年）</w:t>
            </w:r>
          </w:p>
        </w:tc>
        <w:tc>
          <w:tcPr>
            <w:tcW w:w="2093" w:type="dxa"/>
            <w:noWrap/>
          </w:tcPr>
          <w:p>
            <w:pPr>
              <w:widowControl/>
              <w:jc w:val="center"/>
              <w:rPr>
                <w:rFonts w:ascii="等线" w:hAnsi="等线" w:eastAsia="等线" w:cs="宋体"/>
                <w:color w:val="000000"/>
                <w:kern w:val="0"/>
                <w:sz w:val="22"/>
                <w:szCs w:val="20"/>
              </w:rPr>
            </w:pPr>
            <w:r>
              <w:rPr>
                <w:rFonts w:hint="eastAsia" w:ascii="等线" w:hAnsi="等线" w:eastAsia="等线" w:cs="宋体"/>
                <w:color w:val="000000"/>
                <w:kern w:val="0"/>
                <w:sz w:val="22"/>
                <w:szCs w:val="20"/>
              </w:rPr>
              <w:t>445516.9464</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keepNext/>
        <w:keepLines/>
        <w:outlineLvl w:val="3"/>
        <w:rPr>
          <w:rFonts w:ascii="Times New Roman" w:hAnsi="Times New Roman" w:cs="Times New Roman"/>
          <w:b/>
          <w:bCs/>
          <w:sz w:val="24"/>
          <w:szCs w:val="21"/>
        </w:rPr>
      </w:pPr>
      <w:r>
        <w:rPr>
          <w:rFonts w:ascii="Times New Roman" w:hAnsi="Times New Roman" w:cs="Times New Roman"/>
          <w:b/>
          <w:bCs/>
          <w:sz w:val="24"/>
          <w:szCs w:val="28"/>
        </w:rPr>
        <w:t>2.1.2.4 其他产品成本费用</w:t>
      </w:r>
    </w:p>
    <w:p>
      <w:pPr>
        <w:autoSpaceDE w:val="0"/>
        <w:autoSpaceDN w:val="0"/>
        <w:spacing w:before="156" w:beforeLines="50" w:after="156" w:afterLines="50"/>
        <w:ind w:firstLine="420" w:firstLineChars="200"/>
        <w:jc w:val="left"/>
        <w:rPr>
          <w:rFonts w:ascii="Times New Roman" w:hAnsi="Times New Roman" w:cs="Times New Roman"/>
        </w:rPr>
      </w:pPr>
      <w:r>
        <w:rPr>
          <w:rFonts w:ascii="Times New Roman" w:hAnsi="Times New Roman" w:cs="Times New Roman"/>
        </w:rPr>
        <w:t>产品成本费用还包括职工薪酬及福利、折旧费、摊销费、维修费、管理费、财务费、销售费用和其他费用，均按照一定比例选取</w:t>
      </w:r>
      <w:r>
        <w:rPr>
          <w:rFonts w:hint="eastAsia" w:ascii="Times New Roman" w:hAnsi="Times New Roman" w:cs="Times New Roman"/>
        </w:rPr>
        <w:t>。</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（1）折旧费</w:t>
      </w:r>
    </w:p>
    <w:tbl>
      <w:tblPr>
        <w:tblStyle w:val="16"/>
        <w:tblW w:w="10887" w:type="dxa"/>
        <w:jc w:val="center"/>
        <w:tblLayout w:type="autofit"/>
        <w:tblCellMar>
          <w:top w:w="0" w:type="dxa"/>
          <w:left w:w="108" w:type="dxa"/>
          <w:bottom w:w="0" w:type="dxa"/>
          <w:right w:w="108" w:type="dxa"/>
        </w:tblCellMar>
      </w:tblPr>
      <w:tblGrid>
        <w:gridCol w:w="2427"/>
        <w:gridCol w:w="1760"/>
        <w:gridCol w:w="1740"/>
        <w:gridCol w:w="2740"/>
        <w:gridCol w:w="2220"/>
      </w:tblGrid>
      <w:tr>
        <w:tblPrEx>
          <w:tblCellMar>
            <w:top w:w="0" w:type="dxa"/>
            <w:left w:w="108" w:type="dxa"/>
            <w:bottom w:w="0" w:type="dxa"/>
            <w:right w:w="108" w:type="dxa"/>
          </w:tblCellMar>
        </w:tblPrEx>
        <w:trPr>
          <w:trHeight w:val="280" w:hRule="atLeast"/>
          <w:jc w:val="center"/>
        </w:trPr>
        <w:tc>
          <w:tcPr>
            <w:tcW w:w="2427"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76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原值（万元）</w:t>
            </w:r>
          </w:p>
        </w:tc>
        <w:tc>
          <w:tcPr>
            <w:tcW w:w="17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折旧年限（年）</w:t>
            </w:r>
          </w:p>
        </w:tc>
        <w:tc>
          <w:tcPr>
            <w:tcW w:w="27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年折旧率</w:t>
            </w:r>
          </w:p>
        </w:tc>
        <w:tc>
          <w:tcPr>
            <w:tcW w:w="222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年折旧费（万元/年)</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生产设备</w:t>
            </w:r>
          </w:p>
        </w:tc>
        <w:tc>
          <w:tcPr>
            <w:tcW w:w="176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5348.36 </w:t>
            </w:r>
          </w:p>
        </w:tc>
        <w:tc>
          <w:tcPr>
            <w:tcW w:w="1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10.00 </w:t>
            </w:r>
          </w:p>
        </w:tc>
        <w:tc>
          <w:tcPr>
            <w:tcW w:w="2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0.10 </w:t>
            </w:r>
          </w:p>
        </w:tc>
        <w:tc>
          <w:tcPr>
            <w:tcW w:w="22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508.09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房屋建筑</w:t>
            </w:r>
          </w:p>
        </w:tc>
        <w:tc>
          <w:tcPr>
            <w:tcW w:w="176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7846.04 </w:t>
            </w:r>
          </w:p>
        </w:tc>
        <w:tc>
          <w:tcPr>
            <w:tcW w:w="17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20.00 </w:t>
            </w:r>
          </w:p>
        </w:tc>
        <w:tc>
          <w:tcPr>
            <w:tcW w:w="27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0.05 </w:t>
            </w:r>
          </w:p>
        </w:tc>
        <w:tc>
          <w:tcPr>
            <w:tcW w:w="22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372.69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生产器具、工具、家具</w:t>
            </w:r>
          </w:p>
        </w:tc>
        <w:tc>
          <w:tcPr>
            <w:tcW w:w="176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6016.90 </w:t>
            </w:r>
          </w:p>
        </w:tc>
        <w:tc>
          <w:tcPr>
            <w:tcW w:w="1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5.00 </w:t>
            </w:r>
          </w:p>
        </w:tc>
        <w:tc>
          <w:tcPr>
            <w:tcW w:w="2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0.19 </w:t>
            </w:r>
          </w:p>
        </w:tc>
        <w:tc>
          <w:tcPr>
            <w:tcW w:w="22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1143.21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电气设备</w:t>
            </w:r>
          </w:p>
        </w:tc>
        <w:tc>
          <w:tcPr>
            <w:tcW w:w="176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641.80 </w:t>
            </w:r>
          </w:p>
        </w:tc>
        <w:tc>
          <w:tcPr>
            <w:tcW w:w="17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5.00 </w:t>
            </w:r>
          </w:p>
        </w:tc>
        <w:tc>
          <w:tcPr>
            <w:tcW w:w="274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0.19 </w:t>
            </w:r>
          </w:p>
        </w:tc>
        <w:tc>
          <w:tcPr>
            <w:tcW w:w="22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121.94 </w:t>
            </w:r>
          </w:p>
        </w:tc>
      </w:tr>
      <w:tr>
        <w:tblPrEx>
          <w:tblCellMar>
            <w:top w:w="0" w:type="dxa"/>
            <w:left w:w="108" w:type="dxa"/>
            <w:bottom w:w="0" w:type="dxa"/>
            <w:right w:w="108" w:type="dxa"/>
          </w:tblCellMar>
        </w:tblPrEx>
        <w:trPr>
          <w:trHeight w:val="280" w:hRule="atLeast"/>
          <w:jc w:val="center"/>
        </w:trPr>
        <w:tc>
          <w:tcPr>
            <w:tcW w:w="2427"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车辆</w:t>
            </w:r>
          </w:p>
        </w:tc>
        <w:tc>
          <w:tcPr>
            <w:tcW w:w="176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1069.67 </w:t>
            </w:r>
          </w:p>
        </w:tc>
        <w:tc>
          <w:tcPr>
            <w:tcW w:w="1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5.00 </w:t>
            </w:r>
          </w:p>
        </w:tc>
        <w:tc>
          <w:tcPr>
            <w:tcW w:w="274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0.19 </w:t>
            </w:r>
          </w:p>
        </w:tc>
        <w:tc>
          <w:tcPr>
            <w:tcW w:w="22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203.24 </w:t>
            </w:r>
          </w:p>
        </w:tc>
      </w:tr>
      <w:tr>
        <w:tblPrEx>
          <w:tblCellMar>
            <w:top w:w="0" w:type="dxa"/>
            <w:left w:w="108" w:type="dxa"/>
            <w:bottom w:w="0" w:type="dxa"/>
            <w:right w:w="108" w:type="dxa"/>
          </w:tblCellMar>
        </w:tblPrEx>
        <w:trPr>
          <w:trHeight w:val="280" w:hRule="atLeast"/>
          <w:jc w:val="center"/>
        </w:trPr>
        <w:tc>
          <w:tcPr>
            <w:tcW w:w="8667" w:type="dxa"/>
            <w:gridSpan w:val="4"/>
            <w:tcBorders>
              <w:top w:val="single" w:color="B4C6E7" w:sz="4" w:space="0"/>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总计</w:t>
            </w:r>
          </w:p>
        </w:tc>
        <w:tc>
          <w:tcPr>
            <w:tcW w:w="22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xml:space="preserve">2349.17 </w:t>
            </w:r>
          </w:p>
        </w:tc>
      </w:tr>
    </w:tbl>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（2）摊销费</w:t>
      </w:r>
    </w:p>
    <w:tbl>
      <w:tblPr>
        <w:tblStyle w:val="16"/>
        <w:tblW w:w="4040" w:type="dxa"/>
        <w:jc w:val="center"/>
        <w:tblLayout w:type="autofit"/>
        <w:tblCellMar>
          <w:top w:w="0" w:type="dxa"/>
          <w:left w:w="108" w:type="dxa"/>
          <w:bottom w:w="0" w:type="dxa"/>
          <w:right w:w="108" w:type="dxa"/>
        </w:tblCellMar>
      </w:tblPr>
      <w:tblGrid>
        <w:gridCol w:w="2280"/>
        <w:gridCol w:w="1760"/>
      </w:tblGrid>
      <w:tr>
        <w:tblPrEx>
          <w:tblCellMar>
            <w:top w:w="0" w:type="dxa"/>
            <w:left w:w="108" w:type="dxa"/>
            <w:bottom w:w="0" w:type="dxa"/>
            <w:right w:w="108" w:type="dxa"/>
          </w:tblCellMar>
        </w:tblPrEx>
        <w:trPr>
          <w:trHeight w:val="280" w:hRule="atLeast"/>
          <w:jc w:val="center"/>
        </w:trPr>
        <w:tc>
          <w:tcPr>
            <w:tcW w:w="228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名称</w:t>
            </w:r>
          </w:p>
        </w:tc>
        <w:tc>
          <w:tcPr>
            <w:tcW w:w="176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费用（万元）</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无形资产费用</w:t>
            </w:r>
          </w:p>
        </w:tc>
        <w:tc>
          <w:tcPr>
            <w:tcW w:w="176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5911.46875</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递延资产费用</w:t>
            </w:r>
          </w:p>
        </w:tc>
        <w:tc>
          <w:tcPr>
            <w:tcW w:w="176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717.3508766</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总计</w:t>
            </w:r>
          </w:p>
        </w:tc>
        <w:tc>
          <w:tcPr>
            <w:tcW w:w="176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6628.819627</w:t>
            </w:r>
          </w:p>
        </w:tc>
      </w:tr>
      <w:tr>
        <w:tblPrEx>
          <w:tblCellMar>
            <w:top w:w="0" w:type="dxa"/>
            <w:left w:w="108" w:type="dxa"/>
            <w:bottom w:w="0" w:type="dxa"/>
            <w:right w:w="108" w:type="dxa"/>
          </w:tblCellMar>
        </w:tblPrEx>
        <w:trPr>
          <w:trHeight w:val="280" w:hRule="atLeast"/>
          <w:jc w:val="center"/>
        </w:trPr>
        <w:tc>
          <w:tcPr>
            <w:tcW w:w="228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摊销费</w:t>
            </w:r>
          </w:p>
        </w:tc>
        <w:tc>
          <w:tcPr>
            <w:tcW w:w="176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473.4871162</w:t>
            </w:r>
          </w:p>
        </w:tc>
      </w:tr>
    </w:tbl>
    <w:p>
      <w:pPr>
        <w:autoSpaceDE w:val="0"/>
        <w:autoSpaceDN w:val="0"/>
        <w:spacing w:before="156" w:beforeLines="50" w:after="156" w:afterLines="50"/>
        <w:ind w:firstLine="420" w:firstLineChars="200"/>
        <w:jc w:val="left"/>
        <w:rPr>
          <w:rFonts w:ascii="Times New Roman" w:hAnsi="Times New Roman" w:cs="Times New Roman"/>
        </w:rPr>
      </w:pP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（3）修理费</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修理费按设备总投资额的</w:t>
      </w:r>
      <w:r>
        <w:rPr>
          <w:rFonts w:ascii="Times New Roman" w:hAnsi="Times New Roman" w:cs="Times New Roman"/>
        </w:rPr>
        <w:t xml:space="preserve"> 1.2%计提，</w:t>
      </w:r>
      <w:r>
        <w:rPr>
          <w:rFonts w:hint="eastAsia" w:ascii="Times New Roman" w:hAnsi="Times New Roman" w:cs="Times New Roman"/>
        </w:rPr>
        <w:t>则年修理费总额为：</w:t>
      </w:r>
      <w:r>
        <w:rPr>
          <w:rFonts w:ascii="Times New Roman" w:hAnsi="Times New Roman" w:cs="Times New Roman"/>
        </w:rPr>
        <w:t>64.18</w:t>
      </w:r>
      <w:r>
        <w:rPr>
          <w:rFonts w:hint="eastAsia" w:ascii="Times New Roman" w:hAnsi="Times New Roman" w:cs="Times New Roman"/>
        </w:rPr>
        <w:t>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（4）管理费</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本项目中管理费用按直接工资总额的4</w:t>
      </w:r>
      <w:r>
        <w:rPr>
          <w:rFonts w:ascii="Times New Roman" w:hAnsi="Times New Roman" w:cs="Times New Roman"/>
        </w:rPr>
        <w:t>0%</w:t>
      </w:r>
      <w:r>
        <w:rPr>
          <w:rFonts w:hint="eastAsia" w:ascii="Times New Roman" w:hAnsi="Times New Roman" w:cs="Times New Roman"/>
        </w:rPr>
        <w:t>计提，则每年需支付的管理费为：4</w:t>
      </w:r>
      <w:r>
        <w:rPr>
          <w:rFonts w:ascii="Times New Roman" w:hAnsi="Times New Roman" w:cs="Times New Roman"/>
        </w:rPr>
        <w:t>96</w:t>
      </w:r>
      <w:r>
        <w:rPr>
          <w:rFonts w:hint="eastAsia" w:ascii="Times New Roman" w:hAnsi="Times New Roman" w:cs="Times New Roman"/>
        </w:rPr>
        <w:t>ⅹ</w:t>
      </w:r>
      <w:r>
        <w:rPr>
          <w:rFonts w:ascii="Times New Roman" w:hAnsi="Times New Roman" w:cs="Times New Roman"/>
        </w:rPr>
        <w:t>0.4=198.4</w:t>
      </w:r>
      <w:r>
        <w:rPr>
          <w:rFonts w:hint="eastAsia" w:ascii="Times New Roman" w:hAnsi="Times New Roman" w:cs="Times New Roman"/>
        </w:rPr>
        <w:t>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（5）财务费</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根据银行贷款金额，平均每年财务费用为5</w:t>
      </w:r>
      <w:r>
        <w:rPr>
          <w:rFonts w:ascii="Times New Roman" w:hAnsi="Times New Roman" w:cs="Times New Roman"/>
        </w:rPr>
        <w:t>93.75</w:t>
      </w:r>
      <w:r>
        <w:rPr>
          <w:rFonts w:hint="eastAsia" w:ascii="Times New Roman" w:hAnsi="Times New Roman" w:cs="Times New Roman"/>
        </w:rPr>
        <w:t>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（6）销售费用</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本项目按销售收入的1</w:t>
      </w:r>
      <w:r>
        <w:rPr>
          <w:rFonts w:ascii="Times New Roman" w:hAnsi="Times New Roman" w:cs="Times New Roman"/>
        </w:rPr>
        <w:t>%</w:t>
      </w:r>
      <w:r>
        <w:rPr>
          <w:rFonts w:hint="eastAsia" w:ascii="Times New Roman" w:hAnsi="Times New Roman" w:cs="Times New Roman"/>
        </w:rPr>
        <w:t>计算销售费用总额，即为：4</w:t>
      </w:r>
      <w:r>
        <w:rPr>
          <w:rFonts w:ascii="Times New Roman" w:hAnsi="Times New Roman" w:cs="Times New Roman"/>
        </w:rPr>
        <w:t>88257</w:t>
      </w:r>
      <w:r>
        <w:rPr>
          <w:rFonts w:hint="eastAsia" w:ascii="Times New Roman" w:hAnsi="Times New Roman" w:cs="Times New Roman"/>
        </w:rPr>
        <w:t>ⅹ1</w:t>
      </w:r>
      <w:r>
        <w:rPr>
          <w:rFonts w:ascii="Times New Roman" w:hAnsi="Times New Roman" w:cs="Times New Roman"/>
        </w:rPr>
        <w:t>%=5221.27</w:t>
      </w:r>
      <w:r>
        <w:rPr>
          <w:rFonts w:hint="eastAsia" w:ascii="Times New Roman" w:hAnsi="Times New Roman" w:cs="Times New Roman"/>
        </w:rPr>
        <w:t>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（7）三废处理费用</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本项目会产生一定量的三废，本项目废水处理费用为5ⅹ</w:t>
      </w:r>
      <w:r>
        <w:rPr>
          <w:rFonts w:ascii="Times New Roman" w:hAnsi="Times New Roman" w:cs="Times New Roman"/>
        </w:rPr>
        <w:t>12</w:t>
      </w:r>
      <w:r>
        <w:rPr>
          <w:rFonts w:hint="eastAsia" w:ascii="Times New Roman" w:hAnsi="Times New Roman" w:cs="Times New Roman"/>
        </w:rPr>
        <w:t>.</w:t>
      </w:r>
      <w:r>
        <w:rPr>
          <w:rFonts w:ascii="Times New Roman" w:hAnsi="Times New Roman" w:cs="Times New Roman"/>
        </w:rPr>
        <w:t>482952=62.415</w:t>
      </w:r>
      <w:r>
        <w:rPr>
          <w:rFonts w:hint="eastAsia" w:ascii="Times New Roman" w:hAnsi="Times New Roman" w:cs="Times New Roman"/>
        </w:rPr>
        <w:t>万元；本项目废气只涉及精馏塔的驰放气，处理费用为5万元；针对废渣，将其送回厂家回收处理，催化剂废渣处理费用为</w:t>
      </w:r>
      <w:r>
        <w:rPr>
          <w:rFonts w:ascii="Times New Roman" w:hAnsi="Times New Roman" w:cs="Times New Roman"/>
        </w:rPr>
        <w:t>50</w:t>
      </w:r>
      <w:r>
        <w:rPr>
          <w:rFonts w:hint="eastAsia" w:ascii="Times New Roman" w:hAnsi="Times New Roman" w:cs="Times New Roman"/>
        </w:rPr>
        <w:t>万元/年，生产包装物和生活垃圾处理费用为2</w:t>
      </w:r>
      <w:r>
        <w:rPr>
          <w:rFonts w:ascii="Times New Roman" w:hAnsi="Times New Roman" w:cs="Times New Roman"/>
        </w:rPr>
        <w:t>00</w:t>
      </w:r>
      <w:r>
        <w:rPr>
          <w:rFonts w:hint="eastAsia" w:ascii="Times New Roman" w:hAnsi="Times New Roman" w:cs="Times New Roman"/>
        </w:rPr>
        <w:t>万元/年，故本项目三废处理费用总共为3</w:t>
      </w:r>
      <w:r>
        <w:rPr>
          <w:rFonts w:ascii="Times New Roman" w:hAnsi="Times New Roman" w:cs="Times New Roman"/>
        </w:rPr>
        <w:t>17.42</w:t>
      </w:r>
      <w:r>
        <w:rPr>
          <w:rFonts w:hint="eastAsia" w:ascii="Times New Roman" w:hAnsi="Times New Roman" w:cs="Times New Roman"/>
        </w:rPr>
        <w:t>万元。</w:t>
      </w:r>
    </w:p>
    <w:p>
      <w:pPr>
        <w:keepNext/>
        <w:keepLines/>
        <w:outlineLvl w:val="3"/>
        <w:rPr>
          <w:rFonts w:ascii="Times New Roman" w:hAnsi="Times New Roman" w:cs="Times New Roman"/>
          <w:b/>
          <w:bCs/>
          <w:sz w:val="24"/>
          <w:szCs w:val="28"/>
        </w:rPr>
      </w:pPr>
      <w:r>
        <w:rPr>
          <w:rFonts w:ascii="Times New Roman" w:hAnsi="Times New Roman" w:cs="Times New Roman"/>
          <w:b/>
          <w:bCs/>
          <w:sz w:val="24"/>
          <w:szCs w:val="28"/>
        </w:rPr>
        <w:t>2.1.2.5 产品成本和费用汇总</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2-3 </w:t>
      </w:r>
      <w:r>
        <w:rPr>
          <w:rFonts w:hint="eastAsia" w:ascii="Times New Roman" w:hAnsi="Times New Roman" w:cs="Times New Roman"/>
          <w:b/>
          <w:sz w:val="18"/>
          <w:szCs w:val="18"/>
        </w:rPr>
        <w:t>产品成本和费用估算表</w:t>
      </w:r>
    </w:p>
    <w:tbl>
      <w:tblPr>
        <w:tblStyle w:val="16"/>
        <w:tblW w:w="8520" w:type="dxa"/>
        <w:tblInd w:w="0" w:type="dxa"/>
        <w:tblLayout w:type="autofit"/>
        <w:tblCellMar>
          <w:top w:w="0" w:type="dxa"/>
          <w:left w:w="108" w:type="dxa"/>
          <w:bottom w:w="0" w:type="dxa"/>
          <w:right w:w="108" w:type="dxa"/>
        </w:tblCellMar>
      </w:tblPr>
      <w:tblGrid>
        <w:gridCol w:w="2280"/>
        <w:gridCol w:w="1760"/>
        <w:gridCol w:w="1740"/>
        <w:gridCol w:w="2740"/>
      </w:tblGrid>
      <w:tr>
        <w:tblPrEx>
          <w:tblCellMar>
            <w:top w:w="0" w:type="dxa"/>
            <w:left w:w="108" w:type="dxa"/>
            <w:bottom w:w="0" w:type="dxa"/>
            <w:right w:w="108" w:type="dxa"/>
          </w:tblCellMar>
        </w:tblPrEx>
        <w:trPr>
          <w:trHeight w:val="280" w:hRule="atLeast"/>
        </w:trPr>
        <w:tc>
          <w:tcPr>
            <w:tcW w:w="2280" w:type="dxa"/>
            <w:tcBorders>
              <w:top w:val="single" w:color="B4C6E7" w:sz="4" w:space="0"/>
              <w:left w:val="single" w:color="B4C6E7" w:sz="4" w:space="0"/>
              <w:bottom w:val="single" w:color="B4C6E7" w:sz="4" w:space="0"/>
              <w:right w:val="single" w:color="B4C6E7" w:sz="4"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序号</w:t>
            </w:r>
          </w:p>
        </w:tc>
        <w:tc>
          <w:tcPr>
            <w:tcW w:w="1760" w:type="dxa"/>
            <w:tcBorders>
              <w:top w:val="single" w:color="B4C6E7" w:sz="4" w:space="0"/>
              <w:left w:val="nil"/>
              <w:bottom w:val="single" w:color="B4C6E7" w:sz="4" w:space="0"/>
              <w:right w:val="single" w:color="B4C6E7" w:sz="4"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项目</w:t>
            </w:r>
          </w:p>
        </w:tc>
        <w:tc>
          <w:tcPr>
            <w:tcW w:w="17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cs="宋体"/>
                <w:b/>
                <w:bCs/>
                <w:color w:val="FFFFFF"/>
                <w:kern w:val="0"/>
                <w:szCs w:val="21"/>
              </w:rPr>
            </w:pPr>
            <w:r>
              <w:rPr>
                <w:rFonts w:hint="eastAsia" w:cs="宋体"/>
                <w:b/>
                <w:bCs/>
                <w:color w:val="FFFFFF"/>
                <w:kern w:val="0"/>
                <w:szCs w:val="21"/>
              </w:rPr>
              <w:t>估算成本（万元）</w:t>
            </w:r>
          </w:p>
        </w:tc>
        <w:tc>
          <w:tcPr>
            <w:tcW w:w="274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cs="宋体"/>
                <w:b/>
                <w:bCs/>
                <w:color w:val="FFFFFF"/>
                <w:kern w:val="0"/>
                <w:szCs w:val="21"/>
              </w:rPr>
            </w:pPr>
            <w:r>
              <w:rPr>
                <w:rFonts w:hint="eastAsia" w:cs="宋体"/>
                <w:b/>
                <w:bCs/>
                <w:color w:val="FFFFFF"/>
                <w:kern w:val="0"/>
                <w:szCs w:val="21"/>
              </w:rPr>
              <w:t>占生产成本比例（</w:t>
            </w:r>
            <w:r>
              <w:rPr>
                <w:rFonts w:ascii="Times New Roman" w:hAnsi="Times New Roman" w:cs="Times New Roman"/>
                <w:b/>
                <w:bCs/>
                <w:color w:val="FFFFFF"/>
                <w:kern w:val="0"/>
                <w:szCs w:val="21"/>
              </w:rPr>
              <w:t>%</w:t>
            </w:r>
            <w:r>
              <w:rPr>
                <w:rFonts w:hint="eastAsia" w:cs="宋体"/>
                <w:b/>
                <w:bCs/>
                <w:color w:val="FFFFFF"/>
                <w:kern w:val="0"/>
                <w:szCs w:val="21"/>
              </w:rPr>
              <w:t>）</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w:t>
            </w:r>
          </w:p>
        </w:tc>
        <w:tc>
          <w:tcPr>
            <w:tcW w:w="1760" w:type="dxa"/>
            <w:tcBorders>
              <w:top w:val="nil"/>
              <w:left w:val="nil"/>
              <w:bottom w:val="single" w:color="B4C6E7" w:sz="4" w:space="0"/>
              <w:right w:val="single" w:color="B4C6E7" w:sz="4" w:space="0"/>
            </w:tcBorders>
            <w:shd w:val="clear" w:color="000000" w:fill="D9E2F3"/>
            <w:noWrap/>
            <w:vAlign w:val="center"/>
          </w:tcPr>
          <w:p>
            <w:pPr>
              <w:widowControl/>
              <w:jc w:val="center"/>
              <w:rPr>
                <w:rFonts w:cs="宋体"/>
                <w:color w:val="000000"/>
                <w:kern w:val="0"/>
                <w:sz w:val="22"/>
              </w:rPr>
            </w:pPr>
            <w:r>
              <w:rPr>
                <w:rFonts w:hint="eastAsia" w:cs="宋体"/>
                <w:color w:val="000000"/>
                <w:kern w:val="0"/>
                <w:sz w:val="22"/>
              </w:rPr>
              <w:t>原材料及辅助费</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172293.77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37.84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w:t>
            </w: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燃料动力费</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273223.18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60.00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3</w:t>
            </w: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人工费</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638.35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0.14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w:t>
            </w: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折旧费</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2349.17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0.52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摊销费</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473.49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0.10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w:t>
            </w: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维修费</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64.18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0.01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7</w:t>
            </w: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管理费</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198.40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0.04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8</w:t>
            </w: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财务费</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593.75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0.13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9</w:t>
            </w: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销售费</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5221.27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1.15 </w:t>
            </w:r>
          </w:p>
        </w:tc>
      </w:tr>
      <w:tr>
        <w:tblPrEx>
          <w:tblCellMar>
            <w:top w:w="0" w:type="dxa"/>
            <w:left w:w="108" w:type="dxa"/>
            <w:bottom w:w="0" w:type="dxa"/>
            <w:right w:w="108" w:type="dxa"/>
          </w:tblCellMar>
        </w:tblPrEx>
        <w:trPr>
          <w:trHeight w:val="280" w:hRule="atLeast"/>
        </w:trPr>
        <w:tc>
          <w:tcPr>
            <w:tcW w:w="2280" w:type="dxa"/>
            <w:tcBorders>
              <w:top w:val="nil"/>
              <w:left w:val="single" w:color="B4C6E7" w:sz="4" w:space="0"/>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其他直接支出</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317.41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0.07 </w:t>
            </w:r>
          </w:p>
        </w:tc>
      </w:tr>
      <w:tr>
        <w:tblPrEx>
          <w:tblCellMar>
            <w:top w:w="0" w:type="dxa"/>
            <w:left w:w="108" w:type="dxa"/>
            <w:bottom w:w="0" w:type="dxa"/>
            <w:right w:w="108" w:type="dxa"/>
          </w:tblCellMar>
        </w:tblPrEx>
        <w:trPr>
          <w:trHeight w:val="280" w:hRule="atLeast"/>
        </w:trPr>
        <w:tc>
          <w:tcPr>
            <w:tcW w:w="2280" w:type="dxa"/>
            <w:vMerge w:val="restart"/>
            <w:tcBorders>
              <w:top w:val="nil"/>
              <w:left w:val="single" w:color="B4C6E7" w:sz="4" w:space="0"/>
              <w:bottom w:val="single" w:color="B4C6E7" w:sz="4" w:space="0"/>
              <w:right w:val="single" w:color="B4C6E7" w:sz="4" w:space="0"/>
            </w:tcBorders>
            <w:shd w:val="clear" w:color="000000" w:fill="D9E2F3"/>
            <w:vAlign w:val="center"/>
          </w:tcPr>
          <w:p>
            <w:pPr>
              <w:widowControl/>
              <w:jc w:val="center"/>
              <w:rPr>
                <w:rFonts w:cs="宋体"/>
                <w:color w:val="000000"/>
                <w:kern w:val="0"/>
                <w:szCs w:val="21"/>
              </w:rPr>
            </w:pPr>
            <w:r>
              <w:rPr>
                <w:rFonts w:hint="eastAsia" w:cs="宋体"/>
                <w:color w:val="000000"/>
                <w:kern w:val="0"/>
                <w:szCs w:val="21"/>
              </w:rPr>
              <w:t>总计</w:t>
            </w: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总成本费用</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455372.97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100.00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jc w:val="left"/>
              <w:rPr>
                <w:rFonts w:cs="宋体"/>
                <w:color w:val="000000"/>
                <w:kern w:val="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可变成本</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451055.63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99.05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jc w:val="left"/>
              <w:rPr>
                <w:rFonts w:cs="宋体"/>
                <w:color w:val="000000"/>
                <w:kern w:val="0"/>
                <w:szCs w:val="21"/>
              </w:rPr>
            </w:pPr>
          </w:p>
        </w:tc>
        <w:tc>
          <w:tcPr>
            <w:tcW w:w="1760" w:type="dxa"/>
            <w:tcBorders>
              <w:top w:val="nil"/>
              <w:left w:val="nil"/>
              <w:bottom w:val="single" w:color="B4C6E7" w:sz="4" w:space="0"/>
              <w:right w:val="single" w:color="B4C6E7" w:sz="4" w:space="0"/>
            </w:tcBorders>
            <w:shd w:val="clear" w:color="000000" w:fill="D9E2F3"/>
            <w:vAlign w:val="center"/>
          </w:tcPr>
          <w:p>
            <w:pPr>
              <w:widowControl/>
              <w:jc w:val="center"/>
              <w:rPr>
                <w:rFonts w:cs="宋体"/>
                <w:color w:val="000000"/>
                <w:kern w:val="0"/>
                <w:sz w:val="22"/>
              </w:rPr>
            </w:pPr>
            <w:r>
              <w:rPr>
                <w:rFonts w:hint="eastAsia" w:cs="宋体"/>
                <w:color w:val="000000"/>
                <w:kern w:val="0"/>
                <w:sz w:val="22"/>
              </w:rPr>
              <w:t>固定成本</w:t>
            </w:r>
          </w:p>
        </w:tc>
        <w:tc>
          <w:tcPr>
            <w:tcW w:w="1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4317.34 </w:t>
            </w:r>
          </w:p>
        </w:tc>
        <w:tc>
          <w:tcPr>
            <w:tcW w:w="2740" w:type="dxa"/>
            <w:tcBorders>
              <w:top w:val="nil"/>
              <w:left w:val="nil"/>
              <w:bottom w:val="single" w:color="B4C6E7" w:sz="4" w:space="0"/>
              <w:right w:val="single" w:color="B4C6E7" w:sz="4" w:space="0"/>
            </w:tcBorders>
            <w:shd w:val="clear" w:color="000000" w:fill="D9E2F3"/>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0.95 </w:t>
            </w:r>
          </w:p>
        </w:tc>
      </w:tr>
      <w:tr>
        <w:tblPrEx>
          <w:tblCellMar>
            <w:top w:w="0" w:type="dxa"/>
            <w:left w:w="108" w:type="dxa"/>
            <w:bottom w:w="0" w:type="dxa"/>
            <w:right w:w="108" w:type="dxa"/>
          </w:tblCellMar>
        </w:tblPrEx>
        <w:trPr>
          <w:trHeight w:val="280" w:hRule="atLeast"/>
        </w:trPr>
        <w:tc>
          <w:tcPr>
            <w:tcW w:w="2280" w:type="dxa"/>
            <w:vMerge w:val="continue"/>
            <w:tcBorders>
              <w:top w:val="nil"/>
              <w:left w:val="single" w:color="B4C6E7" w:sz="4" w:space="0"/>
              <w:bottom w:val="single" w:color="B4C6E7" w:sz="4" w:space="0"/>
              <w:right w:val="single" w:color="B4C6E7" w:sz="4" w:space="0"/>
            </w:tcBorders>
            <w:vAlign w:val="center"/>
          </w:tcPr>
          <w:p>
            <w:pPr>
              <w:widowControl/>
              <w:jc w:val="left"/>
              <w:rPr>
                <w:rFonts w:cs="宋体"/>
                <w:color w:val="000000"/>
                <w:kern w:val="0"/>
                <w:szCs w:val="21"/>
              </w:rPr>
            </w:pPr>
          </w:p>
        </w:tc>
        <w:tc>
          <w:tcPr>
            <w:tcW w:w="1760" w:type="dxa"/>
            <w:tcBorders>
              <w:top w:val="nil"/>
              <w:left w:val="nil"/>
              <w:bottom w:val="single" w:color="B4C6E7" w:sz="4" w:space="0"/>
              <w:right w:val="single" w:color="B4C6E7" w:sz="4" w:space="0"/>
            </w:tcBorders>
            <w:shd w:val="clear" w:color="auto" w:fill="auto"/>
            <w:vAlign w:val="center"/>
          </w:tcPr>
          <w:p>
            <w:pPr>
              <w:widowControl/>
              <w:jc w:val="center"/>
              <w:rPr>
                <w:rFonts w:cs="宋体"/>
                <w:color w:val="000000"/>
                <w:kern w:val="0"/>
                <w:sz w:val="22"/>
              </w:rPr>
            </w:pPr>
            <w:r>
              <w:rPr>
                <w:rFonts w:hint="eastAsia" w:cs="宋体"/>
                <w:color w:val="000000"/>
                <w:kern w:val="0"/>
                <w:sz w:val="22"/>
              </w:rPr>
              <w:t>经营成本</w:t>
            </w:r>
          </w:p>
        </w:tc>
        <w:tc>
          <w:tcPr>
            <w:tcW w:w="1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451892.38 </w:t>
            </w:r>
          </w:p>
        </w:tc>
        <w:tc>
          <w:tcPr>
            <w:tcW w:w="2740" w:type="dxa"/>
            <w:tcBorders>
              <w:top w:val="nil"/>
              <w:left w:val="nil"/>
              <w:bottom w:val="single" w:color="B4C6E7" w:sz="4" w:space="0"/>
              <w:right w:val="single" w:color="B4C6E7" w:sz="4" w:space="0"/>
            </w:tcBorders>
            <w:shd w:val="clear" w:color="auto" w:fill="auto"/>
            <w:vAlign w:val="center"/>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 xml:space="preserve">99.24 </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46" w:name="_Toc141661870"/>
      <w:bookmarkStart w:id="47" w:name="_Toc141669660"/>
      <w:r>
        <w:rPr>
          <w:rFonts w:ascii="Times New Roman" w:hAnsi="Times New Roman" w:cs="Times New Roman"/>
          <w:b/>
          <w:bCs/>
          <w:kern w:val="0"/>
          <w:sz w:val="32"/>
          <w:szCs w:val="32"/>
        </w:rPr>
        <w:t>2.2 销售收入和税金估算</w:t>
      </w:r>
      <w:bookmarkEnd w:id="46"/>
      <w:bookmarkEnd w:id="47"/>
    </w:p>
    <w:p>
      <w:pPr>
        <w:keepLines/>
        <w:outlineLvl w:val="2"/>
        <w:rPr>
          <w:rFonts w:ascii="Times New Roman" w:hAnsi="Times New Roman" w:cs="Times New Roman"/>
          <w:b/>
          <w:bCs/>
          <w:sz w:val="28"/>
          <w:szCs w:val="32"/>
        </w:rPr>
      </w:pPr>
      <w:bookmarkStart w:id="48" w:name="_Toc141669661"/>
      <w:bookmarkStart w:id="49" w:name="_Toc141661871"/>
      <w:r>
        <w:rPr>
          <w:rFonts w:ascii="Times New Roman" w:hAnsi="Times New Roman" w:cs="Times New Roman"/>
          <w:b/>
          <w:bCs/>
          <w:sz w:val="28"/>
          <w:szCs w:val="32"/>
        </w:rPr>
        <w:t xml:space="preserve">2.2.1 </w:t>
      </w:r>
      <w:r>
        <w:rPr>
          <w:rFonts w:hint="eastAsia" w:ascii="Times New Roman" w:hAnsi="Times New Roman" w:cs="Times New Roman"/>
          <w:b/>
          <w:bCs/>
          <w:sz w:val="28"/>
          <w:szCs w:val="32"/>
        </w:rPr>
        <w:t>销售收入</w:t>
      </w:r>
      <w:bookmarkEnd w:id="48"/>
      <w:bookmarkEnd w:id="49"/>
    </w:p>
    <w:p>
      <w:pPr>
        <w:autoSpaceDE w:val="0"/>
        <w:autoSpaceDN w:val="0"/>
        <w:spacing w:before="156" w:beforeLines="50" w:after="156" w:afterLines="50"/>
        <w:jc w:val="center"/>
        <w:rPr>
          <w:rFonts w:ascii="仿宋" w:hAnsi="仿宋" w:cs="仿宋"/>
          <w:b/>
          <w:kern w:val="0"/>
          <w:sz w:val="18"/>
          <w:szCs w:val="18"/>
        </w:rPr>
      </w:pPr>
      <w:r>
        <w:rPr>
          <w:rFonts w:hint="eastAsia" w:ascii="仿宋" w:hAnsi="仿宋" w:cs="仿宋"/>
          <w:b/>
          <w:kern w:val="0"/>
          <w:sz w:val="18"/>
          <w:szCs w:val="18"/>
        </w:rPr>
        <w:t>表</w:t>
      </w:r>
      <w:r>
        <w:rPr>
          <w:rFonts w:ascii="仿宋" w:hAnsi="仿宋" w:cs="仿宋"/>
          <w:b/>
          <w:kern w:val="0"/>
          <w:sz w:val="18"/>
          <w:szCs w:val="18"/>
        </w:rPr>
        <w:t xml:space="preserve">2-4 </w:t>
      </w:r>
      <w:r>
        <w:rPr>
          <w:rFonts w:hint="eastAsia" w:ascii="仿宋" w:hAnsi="仿宋" w:cs="仿宋"/>
          <w:b/>
          <w:kern w:val="0"/>
          <w:sz w:val="18"/>
          <w:szCs w:val="18"/>
        </w:rPr>
        <w:t>产品销售收入表</w:t>
      </w:r>
    </w:p>
    <w:tbl>
      <w:tblPr>
        <w:tblStyle w:val="16"/>
        <w:tblW w:w="10627" w:type="dxa"/>
        <w:jc w:val="center"/>
        <w:tblLayout w:type="autofit"/>
        <w:tblCellMar>
          <w:top w:w="0" w:type="dxa"/>
          <w:left w:w="108" w:type="dxa"/>
          <w:bottom w:w="0" w:type="dxa"/>
          <w:right w:w="108" w:type="dxa"/>
        </w:tblCellMar>
      </w:tblPr>
      <w:tblGrid>
        <w:gridCol w:w="1040"/>
        <w:gridCol w:w="1649"/>
        <w:gridCol w:w="1559"/>
        <w:gridCol w:w="1843"/>
        <w:gridCol w:w="2268"/>
        <w:gridCol w:w="2268"/>
      </w:tblGrid>
      <w:tr>
        <w:tblPrEx>
          <w:tblCellMar>
            <w:top w:w="0" w:type="dxa"/>
            <w:left w:w="108" w:type="dxa"/>
            <w:bottom w:w="0" w:type="dxa"/>
            <w:right w:w="108" w:type="dxa"/>
          </w:tblCellMar>
        </w:tblPrEx>
        <w:trPr>
          <w:trHeight w:val="280" w:hRule="atLeast"/>
          <w:jc w:val="center"/>
        </w:trPr>
        <w:tc>
          <w:tcPr>
            <w:tcW w:w="104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1649"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产品</w:t>
            </w:r>
          </w:p>
        </w:tc>
        <w:tc>
          <w:tcPr>
            <w:tcW w:w="1559"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规格（wt%）</w:t>
            </w:r>
          </w:p>
        </w:tc>
        <w:tc>
          <w:tcPr>
            <w:tcW w:w="1843"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产量（吨/年）</w:t>
            </w:r>
          </w:p>
        </w:tc>
        <w:tc>
          <w:tcPr>
            <w:tcW w:w="2268"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单位售价（元/吨）</w:t>
            </w:r>
          </w:p>
        </w:tc>
        <w:tc>
          <w:tcPr>
            <w:tcW w:w="2268"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总售价（万元/年）</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64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己二腈</w:t>
            </w:r>
          </w:p>
        </w:tc>
        <w:tc>
          <w:tcPr>
            <w:tcW w:w="155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99.99</w:t>
            </w:r>
          </w:p>
        </w:tc>
        <w:tc>
          <w:tcPr>
            <w:tcW w:w="184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107777.8851</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35000</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377222.60</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164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己二腈二聚物</w:t>
            </w:r>
          </w:p>
        </w:tc>
        <w:tc>
          <w:tcPr>
            <w:tcW w:w="155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99</w:t>
            </w:r>
          </w:p>
        </w:tc>
        <w:tc>
          <w:tcPr>
            <w:tcW w:w="184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5120.513694</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10000</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5120.51</w:t>
            </w:r>
          </w:p>
        </w:tc>
      </w:tr>
      <w:tr>
        <w:tblPrEx>
          <w:tblCellMar>
            <w:top w:w="0" w:type="dxa"/>
            <w:left w:w="108" w:type="dxa"/>
            <w:bottom w:w="0" w:type="dxa"/>
            <w:right w:w="108" w:type="dxa"/>
          </w:tblCellMar>
        </w:tblPrEx>
        <w:trPr>
          <w:trHeight w:val="280" w:hRule="atLeast"/>
          <w:jc w:val="center"/>
        </w:trPr>
        <w:tc>
          <w:tcPr>
            <w:tcW w:w="104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164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ICCP</w:t>
            </w:r>
          </w:p>
        </w:tc>
        <w:tc>
          <w:tcPr>
            <w:tcW w:w="155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99.1</w:t>
            </w:r>
          </w:p>
        </w:tc>
        <w:tc>
          <w:tcPr>
            <w:tcW w:w="184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17472.95196</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80000</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139783.62</w:t>
            </w:r>
          </w:p>
        </w:tc>
      </w:tr>
      <w:tr>
        <w:tblPrEx>
          <w:tblCellMar>
            <w:top w:w="0" w:type="dxa"/>
            <w:left w:w="108" w:type="dxa"/>
            <w:bottom w:w="0" w:type="dxa"/>
            <w:right w:w="108" w:type="dxa"/>
          </w:tblCellMar>
        </w:tblPrEx>
        <w:trPr>
          <w:trHeight w:val="280" w:hRule="atLeast"/>
          <w:jc w:val="center"/>
        </w:trPr>
        <w:tc>
          <w:tcPr>
            <w:tcW w:w="8359" w:type="dxa"/>
            <w:gridSpan w:val="5"/>
            <w:tcBorders>
              <w:top w:val="single" w:color="B4C6E7" w:sz="4" w:space="0"/>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总计（万元/年）</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522126.7273</w:t>
            </w:r>
          </w:p>
        </w:tc>
      </w:tr>
    </w:tbl>
    <w:p>
      <w:pPr>
        <w:keepLines/>
        <w:outlineLvl w:val="2"/>
        <w:rPr>
          <w:rFonts w:ascii="Times New Roman" w:hAnsi="Times New Roman" w:cs="Times New Roman"/>
          <w:b/>
          <w:bCs/>
          <w:sz w:val="28"/>
          <w:szCs w:val="32"/>
        </w:rPr>
      </w:pPr>
      <w:bookmarkStart w:id="50" w:name="_Toc141661872"/>
      <w:bookmarkStart w:id="51" w:name="_Toc141669662"/>
      <w:r>
        <w:rPr>
          <w:rFonts w:ascii="Times New Roman" w:hAnsi="Times New Roman" w:cs="Times New Roman"/>
          <w:b/>
          <w:bCs/>
          <w:sz w:val="28"/>
          <w:szCs w:val="32"/>
        </w:rPr>
        <w:t>2.2.2</w:t>
      </w:r>
      <w:r>
        <w:rPr>
          <w:rFonts w:hint="eastAsia" w:ascii="Times New Roman" w:hAnsi="Times New Roman" w:cs="Times New Roman"/>
          <w:b/>
          <w:bCs/>
          <w:sz w:val="28"/>
          <w:szCs w:val="32"/>
        </w:rPr>
        <w:t>税金估算</w:t>
      </w:r>
      <w:bookmarkEnd w:id="50"/>
      <w:bookmarkEnd w:id="51"/>
    </w:p>
    <w:p>
      <w:pPr>
        <w:autoSpaceDE w:val="0"/>
        <w:autoSpaceDN w:val="0"/>
        <w:spacing w:before="156" w:beforeLines="50" w:after="156" w:afterLines="50"/>
        <w:jc w:val="left"/>
        <w:rPr>
          <w:rFonts w:ascii="仿宋" w:hAnsi="仿宋" w:cs="仿宋"/>
          <w:kern w:val="0"/>
        </w:rPr>
      </w:pPr>
      <w:r>
        <w:rPr>
          <w:rFonts w:hint="eastAsia" w:ascii="仿宋" w:hAnsi="仿宋" w:cs="仿宋"/>
          <w:kern w:val="0"/>
        </w:rPr>
        <w:t>本项目的应纳税额分为企业所得税、增值税、城市维护建设税、教育附加税。</w:t>
      </w:r>
    </w:p>
    <w:p>
      <w:pPr>
        <w:autoSpaceDE w:val="0"/>
        <w:autoSpaceDN w:val="0"/>
        <w:spacing w:before="156" w:beforeLines="50" w:after="156" w:afterLines="50"/>
        <w:jc w:val="left"/>
        <w:rPr>
          <w:rFonts w:ascii="仿宋" w:hAnsi="仿宋" w:cs="仿宋"/>
          <w:kern w:val="0"/>
        </w:rPr>
      </w:pPr>
      <w:r>
        <w:rPr>
          <w:rFonts w:hint="eastAsia" w:ascii="仿宋" w:hAnsi="仿宋" w:cs="仿宋"/>
          <w:kern w:val="0"/>
        </w:rPr>
        <w:t>关于增值税的取用：财政部、国家税务总局、海关总署等三部门发布《关于深化增值税改革有关政策的公告》。公告明确，</w:t>
      </w:r>
      <w:r>
        <w:rPr>
          <w:rFonts w:ascii="仿宋" w:hAnsi="仿宋" w:cs="仿宋"/>
          <w:kern w:val="0"/>
        </w:rPr>
        <w:t>2019 年4 月1日起增值税一般纳税人发生增值税应税</w:t>
      </w:r>
      <w:r>
        <w:rPr>
          <w:rFonts w:hint="eastAsia" w:ascii="仿宋" w:hAnsi="仿宋" w:cs="仿宋"/>
          <w:kern w:val="0"/>
        </w:rPr>
        <w:t>销售行为或者进口货物，原适用</w:t>
      </w:r>
      <w:r>
        <w:rPr>
          <w:rFonts w:ascii="仿宋" w:hAnsi="仿宋" w:cs="仿宋"/>
          <w:kern w:val="0"/>
        </w:rPr>
        <w:t xml:space="preserve"> 16%税率的，税率调整为 13%；原适用 10%税率的，</w:t>
      </w:r>
      <w:r>
        <w:rPr>
          <w:rFonts w:hint="eastAsia" w:ascii="仿宋" w:hAnsi="仿宋" w:cs="仿宋"/>
          <w:kern w:val="0"/>
        </w:rPr>
        <w:t>税率调整为</w:t>
      </w:r>
      <w:r>
        <w:rPr>
          <w:rFonts w:ascii="仿宋" w:hAnsi="仿宋" w:cs="仿宋"/>
          <w:kern w:val="0"/>
        </w:rPr>
        <w:t>9%</w:t>
      </w:r>
      <w:r>
        <w:rPr>
          <w:rFonts w:hint="eastAsia" w:ascii="仿宋" w:hAnsi="仿宋" w:cs="仿宋"/>
          <w:kern w:val="0"/>
        </w:rPr>
        <w:t>。</w:t>
      </w:r>
    </w:p>
    <w:p>
      <w:pPr>
        <w:autoSpaceDE w:val="0"/>
        <w:autoSpaceDN w:val="0"/>
        <w:spacing w:before="156" w:beforeLines="50" w:after="156" w:afterLines="50"/>
        <w:jc w:val="center"/>
        <w:rPr>
          <w:rFonts w:ascii="仿宋" w:hAnsi="仿宋" w:cs="仿宋"/>
          <w:b/>
          <w:kern w:val="0"/>
          <w:sz w:val="18"/>
          <w:szCs w:val="18"/>
        </w:rPr>
      </w:pPr>
      <w:r>
        <w:rPr>
          <w:rFonts w:hint="eastAsia" w:ascii="仿宋" w:hAnsi="仿宋" w:cs="仿宋"/>
          <w:b/>
          <w:kern w:val="0"/>
          <w:sz w:val="18"/>
          <w:szCs w:val="18"/>
        </w:rPr>
        <w:t>表</w:t>
      </w:r>
      <w:r>
        <w:rPr>
          <w:rFonts w:ascii="仿宋" w:hAnsi="仿宋" w:cs="仿宋"/>
          <w:b/>
          <w:kern w:val="0"/>
          <w:sz w:val="18"/>
          <w:szCs w:val="18"/>
        </w:rPr>
        <w:t xml:space="preserve">2-5 </w:t>
      </w:r>
      <w:r>
        <w:rPr>
          <w:rFonts w:hint="eastAsia" w:ascii="仿宋" w:hAnsi="仿宋" w:cs="仿宋"/>
          <w:b/>
          <w:kern w:val="0"/>
          <w:sz w:val="18"/>
          <w:szCs w:val="18"/>
        </w:rPr>
        <w:t>税金估算表</w:t>
      </w:r>
    </w:p>
    <w:tbl>
      <w:tblPr>
        <w:tblStyle w:val="16"/>
        <w:tblW w:w="6516" w:type="dxa"/>
        <w:jc w:val="center"/>
        <w:tblLayout w:type="autofit"/>
        <w:tblCellMar>
          <w:top w:w="0" w:type="dxa"/>
          <w:left w:w="108" w:type="dxa"/>
          <w:bottom w:w="0" w:type="dxa"/>
          <w:right w:w="108" w:type="dxa"/>
        </w:tblCellMar>
      </w:tblPr>
      <w:tblGrid>
        <w:gridCol w:w="846"/>
        <w:gridCol w:w="2334"/>
        <w:gridCol w:w="1380"/>
        <w:gridCol w:w="1956"/>
      </w:tblGrid>
      <w:tr>
        <w:tblPrEx>
          <w:tblCellMar>
            <w:top w:w="0" w:type="dxa"/>
            <w:left w:w="108" w:type="dxa"/>
            <w:bottom w:w="0" w:type="dxa"/>
            <w:right w:w="108" w:type="dxa"/>
          </w:tblCellMar>
        </w:tblPrEx>
        <w:trPr>
          <w:trHeight w:val="280" w:hRule="atLeast"/>
          <w:jc w:val="center"/>
        </w:trPr>
        <w:tc>
          <w:tcPr>
            <w:tcW w:w="846"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334"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38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税率（%）</w:t>
            </w:r>
          </w:p>
        </w:tc>
        <w:tc>
          <w:tcPr>
            <w:tcW w:w="195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税金（万元）</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3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产品销售收入</w:t>
            </w:r>
          </w:p>
        </w:tc>
        <w:tc>
          <w:tcPr>
            <w:tcW w:w="1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销项税额</w:t>
            </w:r>
          </w:p>
        </w:tc>
        <w:tc>
          <w:tcPr>
            <w:tcW w:w="1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w:t>
            </w:r>
          </w:p>
        </w:tc>
        <w:tc>
          <w:tcPr>
            <w:tcW w:w="19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60067.67659</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3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产品总成本</w:t>
            </w:r>
          </w:p>
        </w:tc>
        <w:tc>
          <w:tcPr>
            <w:tcW w:w="1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455372.97</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购入原材料和动力费</w:t>
            </w:r>
          </w:p>
        </w:tc>
        <w:tc>
          <w:tcPr>
            <w:tcW w:w="1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p>
        </w:tc>
        <w:tc>
          <w:tcPr>
            <w:tcW w:w="19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445516.9464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p>
        </w:tc>
        <w:tc>
          <w:tcPr>
            <w:tcW w:w="23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进项税额</w:t>
            </w:r>
          </w:p>
        </w:tc>
        <w:tc>
          <w:tcPr>
            <w:tcW w:w="1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w:t>
            </w:r>
          </w:p>
        </w:tc>
        <w:tc>
          <w:tcPr>
            <w:tcW w:w="19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51254.16198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p>
        </w:tc>
        <w:tc>
          <w:tcPr>
            <w:tcW w:w="233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增值税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13</w:t>
            </w:r>
          </w:p>
        </w:tc>
        <w:tc>
          <w:tcPr>
            <w:tcW w:w="19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8813.51462</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p>
        </w:tc>
        <w:tc>
          <w:tcPr>
            <w:tcW w:w="23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城市维护建设费</w:t>
            </w:r>
          </w:p>
        </w:tc>
        <w:tc>
          <w:tcPr>
            <w:tcW w:w="1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w:t>
            </w:r>
          </w:p>
        </w:tc>
        <w:tc>
          <w:tcPr>
            <w:tcW w:w="19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616.9460234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33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教育附加税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19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264.4054386</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3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138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p>
        </w:tc>
        <w:tc>
          <w:tcPr>
            <w:tcW w:w="195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9694.866081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33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企业所得税</w:t>
            </w:r>
          </w:p>
        </w:tc>
        <w:tc>
          <w:tcPr>
            <w:tcW w:w="138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25</w:t>
            </w:r>
          </w:p>
        </w:tc>
        <w:tc>
          <w:tcPr>
            <w:tcW w:w="195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ascii="等线" w:hAnsi="等线" w:eastAsia="等线" w:cs="宋体"/>
                <w:color w:val="000000"/>
                <w:kern w:val="0"/>
                <w:sz w:val="22"/>
              </w:rPr>
              <w:t>16688.43932</w:t>
            </w:r>
          </w:p>
        </w:tc>
      </w:tr>
    </w:tbl>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52" w:name="_Toc141661873"/>
      <w:bookmarkStart w:id="53" w:name="_Toc141669663"/>
      <w:r>
        <w:rPr>
          <w:rFonts w:ascii="Times New Roman" w:hAnsi="Times New Roman" w:cs="Times New Roman"/>
          <w:b/>
          <w:bCs/>
          <w:kern w:val="0"/>
          <w:sz w:val="32"/>
          <w:szCs w:val="32"/>
        </w:rPr>
        <w:t>2.3 财务分析报表</w:t>
      </w:r>
      <w:bookmarkEnd w:id="52"/>
      <w:bookmarkEnd w:id="53"/>
    </w:p>
    <w:p>
      <w:pPr>
        <w:keepLines/>
        <w:outlineLvl w:val="2"/>
        <w:rPr>
          <w:rFonts w:ascii="Times New Roman" w:hAnsi="Times New Roman" w:cs="Times New Roman"/>
          <w:b/>
          <w:bCs/>
          <w:sz w:val="28"/>
          <w:szCs w:val="32"/>
        </w:rPr>
      </w:pPr>
      <w:bookmarkStart w:id="54" w:name="_Toc141669664"/>
      <w:bookmarkStart w:id="55" w:name="_Toc141661874"/>
      <w:r>
        <w:rPr>
          <w:rFonts w:ascii="Times New Roman" w:hAnsi="Times New Roman" w:cs="Times New Roman"/>
          <w:b/>
          <w:bCs/>
          <w:sz w:val="28"/>
          <w:szCs w:val="32"/>
        </w:rPr>
        <w:t>2.3.1</w:t>
      </w:r>
      <w:r>
        <w:rPr>
          <w:rFonts w:hint="eastAsia" w:ascii="Times New Roman" w:hAnsi="Times New Roman" w:cs="Times New Roman"/>
          <w:b/>
          <w:bCs/>
          <w:sz w:val="28"/>
          <w:szCs w:val="32"/>
        </w:rPr>
        <w:t>税后利润估算及利润分配表</w:t>
      </w:r>
      <w:bookmarkEnd w:id="54"/>
      <w:bookmarkEnd w:id="55"/>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由前面的计算结果可得，正常年税前利润总额</w:t>
      </w:r>
      <w:r>
        <w:rPr>
          <w:rFonts w:ascii="Times New Roman" w:hAnsi="Times New Roman" w:cs="Times New Roman"/>
        </w:rPr>
        <w:t>=销售收入-总费用成本-销售税金及附加=</w:t>
      </w:r>
      <w:r>
        <w:rPr>
          <w:rFonts w:ascii="仿宋" w:hAnsi="仿宋" w:cs="仿宋"/>
          <w:kern w:val="0"/>
        </w:rPr>
        <w:t xml:space="preserve"> </w:t>
      </w:r>
      <w:r>
        <w:rPr>
          <w:rFonts w:ascii="Times New Roman" w:hAnsi="Times New Roman" w:cs="Times New Roman"/>
        </w:rPr>
        <w:t>522126.7273-</w:t>
      </w:r>
      <w:r>
        <w:rPr>
          <w:rFonts w:ascii="仿宋" w:hAnsi="仿宋" w:cs="仿宋"/>
          <w:kern w:val="0"/>
        </w:rPr>
        <w:t xml:space="preserve"> </w:t>
      </w:r>
      <w:r>
        <w:rPr>
          <w:rFonts w:ascii="Times New Roman" w:hAnsi="Times New Roman" w:cs="Times New Roman"/>
        </w:rPr>
        <w:t>455372.97-</w:t>
      </w:r>
      <w:r>
        <w:rPr>
          <w:rFonts w:ascii="仿宋" w:hAnsi="仿宋" w:cs="仿宋"/>
          <w:kern w:val="0"/>
        </w:rPr>
        <w:t xml:space="preserve"> </w:t>
      </w:r>
      <w:r>
        <w:rPr>
          <w:rFonts w:ascii="Times New Roman" w:hAnsi="Times New Roman" w:cs="Times New Roman"/>
        </w:rPr>
        <w:t>9694.866081 =</w:t>
      </w:r>
      <w:r>
        <w:rPr>
          <w:rFonts w:ascii="仿宋" w:hAnsi="仿宋" w:cs="仿宋"/>
          <w:kern w:val="0"/>
        </w:rPr>
        <w:t xml:space="preserve"> </w:t>
      </w:r>
      <w:r>
        <w:rPr>
          <w:rFonts w:ascii="Times New Roman" w:hAnsi="Times New Roman" w:cs="Times New Roman"/>
        </w:rPr>
        <w:t>57058.89万元。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按正常年份</w:t>
      </w:r>
      <w:r>
        <w:rPr>
          <w:rFonts w:ascii="Times New Roman" w:hAnsi="Times New Roman" w:cs="Times New Roman"/>
        </w:rPr>
        <w:t>25%的税率缴纳所得税，则所得税=</w:t>
      </w:r>
      <w:r>
        <w:rPr>
          <w:rFonts w:ascii="仿宋" w:hAnsi="仿宋" w:cs="仿宋"/>
          <w:kern w:val="0"/>
        </w:rPr>
        <w:t xml:space="preserve"> </w:t>
      </w:r>
      <w:r>
        <w:rPr>
          <w:rFonts w:ascii="Times New Roman" w:hAnsi="Times New Roman" w:cs="Times New Roman"/>
        </w:rPr>
        <w:t>14264.7228万元，净利</w:t>
      </w:r>
      <w:r>
        <w:rPr>
          <w:rFonts w:hint="eastAsia" w:ascii="Times New Roman" w:hAnsi="Times New Roman" w:cs="Times New Roman"/>
        </w:rPr>
        <w:t>润</w:t>
      </w:r>
      <w:r>
        <w:rPr>
          <w:rFonts w:ascii="Times New Roman" w:hAnsi="Times New Roman" w:cs="Times New Roman"/>
        </w:rPr>
        <w:t>=利润总额-所得税=</w:t>
      </w:r>
      <w:r>
        <w:rPr>
          <w:rFonts w:ascii="仿宋" w:hAnsi="仿宋" w:cs="仿宋"/>
          <w:kern w:val="0"/>
        </w:rPr>
        <w:t xml:space="preserve"> </w:t>
      </w:r>
      <w:r>
        <w:rPr>
          <w:rFonts w:ascii="Times New Roman" w:hAnsi="Times New Roman" w:cs="Times New Roman"/>
        </w:rPr>
        <w:t>42794.16841万元。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税后利润按</w:t>
      </w:r>
      <w:r>
        <w:rPr>
          <w:rFonts w:ascii="Times New Roman" w:hAnsi="Times New Roman" w:cs="Times New Roman"/>
        </w:rPr>
        <w:t xml:space="preserve"> 10%提取法定盈余公积金，5%提取任意盈余公积金，则：</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法定盈余公积金</w:t>
      </w:r>
      <w:r>
        <w:rPr>
          <w:rFonts w:ascii="Times New Roman" w:hAnsi="Times New Roman" w:cs="Times New Roman"/>
        </w:rPr>
        <w:t>=净利润×0.1=</w:t>
      </w:r>
      <w:r>
        <w:rPr>
          <w:rFonts w:ascii="仿宋" w:hAnsi="仿宋" w:cs="仿宋"/>
          <w:kern w:val="0"/>
        </w:rPr>
        <w:t xml:space="preserve"> </w:t>
      </w:r>
      <w:r>
        <w:rPr>
          <w:rFonts w:ascii="Times New Roman" w:hAnsi="Times New Roman" w:cs="Times New Roman"/>
        </w:rPr>
        <w:t>4279.416841万元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任意盈余公积金</w:t>
      </w:r>
      <w:r>
        <w:rPr>
          <w:rFonts w:ascii="Times New Roman" w:hAnsi="Times New Roman" w:cs="Times New Roman"/>
        </w:rPr>
        <w:t>=净利润×0.05=</w:t>
      </w:r>
      <w:r>
        <w:rPr>
          <w:rFonts w:ascii="仿宋" w:hAnsi="仿宋" w:cs="仿宋"/>
          <w:kern w:val="0"/>
        </w:rPr>
        <w:t xml:space="preserve"> </w:t>
      </w:r>
      <w:r>
        <w:rPr>
          <w:rFonts w:ascii="Times New Roman" w:hAnsi="Times New Roman" w:cs="Times New Roman"/>
        </w:rPr>
        <w:t>2139.70842万元</w:t>
      </w:r>
    </w:p>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未分配利润</w:t>
      </w:r>
      <w:r>
        <w:rPr>
          <w:rFonts w:ascii="Times New Roman" w:hAnsi="Times New Roman" w:cs="Times New Roman"/>
        </w:rPr>
        <w:t>=净利润-法定盈余公积金-任意盈余公积金=</w:t>
      </w:r>
      <w:r>
        <w:rPr>
          <w:rFonts w:ascii="仿宋" w:hAnsi="仿宋" w:cs="仿宋"/>
          <w:kern w:val="0"/>
        </w:rPr>
        <w:t xml:space="preserve"> </w:t>
      </w:r>
      <w:r>
        <w:rPr>
          <w:rFonts w:ascii="Times New Roman" w:hAnsi="Times New Roman" w:cs="Times New Roman"/>
        </w:rPr>
        <w:t>36375.04315万元。</w:t>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2-6 </w:t>
      </w:r>
      <w:r>
        <w:rPr>
          <w:rFonts w:hint="eastAsia" w:ascii="Times New Roman" w:hAnsi="Times New Roman" w:cs="Times New Roman"/>
          <w:b/>
          <w:sz w:val="18"/>
          <w:szCs w:val="18"/>
        </w:rPr>
        <w:t>利润及利润分配表</w:t>
      </w:r>
    </w:p>
    <w:tbl>
      <w:tblPr>
        <w:tblStyle w:val="16"/>
        <w:tblW w:w="7933" w:type="dxa"/>
        <w:tblInd w:w="0" w:type="dxa"/>
        <w:tblLayout w:type="autofit"/>
        <w:tblCellMar>
          <w:top w:w="0" w:type="dxa"/>
          <w:left w:w="108" w:type="dxa"/>
          <w:bottom w:w="0" w:type="dxa"/>
          <w:right w:w="108" w:type="dxa"/>
        </w:tblCellMar>
      </w:tblPr>
      <w:tblGrid>
        <w:gridCol w:w="1920"/>
        <w:gridCol w:w="2600"/>
        <w:gridCol w:w="1520"/>
        <w:gridCol w:w="1893"/>
      </w:tblGrid>
      <w:tr>
        <w:tblPrEx>
          <w:tblCellMar>
            <w:top w:w="0" w:type="dxa"/>
            <w:left w:w="108" w:type="dxa"/>
            <w:bottom w:w="0" w:type="dxa"/>
            <w:right w:w="108" w:type="dxa"/>
          </w:tblCellMar>
        </w:tblPrEx>
        <w:trPr>
          <w:trHeight w:val="280" w:hRule="atLeast"/>
        </w:trPr>
        <w:tc>
          <w:tcPr>
            <w:tcW w:w="1920" w:type="dxa"/>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60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1520"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金额（万元）</w:t>
            </w:r>
          </w:p>
        </w:tc>
        <w:tc>
          <w:tcPr>
            <w:tcW w:w="1893"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备注</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6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产品销售收入</w:t>
            </w:r>
          </w:p>
        </w:tc>
        <w:tc>
          <w:tcPr>
            <w:tcW w:w="15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522126.7273</w:t>
            </w:r>
          </w:p>
        </w:tc>
        <w:tc>
          <w:tcPr>
            <w:tcW w:w="18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6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总成本费用</w:t>
            </w:r>
          </w:p>
        </w:tc>
        <w:tc>
          <w:tcPr>
            <w:tcW w:w="15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455372.97</w:t>
            </w:r>
          </w:p>
        </w:tc>
        <w:tc>
          <w:tcPr>
            <w:tcW w:w="18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6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15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9694.866081</w:t>
            </w:r>
          </w:p>
        </w:tc>
        <w:tc>
          <w:tcPr>
            <w:tcW w:w="18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6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利润总额</w:t>
            </w:r>
          </w:p>
        </w:tc>
        <w:tc>
          <w:tcPr>
            <w:tcW w:w="15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57058.89121</w:t>
            </w:r>
          </w:p>
        </w:tc>
        <w:tc>
          <w:tcPr>
            <w:tcW w:w="18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=1-2-3</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6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15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14264.7228</w:t>
            </w:r>
          </w:p>
        </w:tc>
        <w:tc>
          <w:tcPr>
            <w:tcW w:w="18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利润总额25%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6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净利润</w:t>
            </w:r>
          </w:p>
        </w:tc>
        <w:tc>
          <w:tcPr>
            <w:tcW w:w="15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42794.16841</w:t>
            </w:r>
          </w:p>
        </w:tc>
        <w:tc>
          <w:tcPr>
            <w:tcW w:w="18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w:t>
            </w:r>
          </w:p>
        </w:tc>
        <w:tc>
          <w:tcPr>
            <w:tcW w:w="26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法定盈余公积金</w:t>
            </w:r>
          </w:p>
        </w:tc>
        <w:tc>
          <w:tcPr>
            <w:tcW w:w="15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4279.416841</w:t>
            </w:r>
          </w:p>
        </w:tc>
        <w:tc>
          <w:tcPr>
            <w:tcW w:w="18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净利润10%</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w:t>
            </w:r>
          </w:p>
        </w:tc>
        <w:tc>
          <w:tcPr>
            <w:tcW w:w="260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任意盈余公积金</w:t>
            </w:r>
          </w:p>
        </w:tc>
        <w:tc>
          <w:tcPr>
            <w:tcW w:w="1520"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2139.70842</w:t>
            </w:r>
          </w:p>
        </w:tc>
        <w:tc>
          <w:tcPr>
            <w:tcW w:w="18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净利润5%</w:t>
            </w:r>
          </w:p>
        </w:tc>
      </w:tr>
      <w:tr>
        <w:tblPrEx>
          <w:tblCellMar>
            <w:top w:w="0" w:type="dxa"/>
            <w:left w:w="108" w:type="dxa"/>
            <w:bottom w:w="0" w:type="dxa"/>
            <w:right w:w="108" w:type="dxa"/>
          </w:tblCellMar>
        </w:tblPrEx>
        <w:trPr>
          <w:trHeight w:val="280" w:hRule="atLeast"/>
        </w:trPr>
        <w:tc>
          <w:tcPr>
            <w:tcW w:w="1920"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w:t>
            </w:r>
          </w:p>
        </w:tc>
        <w:tc>
          <w:tcPr>
            <w:tcW w:w="260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未分配利润</w:t>
            </w:r>
          </w:p>
        </w:tc>
        <w:tc>
          <w:tcPr>
            <w:tcW w:w="1520"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36375.04315</w:t>
            </w:r>
          </w:p>
        </w:tc>
        <w:tc>
          <w:tcPr>
            <w:tcW w:w="18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=6-7-8</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keepLines/>
        <w:outlineLvl w:val="2"/>
        <w:rPr>
          <w:rFonts w:ascii="Times New Roman" w:hAnsi="Times New Roman" w:cs="Times New Roman"/>
          <w:b/>
          <w:bCs/>
          <w:sz w:val="28"/>
          <w:szCs w:val="32"/>
        </w:rPr>
      </w:pPr>
      <w:bookmarkStart w:id="56" w:name="_Toc141661875"/>
      <w:bookmarkStart w:id="57" w:name="_Toc141669665"/>
      <w:r>
        <w:rPr>
          <w:rFonts w:ascii="Times New Roman" w:hAnsi="Times New Roman" w:cs="Times New Roman"/>
          <w:b/>
          <w:bCs/>
          <w:sz w:val="28"/>
          <w:szCs w:val="32"/>
        </w:rPr>
        <w:t>2.3</w:t>
      </w:r>
      <w:r>
        <w:rPr>
          <w:rFonts w:hint="eastAsia" w:ascii="Times New Roman" w:hAnsi="Times New Roman" w:cs="Times New Roman"/>
          <w:b/>
          <w:bCs/>
          <w:sz w:val="28"/>
          <w:szCs w:val="32"/>
        </w:rPr>
        <w:t>.</w:t>
      </w:r>
      <w:r>
        <w:rPr>
          <w:rFonts w:ascii="Times New Roman" w:hAnsi="Times New Roman" w:cs="Times New Roman"/>
          <w:b/>
          <w:bCs/>
          <w:sz w:val="28"/>
          <w:szCs w:val="32"/>
        </w:rPr>
        <w:t xml:space="preserve">2 </w:t>
      </w:r>
      <w:r>
        <w:rPr>
          <w:rFonts w:hint="eastAsia" w:ascii="Times New Roman" w:hAnsi="Times New Roman" w:cs="Times New Roman"/>
          <w:b/>
          <w:bCs/>
          <w:sz w:val="28"/>
          <w:szCs w:val="32"/>
        </w:rPr>
        <w:t>财务现金流量表</w:t>
      </w:r>
      <w:bookmarkEnd w:id="56"/>
      <w:bookmarkEnd w:id="57"/>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2-7 </w:t>
      </w:r>
      <w:r>
        <w:rPr>
          <w:rFonts w:hint="eastAsia" w:ascii="Times New Roman" w:hAnsi="Times New Roman" w:cs="Times New Roman"/>
          <w:b/>
          <w:sz w:val="18"/>
          <w:szCs w:val="18"/>
        </w:rPr>
        <w:t>财务现金流量表（一）</w:t>
      </w:r>
    </w:p>
    <w:tbl>
      <w:tblPr>
        <w:tblStyle w:val="16"/>
        <w:tblW w:w="10885" w:type="dxa"/>
        <w:jc w:val="center"/>
        <w:tblLayout w:type="autofit"/>
        <w:tblCellMar>
          <w:top w:w="0" w:type="dxa"/>
          <w:left w:w="108" w:type="dxa"/>
          <w:bottom w:w="0" w:type="dxa"/>
          <w:right w:w="108" w:type="dxa"/>
        </w:tblCellMar>
      </w:tblPr>
      <w:tblGrid>
        <w:gridCol w:w="1129"/>
        <w:gridCol w:w="2835"/>
        <w:gridCol w:w="888"/>
        <w:gridCol w:w="1958"/>
        <w:gridCol w:w="1593"/>
        <w:gridCol w:w="1406"/>
        <w:gridCol w:w="1076"/>
      </w:tblGrid>
      <w:tr>
        <w:tblPrEx>
          <w:tblCellMar>
            <w:top w:w="0" w:type="dxa"/>
            <w:left w:w="108" w:type="dxa"/>
            <w:bottom w:w="0" w:type="dxa"/>
            <w:right w:w="108" w:type="dxa"/>
          </w:tblCellMar>
        </w:tblPrEx>
        <w:trPr>
          <w:trHeight w:val="280" w:hRule="atLeast"/>
          <w:jc w:val="center"/>
        </w:trPr>
        <w:tc>
          <w:tcPr>
            <w:tcW w:w="112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835"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5845" w:type="dxa"/>
            <w:gridSpan w:val="4"/>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投产期</w:t>
            </w:r>
          </w:p>
        </w:tc>
        <w:tc>
          <w:tcPr>
            <w:tcW w:w="1076" w:type="dxa"/>
            <w:tcBorders>
              <w:top w:val="single" w:color="B4C6E7" w:sz="4" w:space="0"/>
              <w:left w:val="nil"/>
              <w:bottom w:val="single" w:color="B4C6E7" w:sz="4" w:space="0"/>
              <w:right w:val="single" w:color="B4C6E7" w:sz="4" w:space="0"/>
            </w:tcBorders>
            <w:shd w:val="clear" w:color="000000" w:fill="4472C4"/>
            <w:noWrap/>
            <w:vAlign w:val="center"/>
          </w:tcPr>
          <w:p>
            <w:pPr>
              <w:widowControl/>
              <w:jc w:val="left"/>
              <w:rPr>
                <w:rFonts w:ascii="等线" w:hAnsi="等线" w:eastAsia="等线" w:cs="宋体"/>
                <w:color w:val="FFFFFF"/>
                <w:kern w:val="0"/>
                <w:sz w:val="22"/>
              </w:rPr>
            </w:pPr>
            <w:r>
              <w:rPr>
                <w:rFonts w:hint="eastAsia" w:ascii="等线" w:hAnsi="等线" w:eastAsia="等线" w:cs="宋体"/>
                <w:color w:val="FFFFFF"/>
                <w:kern w:val="0"/>
                <w:sz w:val="22"/>
              </w:rPr>
              <w:t>达产期</w:t>
            </w:r>
          </w:p>
        </w:tc>
      </w:tr>
      <w:tr>
        <w:tblPrEx>
          <w:tblCellMar>
            <w:top w:w="0" w:type="dxa"/>
            <w:left w:w="108" w:type="dxa"/>
            <w:bottom w:w="0" w:type="dxa"/>
            <w:right w:w="108" w:type="dxa"/>
          </w:tblCellMar>
        </w:tblPrEx>
        <w:trPr>
          <w:trHeight w:val="280" w:hRule="atLeast"/>
          <w:jc w:val="center"/>
        </w:trPr>
        <w:tc>
          <w:tcPr>
            <w:tcW w:w="1129"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2835"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888"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0</w:t>
            </w:r>
          </w:p>
        </w:tc>
        <w:tc>
          <w:tcPr>
            <w:tcW w:w="1958"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p>
        </w:tc>
        <w:tc>
          <w:tcPr>
            <w:tcW w:w="1593"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2</w:t>
            </w:r>
          </w:p>
        </w:tc>
        <w:tc>
          <w:tcPr>
            <w:tcW w:w="140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3</w:t>
            </w: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一</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现金流入</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销售收入</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365488.71</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469914.1</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522126.7</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回收固定资产余值</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回收流动资金</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365488.71</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469914.1</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522126.7</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二</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现金流出</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建设期投资</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35738.45</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流动资金</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5360.76749</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经营成本</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316324.67</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406703.1</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451892.4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6786.4063</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8725.379</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9694.866</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偿还本息</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2000</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2000</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2000</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325111.07</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417428.5</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463587.2</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三</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所得税前现金流量</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-41099.2174</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40377.637</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52485.53</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58539.48</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四</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累计所得税前净现金流量</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-721.5809</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51763.95</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110303.4</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五</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9985.306</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12838.25</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14264.72</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六</w:t>
            </w:r>
          </w:p>
        </w:tc>
        <w:tc>
          <w:tcPr>
            <w:tcW w:w="2835"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所得税后净现金流量</w:t>
            </w:r>
          </w:p>
        </w:tc>
        <w:tc>
          <w:tcPr>
            <w:tcW w:w="88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95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-41099.2174</w:t>
            </w:r>
          </w:p>
        </w:tc>
        <w:tc>
          <w:tcPr>
            <w:tcW w:w="15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30392.331</w:t>
            </w:r>
          </w:p>
        </w:tc>
        <w:tc>
          <w:tcPr>
            <w:tcW w:w="140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39647.28</w:t>
            </w:r>
          </w:p>
        </w:tc>
        <w:tc>
          <w:tcPr>
            <w:tcW w:w="1076"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44274.76</w:t>
            </w:r>
          </w:p>
        </w:tc>
      </w:tr>
      <w:tr>
        <w:tblPrEx>
          <w:tblCellMar>
            <w:top w:w="0" w:type="dxa"/>
            <w:left w:w="108" w:type="dxa"/>
            <w:bottom w:w="0" w:type="dxa"/>
            <w:right w:w="108" w:type="dxa"/>
          </w:tblCellMar>
        </w:tblPrEx>
        <w:trPr>
          <w:trHeight w:val="280" w:hRule="atLeast"/>
          <w:jc w:val="center"/>
        </w:trPr>
        <w:tc>
          <w:tcPr>
            <w:tcW w:w="1129"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七</w:t>
            </w:r>
          </w:p>
        </w:tc>
        <w:tc>
          <w:tcPr>
            <w:tcW w:w="2835"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累计所得税后净现金流量</w:t>
            </w:r>
          </w:p>
        </w:tc>
        <w:tc>
          <w:tcPr>
            <w:tcW w:w="88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w:t>
            </w:r>
          </w:p>
        </w:tc>
        <w:tc>
          <w:tcPr>
            <w:tcW w:w="195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-41099.2174</w:t>
            </w:r>
          </w:p>
        </w:tc>
        <w:tc>
          <w:tcPr>
            <w:tcW w:w="15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-10706.89</w:t>
            </w:r>
          </w:p>
        </w:tc>
        <w:tc>
          <w:tcPr>
            <w:tcW w:w="140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28940.4</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73215.15</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2-8 </w:t>
      </w:r>
      <w:r>
        <w:rPr>
          <w:rFonts w:hint="eastAsia" w:ascii="Times New Roman" w:hAnsi="Times New Roman" w:cs="Times New Roman"/>
          <w:b/>
          <w:sz w:val="18"/>
          <w:szCs w:val="18"/>
        </w:rPr>
        <w:t>财务现金流量表（二）</w:t>
      </w:r>
    </w:p>
    <w:tbl>
      <w:tblPr>
        <w:tblStyle w:val="16"/>
        <w:tblW w:w="11426" w:type="dxa"/>
        <w:jc w:val="center"/>
        <w:tblLayout w:type="autofit"/>
        <w:tblCellMar>
          <w:top w:w="0" w:type="dxa"/>
          <w:left w:w="108" w:type="dxa"/>
          <w:bottom w:w="0" w:type="dxa"/>
          <w:right w:w="108" w:type="dxa"/>
        </w:tblCellMar>
      </w:tblPr>
      <w:tblGrid>
        <w:gridCol w:w="562"/>
        <w:gridCol w:w="2268"/>
        <w:gridCol w:w="1287"/>
        <w:gridCol w:w="1444"/>
        <w:gridCol w:w="1593"/>
        <w:gridCol w:w="1424"/>
        <w:gridCol w:w="1424"/>
        <w:gridCol w:w="1424"/>
      </w:tblGrid>
      <w:tr>
        <w:tblPrEx>
          <w:tblCellMar>
            <w:top w:w="0" w:type="dxa"/>
            <w:left w:w="108" w:type="dxa"/>
            <w:bottom w:w="0" w:type="dxa"/>
            <w:right w:w="108" w:type="dxa"/>
          </w:tblCellMar>
        </w:tblPrEx>
        <w:trPr>
          <w:trHeight w:val="280" w:hRule="atLeast"/>
          <w:jc w:val="center"/>
        </w:trPr>
        <w:tc>
          <w:tcPr>
            <w:tcW w:w="562"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序号</w:t>
            </w:r>
          </w:p>
        </w:tc>
        <w:tc>
          <w:tcPr>
            <w:tcW w:w="2268"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项目</w:t>
            </w:r>
          </w:p>
        </w:tc>
        <w:tc>
          <w:tcPr>
            <w:tcW w:w="8596" w:type="dxa"/>
            <w:gridSpan w:val="6"/>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达产期</w:t>
            </w:r>
          </w:p>
        </w:tc>
      </w:tr>
      <w:tr>
        <w:tblPrEx>
          <w:tblCellMar>
            <w:top w:w="0" w:type="dxa"/>
            <w:left w:w="108" w:type="dxa"/>
            <w:bottom w:w="0" w:type="dxa"/>
            <w:right w:w="108" w:type="dxa"/>
          </w:tblCellMar>
        </w:tblPrEx>
        <w:trPr>
          <w:trHeight w:val="280" w:hRule="atLeast"/>
          <w:jc w:val="center"/>
        </w:trPr>
        <w:tc>
          <w:tcPr>
            <w:tcW w:w="562"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center"/>
              <w:rPr>
                <w:rFonts w:ascii="等线" w:hAnsi="等线" w:eastAsia="等线" w:cs="宋体"/>
                <w:color w:val="FFFFFF"/>
                <w:kern w:val="0"/>
                <w:sz w:val="18"/>
                <w:szCs w:val="18"/>
              </w:rPr>
            </w:pPr>
          </w:p>
        </w:tc>
        <w:tc>
          <w:tcPr>
            <w:tcW w:w="2268"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center"/>
              <w:rPr>
                <w:rFonts w:ascii="等线" w:hAnsi="等线" w:eastAsia="等线" w:cs="宋体"/>
                <w:color w:val="FFFFFF"/>
                <w:kern w:val="0"/>
                <w:sz w:val="18"/>
                <w:szCs w:val="18"/>
              </w:rPr>
            </w:pPr>
          </w:p>
        </w:tc>
        <w:tc>
          <w:tcPr>
            <w:tcW w:w="1287"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5</w:t>
            </w:r>
          </w:p>
        </w:tc>
        <w:tc>
          <w:tcPr>
            <w:tcW w:w="144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6</w:t>
            </w:r>
          </w:p>
        </w:tc>
        <w:tc>
          <w:tcPr>
            <w:tcW w:w="1593"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7</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8</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9</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18"/>
                <w:szCs w:val="18"/>
              </w:rPr>
            </w:pPr>
            <w:r>
              <w:rPr>
                <w:rFonts w:hint="eastAsia" w:ascii="等线" w:hAnsi="等线" w:eastAsia="等线" w:cs="宋体"/>
                <w:color w:val="FFFFFF"/>
                <w:kern w:val="0"/>
                <w:sz w:val="18"/>
                <w:szCs w:val="18"/>
              </w:rPr>
              <w:t>1</w:t>
            </w:r>
            <w:r>
              <w:rPr>
                <w:rFonts w:ascii="等线" w:hAnsi="等线" w:eastAsia="等线" w:cs="宋体"/>
                <w:color w:val="FFFFFF"/>
                <w:kern w:val="0"/>
                <w:sz w:val="18"/>
                <w:szCs w:val="18"/>
              </w:rPr>
              <w:t>0</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一</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现金流入</w:t>
            </w:r>
          </w:p>
        </w:tc>
        <w:tc>
          <w:tcPr>
            <w:tcW w:w="1287"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仿宋"/>
                <w:color w:val="000000"/>
                <w:kern w:val="0"/>
                <w:sz w:val="18"/>
                <w:szCs w:val="18"/>
              </w:rPr>
              <w:t>　</w:t>
            </w:r>
          </w:p>
        </w:tc>
        <w:tc>
          <w:tcPr>
            <w:tcW w:w="144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18"/>
                <w:szCs w:val="18"/>
              </w:rPr>
            </w:pPr>
            <w:r>
              <w:rPr>
                <w:rFonts w:hint="eastAsia" w:ascii="等线" w:hAnsi="等线" w:eastAsia="等线" w:cs="仿宋"/>
                <w:color w:val="000000"/>
                <w:kern w:val="0"/>
                <w:sz w:val="18"/>
                <w:szCs w:val="18"/>
              </w:rPr>
              <w:t>　</w:t>
            </w:r>
          </w:p>
        </w:tc>
        <w:tc>
          <w:tcPr>
            <w:tcW w:w="1593"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18"/>
                <w:szCs w:val="18"/>
              </w:rPr>
            </w:pPr>
            <w:r>
              <w:rPr>
                <w:rFonts w:hint="eastAsia" w:ascii="等线" w:hAnsi="等线" w:eastAsia="等线" w:cs="仿宋"/>
                <w:color w:val="000000"/>
                <w:kern w:val="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18"/>
                <w:szCs w:val="18"/>
              </w:rPr>
            </w:pPr>
            <w:r>
              <w:rPr>
                <w:rFonts w:hint="eastAsia" w:ascii="等线" w:hAnsi="等线" w:eastAsia="等线" w:cs="仿宋"/>
                <w:color w:val="000000"/>
                <w:kern w:val="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18"/>
                <w:szCs w:val="18"/>
              </w:rPr>
            </w:pPr>
            <w:r>
              <w:rPr>
                <w:rFonts w:hint="eastAsia" w:ascii="等线" w:hAnsi="等线" w:eastAsia="等线" w:cs="仿宋"/>
                <w:color w:val="000000"/>
                <w:kern w:val="0"/>
                <w:sz w:val="18"/>
                <w:szCs w:val="18"/>
              </w:rPr>
              <w:t>　</w:t>
            </w:r>
          </w:p>
        </w:tc>
        <w:tc>
          <w:tcPr>
            <w:tcW w:w="142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18"/>
                <w:szCs w:val="18"/>
              </w:rPr>
            </w:pPr>
            <w:r>
              <w:rPr>
                <w:rFonts w:hint="eastAsia" w:ascii="等线" w:hAnsi="等线" w:eastAsia="等线" w:cs="仿宋"/>
                <w:color w:val="000000"/>
                <w:kern w:val="0"/>
                <w:sz w:val="18"/>
                <w:szCs w:val="18"/>
              </w:rPr>
              <w:t>　</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销售收入</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回收固定资产余值</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回收流动资金</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4</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小计</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522126.7273</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二</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现金流出</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建设期投资</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2</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流动资金及建设期利息</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3</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经营成本</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451892.3804</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4</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销售税金及附加</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9694.866081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5</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偿还本息</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2000</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2000</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2081.374154</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6</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小计</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463587.2465</w:t>
            </w: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463587.2465</w:t>
            </w: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463668.6207</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461587.2465</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461587.2465</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461587.2465</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三</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所得税前现金流量</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58539.48081</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58539.48081</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58458.10665</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60539.48081</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60539.48081</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60539.48081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四</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累计所得税前净现金流量</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168842.9135</w:t>
            </w: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227382.3943</w:t>
            </w: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285840.5009</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346379.9817</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406919.4625</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467458.9434</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五</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所得税</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14264.7228</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六</w:t>
            </w:r>
          </w:p>
        </w:tc>
        <w:tc>
          <w:tcPr>
            <w:tcW w:w="2268"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所得税后净现金流量</w:t>
            </w:r>
          </w:p>
        </w:tc>
        <w:tc>
          <w:tcPr>
            <w:tcW w:w="1287"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44274.75801</w:t>
            </w:r>
          </w:p>
        </w:tc>
        <w:tc>
          <w:tcPr>
            <w:tcW w:w="144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44274.75801</w:t>
            </w:r>
          </w:p>
        </w:tc>
        <w:tc>
          <w:tcPr>
            <w:tcW w:w="1593"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44193.38385</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46274.75801</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46274.75801</w:t>
            </w:r>
          </w:p>
        </w:tc>
        <w:tc>
          <w:tcPr>
            <w:tcW w:w="1424" w:type="dxa"/>
            <w:tcBorders>
              <w:top w:val="nil"/>
              <w:left w:val="nil"/>
              <w:bottom w:val="single" w:color="B4C6E7" w:sz="4" w:space="0"/>
              <w:right w:val="single" w:color="B4C6E7" w:sz="4" w:space="0"/>
            </w:tcBorders>
            <w:shd w:val="clear" w:color="000000" w:fill="D9E1F2"/>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46274.75801</w:t>
            </w:r>
          </w:p>
        </w:tc>
      </w:tr>
      <w:tr>
        <w:tblPrEx>
          <w:tblCellMar>
            <w:top w:w="0" w:type="dxa"/>
            <w:left w:w="108" w:type="dxa"/>
            <w:bottom w:w="0" w:type="dxa"/>
            <w:right w:w="108" w:type="dxa"/>
          </w:tblCellMar>
        </w:tblPrEx>
        <w:trPr>
          <w:trHeight w:val="280" w:hRule="atLeast"/>
          <w:jc w:val="center"/>
        </w:trPr>
        <w:tc>
          <w:tcPr>
            <w:tcW w:w="562"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七</w:t>
            </w:r>
          </w:p>
        </w:tc>
        <w:tc>
          <w:tcPr>
            <w:tcW w:w="2268"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累计所得税后净现金流量</w:t>
            </w:r>
          </w:p>
        </w:tc>
        <w:tc>
          <w:tcPr>
            <w:tcW w:w="1287"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117489.9114</w:t>
            </w:r>
          </w:p>
        </w:tc>
        <w:tc>
          <w:tcPr>
            <w:tcW w:w="144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161764.6694</w:t>
            </w:r>
          </w:p>
        </w:tc>
        <w:tc>
          <w:tcPr>
            <w:tcW w:w="1593"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205958.0532</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252232.8112</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298507.5692</w:t>
            </w:r>
          </w:p>
        </w:tc>
        <w:tc>
          <w:tcPr>
            <w:tcW w:w="1424" w:type="dxa"/>
            <w:tcBorders>
              <w:top w:val="nil"/>
              <w:left w:val="nil"/>
              <w:bottom w:val="single" w:color="B4C6E7" w:sz="4" w:space="0"/>
              <w:right w:val="single" w:color="B4C6E7" w:sz="4" w:space="0"/>
            </w:tcBorders>
            <w:shd w:val="clear" w:color="auto" w:fill="auto"/>
            <w:noWrap/>
          </w:tcPr>
          <w:p>
            <w:pPr>
              <w:widowControl/>
              <w:jc w:val="center"/>
              <w:rPr>
                <w:rFonts w:ascii="等线" w:hAnsi="等线" w:eastAsia="等线" w:cs="宋体"/>
                <w:color w:val="000000"/>
                <w:kern w:val="0"/>
                <w:sz w:val="18"/>
                <w:szCs w:val="18"/>
              </w:rPr>
            </w:pPr>
            <w:r>
              <w:rPr>
                <w:rFonts w:ascii="等线" w:hAnsi="等线" w:eastAsia="等线" w:cs="宋体"/>
                <w:color w:val="000000"/>
                <w:kern w:val="0"/>
                <w:sz w:val="18"/>
                <w:szCs w:val="18"/>
              </w:rPr>
              <w:t>344782.3273</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表</w:t>
      </w:r>
      <w:r>
        <w:rPr>
          <w:rFonts w:ascii="Times New Roman" w:hAnsi="Times New Roman" w:cs="Times New Roman"/>
          <w:b/>
          <w:sz w:val="18"/>
          <w:szCs w:val="18"/>
        </w:rPr>
        <w:t xml:space="preserve">2-9 </w:t>
      </w:r>
      <w:r>
        <w:rPr>
          <w:rFonts w:hint="eastAsia" w:ascii="Times New Roman" w:hAnsi="Times New Roman" w:cs="Times New Roman"/>
          <w:b/>
          <w:sz w:val="18"/>
          <w:szCs w:val="18"/>
        </w:rPr>
        <w:t>财务现金流量表（三）</w:t>
      </w:r>
    </w:p>
    <w:tbl>
      <w:tblPr>
        <w:tblStyle w:val="16"/>
        <w:tblW w:w="10192" w:type="dxa"/>
        <w:jc w:val="center"/>
        <w:tblLayout w:type="autofit"/>
        <w:tblCellMar>
          <w:top w:w="0" w:type="dxa"/>
          <w:left w:w="108" w:type="dxa"/>
          <w:bottom w:w="0" w:type="dxa"/>
          <w:right w:w="108" w:type="dxa"/>
        </w:tblCellMar>
      </w:tblPr>
      <w:tblGrid>
        <w:gridCol w:w="846"/>
        <w:gridCol w:w="2693"/>
        <w:gridCol w:w="1424"/>
        <w:gridCol w:w="1444"/>
        <w:gridCol w:w="1593"/>
        <w:gridCol w:w="1424"/>
        <w:gridCol w:w="1424"/>
      </w:tblGrid>
      <w:tr>
        <w:tblPrEx>
          <w:tblCellMar>
            <w:top w:w="0" w:type="dxa"/>
            <w:left w:w="108" w:type="dxa"/>
            <w:bottom w:w="0" w:type="dxa"/>
            <w:right w:w="108" w:type="dxa"/>
          </w:tblCellMar>
        </w:tblPrEx>
        <w:trPr>
          <w:trHeight w:val="280" w:hRule="atLeast"/>
          <w:jc w:val="center"/>
        </w:trPr>
        <w:tc>
          <w:tcPr>
            <w:tcW w:w="84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序号</w:t>
            </w:r>
          </w:p>
        </w:tc>
        <w:tc>
          <w:tcPr>
            <w:tcW w:w="2693"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项目</w:t>
            </w:r>
          </w:p>
        </w:tc>
        <w:tc>
          <w:tcPr>
            <w:tcW w:w="6653" w:type="dxa"/>
            <w:gridSpan w:val="5"/>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达产期</w:t>
            </w:r>
          </w:p>
        </w:tc>
      </w:tr>
      <w:tr>
        <w:tblPrEx>
          <w:tblCellMar>
            <w:top w:w="0" w:type="dxa"/>
            <w:left w:w="108" w:type="dxa"/>
            <w:bottom w:w="0" w:type="dxa"/>
            <w:right w:w="108" w:type="dxa"/>
          </w:tblCellMar>
        </w:tblPrEx>
        <w:trPr>
          <w:trHeight w:val="280" w:hRule="atLeast"/>
          <w:jc w:val="center"/>
        </w:trPr>
        <w:tc>
          <w:tcPr>
            <w:tcW w:w="846"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center"/>
              <w:rPr>
                <w:rFonts w:ascii="等线" w:hAnsi="等线" w:eastAsia="等线" w:cs="宋体"/>
                <w:color w:val="000000"/>
                <w:kern w:val="0"/>
                <w:sz w:val="22"/>
              </w:rPr>
            </w:pPr>
          </w:p>
        </w:tc>
        <w:tc>
          <w:tcPr>
            <w:tcW w:w="2693"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center"/>
              <w:rPr>
                <w:rFonts w:ascii="等线" w:hAnsi="等线" w:eastAsia="等线" w:cs="宋体"/>
                <w:color w:val="000000"/>
                <w:kern w:val="0"/>
                <w:sz w:val="22"/>
              </w:rPr>
            </w:pPr>
          </w:p>
        </w:tc>
        <w:tc>
          <w:tcPr>
            <w:tcW w:w="113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1</w:t>
            </w:r>
          </w:p>
        </w:tc>
        <w:tc>
          <w:tcPr>
            <w:tcW w:w="144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2</w:t>
            </w:r>
          </w:p>
        </w:tc>
        <w:tc>
          <w:tcPr>
            <w:tcW w:w="1593"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3</w:t>
            </w:r>
          </w:p>
        </w:tc>
        <w:tc>
          <w:tcPr>
            <w:tcW w:w="140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4</w:t>
            </w: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r>
              <w:rPr>
                <w:rFonts w:ascii="等线" w:hAnsi="等线" w:eastAsia="等线" w:cs="宋体"/>
                <w:color w:val="000000"/>
                <w:kern w:val="0"/>
                <w:sz w:val="22"/>
              </w:rPr>
              <w:t>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一</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现金流入</w:t>
            </w:r>
          </w:p>
        </w:tc>
        <w:tc>
          <w:tcPr>
            <w:tcW w:w="113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4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93"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0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销售收入</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回收固定资产余值</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回收流动资金</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67"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二</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现金流出</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建设期投资</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流动资金及建设期利息</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经营成本</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451892.3804</w:t>
            </w: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451892.3804</w:t>
            </w: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451892.3804</w:t>
            </w: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451892.3804</w:t>
            </w: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451892.3804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9694.866081</w:t>
            </w: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9694.866081</w:t>
            </w: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9694.866081</w:t>
            </w: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9694.866081</w:t>
            </w: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9694.866081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偿还本息</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461587.2465</w:t>
            </w: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461587.2465</w:t>
            </w: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461587.2465</w:t>
            </w: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461587.2465</w:t>
            </w: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461587.2465</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三</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所得税前现金流量</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60539.48081</w:t>
            </w: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60539.48081</w:t>
            </w: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60539.48081</w:t>
            </w: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60539.48081</w:t>
            </w: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60539.48081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四</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累计所得税前净现金流量</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527998.4242</w:t>
            </w: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588537.905</w:t>
            </w: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649077.3858</w:t>
            </w: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709616.8666</w:t>
            </w: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770156.3474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五</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14264.7228</w:t>
            </w: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14264.7228</w:t>
            </w: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14264.7228</w:t>
            </w: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14264.7228</w:t>
            </w: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14264.7228</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六</w:t>
            </w:r>
          </w:p>
        </w:tc>
        <w:tc>
          <w:tcPr>
            <w:tcW w:w="269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所得税后净现金流量</w:t>
            </w:r>
          </w:p>
        </w:tc>
        <w:tc>
          <w:tcPr>
            <w:tcW w:w="113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46274.75801</w:t>
            </w:r>
          </w:p>
        </w:tc>
        <w:tc>
          <w:tcPr>
            <w:tcW w:w="1444"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46274.75801</w:t>
            </w:r>
          </w:p>
        </w:tc>
        <w:tc>
          <w:tcPr>
            <w:tcW w:w="1593"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46274.75801</w:t>
            </w:r>
          </w:p>
        </w:tc>
        <w:tc>
          <w:tcPr>
            <w:tcW w:w="140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46274.75801</w:t>
            </w:r>
          </w:p>
        </w:tc>
        <w:tc>
          <w:tcPr>
            <w:tcW w:w="1076" w:type="dxa"/>
            <w:tcBorders>
              <w:top w:val="nil"/>
              <w:left w:val="nil"/>
              <w:bottom w:val="single" w:color="B4C6E7" w:sz="4" w:space="0"/>
              <w:right w:val="single" w:color="B4C6E7" w:sz="4" w:space="0"/>
            </w:tcBorders>
            <w:shd w:val="clear" w:color="000000" w:fill="D9E1F2"/>
            <w:noWrap/>
          </w:tcPr>
          <w:p>
            <w:pPr>
              <w:autoSpaceDE w:val="0"/>
              <w:autoSpaceDN w:val="0"/>
              <w:jc w:val="left"/>
              <w:rPr>
                <w:rFonts w:ascii="等线" w:hAnsi="等线" w:eastAsia="等线" w:cs="宋体"/>
                <w:color w:val="000000"/>
                <w:kern w:val="0"/>
                <w:sz w:val="22"/>
              </w:rPr>
            </w:pPr>
            <w:r>
              <w:rPr>
                <w:rFonts w:ascii="等线" w:hAnsi="等线" w:eastAsia="等线" w:cs="宋体"/>
                <w:color w:val="000000"/>
                <w:kern w:val="0"/>
                <w:sz w:val="22"/>
              </w:rPr>
              <w:t>46274.75801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七</w:t>
            </w:r>
          </w:p>
        </w:tc>
        <w:tc>
          <w:tcPr>
            <w:tcW w:w="269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累计所得税后净现金流量</w:t>
            </w:r>
          </w:p>
        </w:tc>
        <w:tc>
          <w:tcPr>
            <w:tcW w:w="1134" w:type="dxa"/>
            <w:tcBorders>
              <w:top w:val="nil"/>
              <w:left w:val="nil"/>
              <w:bottom w:val="single" w:color="B4C6E7" w:sz="4" w:space="0"/>
              <w:right w:val="single" w:color="B4C6E7" w:sz="4" w:space="0"/>
            </w:tcBorders>
            <w:shd w:val="clear" w:color="auto" w:fill="auto"/>
            <w:noWrap/>
          </w:tcPr>
          <w:p>
            <w:pPr>
              <w:autoSpaceDE w:val="0"/>
              <w:autoSpaceDN w:val="0"/>
              <w:jc w:val="left"/>
              <w:rPr>
                <w:rFonts w:ascii="仿宋" w:hAnsi="仿宋" w:cs="仿宋"/>
                <w:kern w:val="0"/>
              </w:rPr>
            </w:pPr>
            <w:r>
              <w:rPr>
                <w:rFonts w:ascii="仿宋" w:hAnsi="仿宋" w:cs="仿宋"/>
                <w:kern w:val="0"/>
              </w:rPr>
              <w:t>391057.0853</w:t>
            </w:r>
          </w:p>
        </w:tc>
        <w:tc>
          <w:tcPr>
            <w:tcW w:w="1444" w:type="dxa"/>
            <w:tcBorders>
              <w:top w:val="nil"/>
              <w:left w:val="nil"/>
              <w:bottom w:val="single" w:color="B4C6E7" w:sz="4" w:space="0"/>
              <w:right w:val="single" w:color="B4C6E7" w:sz="4" w:space="0"/>
            </w:tcBorders>
            <w:shd w:val="clear" w:color="auto" w:fill="auto"/>
            <w:noWrap/>
          </w:tcPr>
          <w:p>
            <w:pPr>
              <w:autoSpaceDE w:val="0"/>
              <w:autoSpaceDN w:val="0"/>
              <w:jc w:val="left"/>
              <w:rPr>
                <w:rFonts w:ascii="仿宋" w:hAnsi="仿宋" w:cs="仿宋"/>
                <w:kern w:val="0"/>
              </w:rPr>
            </w:pPr>
            <w:r>
              <w:rPr>
                <w:rFonts w:ascii="仿宋" w:hAnsi="仿宋" w:cs="仿宋"/>
                <w:kern w:val="0"/>
              </w:rPr>
              <w:t>437331.8433</w:t>
            </w:r>
          </w:p>
        </w:tc>
        <w:tc>
          <w:tcPr>
            <w:tcW w:w="1593" w:type="dxa"/>
            <w:tcBorders>
              <w:top w:val="nil"/>
              <w:left w:val="nil"/>
              <w:bottom w:val="single" w:color="B4C6E7" w:sz="4" w:space="0"/>
              <w:right w:val="single" w:color="B4C6E7" w:sz="4" w:space="0"/>
            </w:tcBorders>
            <w:shd w:val="clear" w:color="auto" w:fill="auto"/>
            <w:noWrap/>
          </w:tcPr>
          <w:p>
            <w:pPr>
              <w:autoSpaceDE w:val="0"/>
              <w:autoSpaceDN w:val="0"/>
              <w:jc w:val="left"/>
              <w:rPr>
                <w:rFonts w:ascii="仿宋" w:hAnsi="仿宋" w:cs="仿宋"/>
                <w:kern w:val="0"/>
              </w:rPr>
            </w:pPr>
            <w:r>
              <w:rPr>
                <w:rFonts w:ascii="仿宋" w:hAnsi="仿宋" w:cs="仿宋"/>
                <w:kern w:val="0"/>
              </w:rPr>
              <w:t>483606.6013</w:t>
            </w:r>
          </w:p>
        </w:tc>
        <w:tc>
          <w:tcPr>
            <w:tcW w:w="1406" w:type="dxa"/>
            <w:tcBorders>
              <w:top w:val="nil"/>
              <w:left w:val="nil"/>
              <w:bottom w:val="single" w:color="B4C6E7" w:sz="4" w:space="0"/>
              <w:right w:val="single" w:color="B4C6E7" w:sz="4" w:space="0"/>
            </w:tcBorders>
            <w:shd w:val="clear" w:color="auto" w:fill="auto"/>
            <w:noWrap/>
          </w:tcPr>
          <w:p>
            <w:pPr>
              <w:autoSpaceDE w:val="0"/>
              <w:autoSpaceDN w:val="0"/>
              <w:jc w:val="left"/>
              <w:rPr>
                <w:rFonts w:ascii="仿宋" w:hAnsi="仿宋" w:cs="仿宋"/>
                <w:kern w:val="0"/>
              </w:rPr>
            </w:pPr>
            <w:r>
              <w:rPr>
                <w:rFonts w:ascii="仿宋" w:hAnsi="仿宋" w:cs="仿宋"/>
                <w:kern w:val="0"/>
              </w:rPr>
              <w:t>529881.3593</w:t>
            </w:r>
          </w:p>
        </w:tc>
        <w:tc>
          <w:tcPr>
            <w:tcW w:w="1076" w:type="dxa"/>
            <w:tcBorders>
              <w:top w:val="nil"/>
              <w:left w:val="nil"/>
              <w:bottom w:val="single" w:color="B4C6E7" w:sz="4" w:space="0"/>
              <w:right w:val="single" w:color="B4C6E7" w:sz="4" w:space="0"/>
            </w:tcBorders>
            <w:shd w:val="clear" w:color="auto" w:fill="auto"/>
            <w:noWrap/>
          </w:tcPr>
          <w:p>
            <w:pPr>
              <w:autoSpaceDE w:val="0"/>
              <w:autoSpaceDN w:val="0"/>
              <w:jc w:val="left"/>
              <w:rPr>
                <w:rFonts w:ascii="仿宋" w:hAnsi="仿宋" w:cs="仿宋"/>
                <w:kern w:val="0"/>
              </w:rPr>
            </w:pPr>
            <w:r>
              <w:rPr>
                <w:rFonts w:ascii="仿宋" w:hAnsi="仿宋" w:cs="仿宋"/>
                <w:kern w:val="0"/>
              </w:rPr>
              <w:t>576156.1173</w:t>
            </w:r>
          </w:p>
        </w:tc>
      </w:tr>
    </w:tbl>
    <w:p>
      <w:pPr>
        <w:autoSpaceDE w:val="0"/>
        <w:autoSpaceDN w:val="0"/>
        <w:spacing w:before="156" w:beforeLines="50" w:after="156" w:afterLines="50"/>
        <w:ind w:firstLine="420" w:firstLineChars="200"/>
        <w:jc w:val="left"/>
        <w:rPr>
          <w:rFonts w:ascii="Times New Roman" w:hAnsi="Times New Roman" w:cs="Times New Roman"/>
        </w:rPr>
      </w:pPr>
      <w:r>
        <w:rPr>
          <w:rFonts w:hint="eastAsia" w:ascii="Times New Roman" w:hAnsi="Times New Roman" w:cs="Times New Roman"/>
        </w:rPr>
        <w:t>根据以上现金流量表绘制出累计现金流量图如下：</w:t>
      </w:r>
    </w:p>
    <w:p>
      <w:pPr>
        <w:autoSpaceDE w:val="0"/>
        <w:autoSpaceDN w:val="0"/>
        <w:spacing w:before="156" w:beforeLines="50" w:after="156" w:afterLines="50"/>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3884930" cy="209804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885417" cy="2098040"/>
                    </a:xfrm>
                    <a:prstGeom prst="rect">
                      <a:avLst/>
                    </a:prstGeom>
                    <a:noFill/>
                    <a:ln>
                      <a:noFill/>
                    </a:ln>
                  </pic:spPr>
                </pic:pic>
              </a:graphicData>
            </a:graphic>
          </wp:inline>
        </w:drawing>
      </w: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图2</w:t>
      </w:r>
      <w:r>
        <w:rPr>
          <w:rFonts w:ascii="Times New Roman" w:hAnsi="Times New Roman" w:cs="Times New Roman"/>
          <w:b/>
          <w:sz w:val="18"/>
          <w:szCs w:val="18"/>
        </w:rPr>
        <w:t xml:space="preserve">-1 </w:t>
      </w:r>
      <w:r>
        <w:rPr>
          <w:rFonts w:hint="eastAsia" w:ascii="Times New Roman" w:hAnsi="Times New Roman" w:cs="Times New Roman"/>
          <w:b/>
          <w:sz w:val="18"/>
          <w:szCs w:val="18"/>
        </w:rPr>
        <w:t>累计现金流量与年限图</w:t>
      </w:r>
    </w:p>
    <w:p>
      <w:pPr>
        <w:keepLines/>
        <w:outlineLvl w:val="2"/>
        <w:rPr>
          <w:rFonts w:ascii="Times New Roman" w:hAnsi="Times New Roman" w:cs="Times New Roman"/>
          <w:b/>
          <w:bCs/>
          <w:sz w:val="28"/>
          <w:szCs w:val="32"/>
        </w:rPr>
      </w:pPr>
      <w:bookmarkStart w:id="58" w:name="_Toc141669666"/>
      <w:r>
        <w:rPr>
          <w:rFonts w:ascii="Times New Roman" w:hAnsi="Times New Roman" w:cs="Times New Roman"/>
          <w:b/>
          <w:bCs/>
          <w:sz w:val="28"/>
          <w:szCs w:val="32"/>
        </w:rPr>
        <w:t xml:space="preserve">2.3.3 </w:t>
      </w:r>
      <w:r>
        <w:rPr>
          <w:rFonts w:hint="eastAsia" w:ascii="Times New Roman" w:hAnsi="Times New Roman" w:cs="Times New Roman"/>
          <w:b/>
          <w:bCs/>
          <w:sz w:val="28"/>
          <w:szCs w:val="32"/>
        </w:rPr>
        <w:t>权益投资财务现金流量表</w:t>
      </w:r>
      <w:bookmarkEnd w:id="58"/>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 xml:space="preserve">表 </w:t>
      </w:r>
      <w:r>
        <w:rPr>
          <w:rFonts w:ascii="Times New Roman" w:hAnsi="Times New Roman" w:cs="Times New Roman"/>
          <w:b/>
          <w:sz w:val="18"/>
          <w:szCs w:val="18"/>
        </w:rPr>
        <w:t xml:space="preserve">9-10 </w:t>
      </w:r>
      <w:r>
        <w:rPr>
          <w:rFonts w:hint="eastAsia" w:ascii="Times New Roman" w:hAnsi="Times New Roman" w:cs="Times New Roman"/>
          <w:b/>
          <w:sz w:val="18"/>
          <w:szCs w:val="18"/>
        </w:rPr>
        <w:t>权益投资财务现金流量表（一）</w:t>
      </w:r>
    </w:p>
    <w:tbl>
      <w:tblPr>
        <w:tblStyle w:val="16"/>
        <w:tblW w:w="10768" w:type="dxa"/>
        <w:jc w:val="center"/>
        <w:tblLayout w:type="autofit"/>
        <w:tblCellMar>
          <w:top w:w="0" w:type="dxa"/>
          <w:left w:w="108" w:type="dxa"/>
          <w:bottom w:w="0" w:type="dxa"/>
          <w:right w:w="108" w:type="dxa"/>
        </w:tblCellMar>
      </w:tblPr>
      <w:tblGrid>
        <w:gridCol w:w="436"/>
        <w:gridCol w:w="2539"/>
        <w:gridCol w:w="863"/>
        <w:gridCol w:w="1559"/>
        <w:gridCol w:w="1424"/>
        <w:gridCol w:w="1424"/>
        <w:gridCol w:w="1424"/>
        <w:gridCol w:w="1424"/>
      </w:tblGrid>
      <w:tr>
        <w:tblPrEx>
          <w:tblCellMar>
            <w:top w:w="0" w:type="dxa"/>
            <w:left w:w="108" w:type="dxa"/>
            <w:bottom w:w="0" w:type="dxa"/>
            <w:right w:w="108" w:type="dxa"/>
          </w:tblCellMar>
        </w:tblPrEx>
        <w:trPr>
          <w:trHeight w:val="280" w:hRule="atLeast"/>
          <w:jc w:val="center"/>
        </w:trPr>
        <w:tc>
          <w:tcPr>
            <w:tcW w:w="43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53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2422"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建设期</w:t>
            </w:r>
          </w:p>
        </w:tc>
        <w:tc>
          <w:tcPr>
            <w:tcW w:w="2848"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投产期</w:t>
            </w:r>
          </w:p>
        </w:tc>
        <w:tc>
          <w:tcPr>
            <w:tcW w:w="2523" w:type="dxa"/>
            <w:gridSpan w:val="2"/>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达产期</w:t>
            </w:r>
          </w:p>
        </w:tc>
      </w:tr>
      <w:tr>
        <w:tblPrEx>
          <w:tblCellMar>
            <w:top w:w="0" w:type="dxa"/>
            <w:left w:w="108" w:type="dxa"/>
            <w:bottom w:w="0" w:type="dxa"/>
            <w:right w:w="108" w:type="dxa"/>
          </w:tblCellMar>
        </w:tblPrEx>
        <w:trPr>
          <w:trHeight w:val="280" w:hRule="atLeast"/>
          <w:jc w:val="center"/>
        </w:trPr>
        <w:tc>
          <w:tcPr>
            <w:tcW w:w="436"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2539"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863"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0</w:t>
            </w:r>
          </w:p>
        </w:tc>
        <w:tc>
          <w:tcPr>
            <w:tcW w:w="1559"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2</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3</w:t>
            </w:r>
          </w:p>
        </w:tc>
        <w:tc>
          <w:tcPr>
            <w:tcW w:w="142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4</w:t>
            </w:r>
          </w:p>
        </w:tc>
        <w:tc>
          <w:tcPr>
            <w:tcW w:w="1099"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5</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一</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现金流入</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42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09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销售收入</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0</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365488.7091</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469914.0546</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回收固定资产余值</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09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回收流动资金</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365488.7091</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469914.0546</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09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二</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现金流出</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建设期投资</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35738.44995</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09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偿还本息</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2000</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2000</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2000</w:t>
            </w: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2000</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经营成本</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316324.6663</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406703.1424</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c>
          <w:tcPr>
            <w:tcW w:w="109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6786.406257</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8725.379473</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9985.305962</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12838.25052</w:t>
            </w:r>
          </w:p>
        </w:tc>
        <w:tc>
          <w:tcPr>
            <w:tcW w:w="142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c>
          <w:tcPr>
            <w:tcW w:w="109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35738.44995</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335096.3785</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430266.7724</w:t>
            </w:r>
          </w:p>
        </w:tc>
        <w:tc>
          <w:tcPr>
            <w:tcW w:w="142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477851.9693</w:t>
            </w:r>
          </w:p>
        </w:tc>
        <w:tc>
          <w:tcPr>
            <w:tcW w:w="109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477851.9693</w:t>
            </w:r>
          </w:p>
        </w:tc>
      </w:tr>
      <w:tr>
        <w:tblPrEx>
          <w:tblCellMar>
            <w:top w:w="0" w:type="dxa"/>
            <w:left w:w="108" w:type="dxa"/>
            <w:bottom w:w="0" w:type="dxa"/>
            <w:right w:w="108" w:type="dxa"/>
          </w:tblCellMar>
        </w:tblPrEx>
        <w:trPr>
          <w:trHeight w:val="300" w:hRule="atLeast"/>
          <w:jc w:val="center"/>
        </w:trPr>
        <w:tc>
          <w:tcPr>
            <w:tcW w:w="43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三</w:t>
            </w:r>
          </w:p>
        </w:tc>
        <w:tc>
          <w:tcPr>
            <w:tcW w:w="253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净现金流量</w:t>
            </w:r>
          </w:p>
        </w:tc>
        <w:tc>
          <w:tcPr>
            <w:tcW w:w="863"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　</w:t>
            </w:r>
          </w:p>
        </w:tc>
        <w:tc>
          <w:tcPr>
            <w:tcW w:w="1559"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-35738.44995</w:t>
            </w:r>
          </w:p>
        </w:tc>
        <w:tc>
          <w:tcPr>
            <w:tcW w:w="1424"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30392.3306</w:t>
            </w:r>
          </w:p>
        </w:tc>
        <w:tc>
          <w:tcPr>
            <w:tcW w:w="1424"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39647.2822</w:t>
            </w:r>
          </w:p>
        </w:tc>
        <w:tc>
          <w:tcPr>
            <w:tcW w:w="1424"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44274.75801</w:t>
            </w:r>
          </w:p>
        </w:tc>
        <w:tc>
          <w:tcPr>
            <w:tcW w:w="1099"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44274.75801</w:t>
            </w:r>
          </w:p>
        </w:tc>
      </w:tr>
      <w:tr>
        <w:tblPrEx>
          <w:tblCellMar>
            <w:top w:w="0" w:type="dxa"/>
            <w:left w:w="108" w:type="dxa"/>
            <w:bottom w:w="0" w:type="dxa"/>
            <w:right w:w="108" w:type="dxa"/>
          </w:tblCellMar>
        </w:tblPrEx>
        <w:trPr>
          <w:trHeight w:val="280" w:hRule="atLeast"/>
          <w:jc w:val="center"/>
        </w:trPr>
        <w:tc>
          <w:tcPr>
            <w:tcW w:w="43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四</w:t>
            </w:r>
          </w:p>
        </w:tc>
        <w:tc>
          <w:tcPr>
            <w:tcW w:w="253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累计现金流量</w:t>
            </w:r>
          </w:p>
        </w:tc>
        <w:tc>
          <w:tcPr>
            <w:tcW w:w="863"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w:t>
            </w:r>
          </w:p>
        </w:tc>
        <w:tc>
          <w:tcPr>
            <w:tcW w:w="1559"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-35738.44995</w:t>
            </w:r>
          </w:p>
        </w:tc>
        <w:tc>
          <w:tcPr>
            <w:tcW w:w="1424"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-5346.11934</w:t>
            </w:r>
          </w:p>
        </w:tc>
        <w:tc>
          <w:tcPr>
            <w:tcW w:w="1424"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34301.16286</w:t>
            </w:r>
          </w:p>
        </w:tc>
        <w:tc>
          <w:tcPr>
            <w:tcW w:w="1424"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78575.92086</w:t>
            </w:r>
          </w:p>
        </w:tc>
        <w:tc>
          <w:tcPr>
            <w:tcW w:w="1099"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122850.6789</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p>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 xml:space="preserve">表 </w:t>
      </w:r>
      <w:r>
        <w:rPr>
          <w:rFonts w:ascii="Times New Roman" w:hAnsi="Times New Roman" w:cs="Times New Roman"/>
          <w:b/>
          <w:sz w:val="18"/>
          <w:szCs w:val="18"/>
        </w:rPr>
        <w:t xml:space="preserve">9-11 </w:t>
      </w:r>
      <w:r>
        <w:rPr>
          <w:rFonts w:hint="eastAsia" w:ascii="Times New Roman" w:hAnsi="Times New Roman" w:cs="Times New Roman"/>
          <w:b/>
          <w:sz w:val="18"/>
          <w:szCs w:val="18"/>
        </w:rPr>
        <w:t>权益投资财务现金流量表（二）</w:t>
      </w:r>
    </w:p>
    <w:tbl>
      <w:tblPr>
        <w:tblStyle w:val="16"/>
        <w:tblW w:w="10015" w:type="dxa"/>
        <w:jc w:val="center"/>
        <w:tblLayout w:type="autofit"/>
        <w:tblCellMar>
          <w:top w:w="0" w:type="dxa"/>
          <w:left w:w="108" w:type="dxa"/>
          <w:bottom w:w="0" w:type="dxa"/>
          <w:right w:w="108" w:type="dxa"/>
        </w:tblCellMar>
      </w:tblPr>
      <w:tblGrid>
        <w:gridCol w:w="846"/>
        <w:gridCol w:w="2114"/>
        <w:gridCol w:w="1076"/>
        <w:gridCol w:w="1559"/>
        <w:gridCol w:w="1192"/>
        <w:gridCol w:w="1076"/>
        <w:gridCol w:w="1076"/>
        <w:gridCol w:w="1076"/>
      </w:tblGrid>
      <w:tr>
        <w:tblPrEx>
          <w:tblCellMar>
            <w:top w:w="0" w:type="dxa"/>
            <w:left w:w="108" w:type="dxa"/>
            <w:bottom w:w="0" w:type="dxa"/>
            <w:right w:w="108" w:type="dxa"/>
          </w:tblCellMar>
        </w:tblPrEx>
        <w:trPr>
          <w:trHeight w:val="280" w:hRule="atLeast"/>
          <w:jc w:val="center"/>
        </w:trPr>
        <w:tc>
          <w:tcPr>
            <w:tcW w:w="846"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211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7055" w:type="dxa"/>
            <w:gridSpan w:val="6"/>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达产期</w:t>
            </w:r>
          </w:p>
        </w:tc>
      </w:tr>
      <w:tr>
        <w:tblPrEx>
          <w:tblCellMar>
            <w:top w:w="0" w:type="dxa"/>
            <w:left w:w="108" w:type="dxa"/>
            <w:bottom w:w="0" w:type="dxa"/>
            <w:right w:w="108" w:type="dxa"/>
          </w:tblCellMar>
        </w:tblPrEx>
        <w:trPr>
          <w:trHeight w:val="280" w:hRule="atLeast"/>
          <w:jc w:val="center"/>
        </w:trPr>
        <w:tc>
          <w:tcPr>
            <w:tcW w:w="846"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2114"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6</w:t>
            </w:r>
          </w:p>
        </w:tc>
        <w:tc>
          <w:tcPr>
            <w:tcW w:w="1559"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7</w:t>
            </w:r>
          </w:p>
        </w:tc>
        <w:tc>
          <w:tcPr>
            <w:tcW w:w="1192"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8</w:t>
            </w: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9</w:t>
            </w: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0</w:t>
            </w:r>
          </w:p>
        </w:tc>
        <w:tc>
          <w:tcPr>
            <w:tcW w:w="1076"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1</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一</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现金流入</w:t>
            </w:r>
          </w:p>
        </w:tc>
        <w:tc>
          <w:tcPr>
            <w:tcW w:w="1076"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仿宋"/>
                <w:color w:val="000000"/>
                <w:kern w:val="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销售收入</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spacing w:before="156" w:beforeLines="50" w:after="156" w:afterLines="5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spacing w:before="156" w:beforeLines="50" w:after="156" w:afterLines="5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spacing w:before="156" w:beforeLines="50" w:after="156" w:afterLines="5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spacing w:before="156" w:beforeLines="50" w:after="156" w:afterLines="5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spacing w:before="156" w:beforeLines="50" w:after="156" w:afterLines="5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回收固定资产余值</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回收流动资金</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522126.7</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二</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现金流出</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建设期投资</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偿还本息</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2000</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2081.374</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经营成本</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451892.4</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9694.866</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c>
          <w:tcPr>
            <w:tcW w:w="1192"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14264.72</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477852</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477933.3</w:t>
            </w:r>
          </w:p>
        </w:tc>
        <w:tc>
          <w:tcPr>
            <w:tcW w:w="1192"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475852</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475852</w:t>
            </w:r>
          </w:p>
        </w:tc>
      </w:tr>
      <w:tr>
        <w:tblPrEx>
          <w:tblCellMar>
            <w:top w:w="0" w:type="dxa"/>
            <w:left w:w="108" w:type="dxa"/>
            <w:bottom w:w="0" w:type="dxa"/>
            <w:right w:w="108" w:type="dxa"/>
          </w:tblCellMar>
        </w:tblPrEx>
        <w:trPr>
          <w:trHeight w:val="300" w:hRule="atLeast"/>
          <w:jc w:val="center"/>
        </w:trPr>
        <w:tc>
          <w:tcPr>
            <w:tcW w:w="846"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三</w:t>
            </w:r>
          </w:p>
        </w:tc>
        <w:tc>
          <w:tcPr>
            <w:tcW w:w="211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净现金流量</w:t>
            </w:r>
          </w:p>
        </w:tc>
        <w:tc>
          <w:tcPr>
            <w:tcW w:w="1076"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44274.76</w:t>
            </w:r>
          </w:p>
        </w:tc>
        <w:tc>
          <w:tcPr>
            <w:tcW w:w="1559"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44193.38</w:t>
            </w:r>
          </w:p>
        </w:tc>
        <w:tc>
          <w:tcPr>
            <w:tcW w:w="1192" w:type="dxa"/>
            <w:tcBorders>
              <w:top w:val="nil"/>
              <w:left w:val="nil"/>
              <w:bottom w:val="nil"/>
              <w:right w:val="nil"/>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46274.76</w:t>
            </w:r>
          </w:p>
        </w:tc>
        <w:tc>
          <w:tcPr>
            <w:tcW w:w="1076" w:type="dxa"/>
            <w:tcBorders>
              <w:top w:val="nil"/>
              <w:left w:val="nil"/>
              <w:bottom w:val="nil"/>
              <w:right w:val="nil"/>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46274.76</w:t>
            </w:r>
          </w:p>
        </w:tc>
        <w:tc>
          <w:tcPr>
            <w:tcW w:w="1076" w:type="dxa"/>
            <w:tcBorders>
              <w:top w:val="nil"/>
              <w:left w:val="nil"/>
              <w:bottom w:val="nil"/>
              <w:right w:val="nil"/>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46274.76</w:t>
            </w:r>
          </w:p>
        </w:tc>
        <w:tc>
          <w:tcPr>
            <w:tcW w:w="1076" w:type="dxa"/>
            <w:tcBorders>
              <w:top w:val="nil"/>
              <w:left w:val="nil"/>
              <w:bottom w:val="nil"/>
              <w:right w:val="nil"/>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46274.76</w:t>
            </w:r>
          </w:p>
        </w:tc>
      </w:tr>
      <w:tr>
        <w:tblPrEx>
          <w:tblCellMar>
            <w:top w:w="0" w:type="dxa"/>
            <w:left w:w="108" w:type="dxa"/>
            <w:bottom w:w="0" w:type="dxa"/>
            <w:right w:w="108" w:type="dxa"/>
          </w:tblCellMar>
        </w:tblPrEx>
        <w:trPr>
          <w:trHeight w:val="280" w:hRule="atLeast"/>
          <w:jc w:val="center"/>
        </w:trPr>
        <w:tc>
          <w:tcPr>
            <w:tcW w:w="846"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四</w:t>
            </w:r>
          </w:p>
        </w:tc>
        <w:tc>
          <w:tcPr>
            <w:tcW w:w="2114"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累计现金流量</w:t>
            </w:r>
          </w:p>
        </w:tc>
        <w:tc>
          <w:tcPr>
            <w:tcW w:w="1076"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167125.4</w:t>
            </w:r>
          </w:p>
        </w:tc>
        <w:tc>
          <w:tcPr>
            <w:tcW w:w="1559" w:type="dxa"/>
            <w:tcBorders>
              <w:top w:val="nil"/>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211318.8</w:t>
            </w:r>
          </w:p>
        </w:tc>
        <w:tc>
          <w:tcPr>
            <w:tcW w:w="1192" w:type="dxa"/>
            <w:tcBorders>
              <w:top w:val="single" w:color="B4C6E7" w:sz="4" w:space="0"/>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257593.6</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303868.3</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350143.1</w:t>
            </w:r>
          </w:p>
        </w:tc>
        <w:tc>
          <w:tcPr>
            <w:tcW w:w="1076" w:type="dxa"/>
            <w:tcBorders>
              <w:top w:val="single" w:color="B4C6E7" w:sz="4" w:space="0"/>
              <w:left w:val="nil"/>
              <w:bottom w:val="single" w:color="B4C6E7" w:sz="4" w:space="0"/>
              <w:right w:val="single" w:color="B4C6E7" w:sz="4" w:space="0"/>
            </w:tcBorders>
            <w:shd w:val="clear" w:color="000000" w:fill="D9E1F2"/>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396417.9</w:t>
            </w:r>
          </w:p>
        </w:tc>
      </w:tr>
    </w:tbl>
    <w:p>
      <w:pPr>
        <w:autoSpaceDE w:val="0"/>
        <w:autoSpaceDN w:val="0"/>
        <w:spacing w:before="156" w:beforeLines="50" w:after="156" w:afterLines="50"/>
        <w:ind w:firstLine="361" w:firstLineChars="200"/>
        <w:jc w:val="center"/>
        <w:rPr>
          <w:rFonts w:ascii="Times New Roman" w:hAnsi="Times New Roman" w:cs="Times New Roman"/>
          <w:b/>
          <w:sz w:val="18"/>
          <w:szCs w:val="18"/>
        </w:rPr>
      </w:pPr>
      <w:r>
        <w:rPr>
          <w:rFonts w:hint="eastAsia" w:ascii="Times New Roman" w:hAnsi="Times New Roman" w:cs="Times New Roman"/>
          <w:b/>
          <w:sz w:val="18"/>
          <w:szCs w:val="18"/>
        </w:rPr>
        <w:t xml:space="preserve">表 </w:t>
      </w:r>
      <w:r>
        <w:rPr>
          <w:rFonts w:ascii="Times New Roman" w:hAnsi="Times New Roman" w:cs="Times New Roman"/>
          <w:b/>
          <w:sz w:val="18"/>
          <w:szCs w:val="18"/>
        </w:rPr>
        <w:t xml:space="preserve">9-12 </w:t>
      </w:r>
      <w:r>
        <w:rPr>
          <w:rFonts w:hint="eastAsia" w:ascii="Times New Roman" w:hAnsi="Times New Roman" w:cs="Times New Roman"/>
          <w:b/>
          <w:sz w:val="18"/>
          <w:szCs w:val="18"/>
        </w:rPr>
        <w:t>权益投资财务现金流量表（三）</w:t>
      </w:r>
    </w:p>
    <w:tbl>
      <w:tblPr>
        <w:tblStyle w:val="16"/>
        <w:tblW w:w="9435" w:type="dxa"/>
        <w:jc w:val="center"/>
        <w:tblLayout w:type="autofit"/>
        <w:tblCellMar>
          <w:top w:w="0" w:type="dxa"/>
          <w:left w:w="108" w:type="dxa"/>
          <w:bottom w:w="0" w:type="dxa"/>
          <w:right w:w="108" w:type="dxa"/>
        </w:tblCellMar>
      </w:tblPr>
      <w:tblGrid>
        <w:gridCol w:w="1944"/>
        <w:gridCol w:w="1989"/>
        <w:gridCol w:w="1424"/>
        <w:gridCol w:w="1470"/>
        <w:gridCol w:w="1424"/>
        <w:gridCol w:w="1424"/>
      </w:tblGrid>
      <w:tr>
        <w:tblPrEx>
          <w:tblCellMar>
            <w:top w:w="0" w:type="dxa"/>
            <w:left w:w="108" w:type="dxa"/>
            <w:bottom w:w="0" w:type="dxa"/>
            <w:right w:w="108" w:type="dxa"/>
          </w:tblCellMar>
        </w:tblPrEx>
        <w:trPr>
          <w:trHeight w:val="280" w:hRule="atLeast"/>
          <w:jc w:val="center"/>
        </w:trPr>
        <w:tc>
          <w:tcPr>
            <w:tcW w:w="1944"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序号</w:t>
            </w:r>
          </w:p>
        </w:tc>
        <w:tc>
          <w:tcPr>
            <w:tcW w:w="1989" w:type="dxa"/>
            <w:vMerge w:val="restart"/>
            <w:tcBorders>
              <w:top w:val="single" w:color="B4C6E7" w:sz="4" w:space="0"/>
              <w:left w:val="single" w:color="B4C6E7" w:sz="4" w:space="0"/>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项目</w:t>
            </w:r>
          </w:p>
        </w:tc>
        <w:tc>
          <w:tcPr>
            <w:tcW w:w="5502" w:type="dxa"/>
            <w:gridSpan w:val="4"/>
            <w:tcBorders>
              <w:top w:val="single" w:color="B4C6E7" w:sz="4" w:space="0"/>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达产期</w:t>
            </w:r>
          </w:p>
        </w:tc>
      </w:tr>
      <w:tr>
        <w:tblPrEx>
          <w:tblCellMar>
            <w:top w:w="0" w:type="dxa"/>
            <w:left w:w="108" w:type="dxa"/>
            <w:bottom w:w="0" w:type="dxa"/>
            <w:right w:w="108" w:type="dxa"/>
          </w:tblCellMar>
        </w:tblPrEx>
        <w:trPr>
          <w:trHeight w:val="280" w:hRule="atLeast"/>
          <w:jc w:val="center"/>
        </w:trPr>
        <w:tc>
          <w:tcPr>
            <w:tcW w:w="1944"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1989" w:type="dxa"/>
            <w:vMerge w:val="continue"/>
            <w:tcBorders>
              <w:top w:val="single" w:color="B4C6E7" w:sz="4" w:space="0"/>
              <w:left w:val="single" w:color="B4C6E7" w:sz="4" w:space="0"/>
              <w:bottom w:val="single" w:color="B4C6E7" w:sz="4" w:space="0"/>
              <w:right w:val="single" w:color="B4C6E7" w:sz="4" w:space="0"/>
            </w:tcBorders>
            <w:vAlign w:val="center"/>
          </w:tcPr>
          <w:p>
            <w:pPr>
              <w:widowControl/>
              <w:jc w:val="left"/>
              <w:rPr>
                <w:rFonts w:ascii="等线" w:hAnsi="等线" w:eastAsia="等线" w:cs="宋体"/>
                <w:color w:val="FFFFFF"/>
                <w:kern w:val="0"/>
                <w:sz w:val="22"/>
              </w:rPr>
            </w:pPr>
          </w:p>
        </w:tc>
        <w:tc>
          <w:tcPr>
            <w:tcW w:w="134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2</w:t>
            </w:r>
          </w:p>
        </w:tc>
        <w:tc>
          <w:tcPr>
            <w:tcW w:w="1470"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3</w:t>
            </w:r>
          </w:p>
        </w:tc>
        <w:tc>
          <w:tcPr>
            <w:tcW w:w="134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4</w:t>
            </w:r>
          </w:p>
        </w:tc>
        <w:tc>
          <w:tcPr>
            <w:tcW w:w="1344" w:type="dxa"/>
            <w:tcBorders>
              <w:top w:val="nil"/>
              <w:left w:val="nil"/>
              <w:bottom w:val="single" w:color="B4C6E7" w:sz="4" w:space="0"/>
              <w:right w:val="single" w:color="B4C6E7" w:sz="4" w:space="0"/>
            </w:tcBorders>
            <w:shd w:val="clear" w:color="000000" w:fill="4472C4"/>
            <w:noWrap/>
            <w:vAlign w:val="center"/>
          </w:tcPr>
          <w:p>
            <w:pPr>
              <w:widowControl/>
              <w:jc w:val="center"/>
              <w:rPr>
                <w:rFonts w:ascii="等线" w:hAnsi="等线" w:eastAsia="等线" w:cs="宋体"/>
                <w:color w:val="FFFFFF"/>
                <w:kern w:val="0"/>
                <w:sz w:val="22"/>
              </w:rPr>
            </w:pPr>
            <w:r>
              <w:rPr>
                <w:rFonts w:hint="eastAsia" w:ascii="等线" w:hAnsi="等线" w:eastAsia="等线" w:cs="宋体"/>
                <w:color w:val="FFFFFF"/>
                <w:kern w:val="0"/>
                <w:sz w:val="22"/>
              </w:rPr>
              <w:t>1</w:t>
            </w:r>
            <w:r>
              <w:rPr>
                <w:rFonts w:ascii="等线" w:hAnsi="等线" w:eastAsia="等线" w:cs="宋体"/>
                <w:color w:val="FFFFFF"/>
                <w:kern w:val="0"/>
                <w:sz w:val="22"/>
              </w:rPr>
              <w:t>5</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一</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现金流入</w:t>
            </w:r>
          </w:p>
        </w:tc>
        <w:tc>
          <w:tcPr>
            <w:tcW w:w="1344"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仿宋"/>
                <w:color w:val="000000"/>
                <w:kern w:val="0"/>
                <w:sz w:val="22"/>
              </w:rPr>
              <w:t>　</w:t>
            </w:r>
          </w:p>
        </w:tc>
        <w:tc>
          <w:tcPr>
            <w:tcW w:w="1470"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34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c>
          <w:tcPr>
            <w:tcW w:w="1344" w:type="dxa"/>
            <w:tcBorders>
              <w:top w:val="nil"/>
              <w:left w:val="nil"/>
              <w:bottom w:val="single" w:color="B4C6E7" w:sz="4" w:space="0"/>
              <w:right w:val="single" w:color="B4C6E7" w:sz="4" w:space="0"/>
            </w:tcBorders>
            <w:shd w:val="clear" w:color="auto" w:fill="auto"/>
            <w:noWrap/>
            <w:vAlign w:val="center"/>
          </w:tcPr>
          <w:p>
            <w:pPr>
              <w:autoSpaceDE w:val="0"/>
              <w:autoSpaceDN w:val="0"/>
              <w:jc w:val="center"/>
              <w:rPr>
                <w:rFonts w:ascii="等线" w:hAnsi="等线" w:eastAsia="等线" w:cs="仿宋"/>
                <w:color w:val="000000"/>
                <w:kern w:val="0"/>
                <w:sz w:val="22"/>
              </w:rPr>
            </w:pPr>
            <w:r>
              <w:rPr>
                <w:rFonts w:hint="eastAsia" w:ascii="等线" w:hAnsi="等线" w:eastAsia="等线" w:cs="仿宋"/>
                <w:color w:val="000000"/>
                <w:kern w:val="0"/>
                <w:sz w:val="22"/>
              </w:rPr>
              <w:t>　</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销售收入</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回收固定资产余值</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回收流动资金</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522126.7273</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二</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现金流出</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建设期投资</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偿还本息</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3</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经营成本</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451892.3804</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销售税金及附加</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9694.866081</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5</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所得税</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14264.7228</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小计</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475851.9693</w:t>
            </w: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475851.9693</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475851.9693</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475851.9693</w:t>
            </w:r>
          </w:p>
        </w:tc>
      </w:tr>
      <w:tr>
        <w:tblPrEx>
          <w:tblCellMar>
            <w:top w:w="0" w:type="dxa"/>
            <w:left w:w="108" w:type="dxa"/>
            <w:bottom w:w="0" w:type="dxa"/>
            <w:right w:w="108" w:type="dxa"/>
          </w:tblCellMar>
        </w:tblPrEx>
        <w:trPr>
          <w:trHeight w:val="300" w:hRule="atLeast"/>
          <w:jc w:val="center"/>
        </w:trPr>
        <w:tc>
          <w:tcPr>
            <w:tcW w:w="1944" w:type="dxa"/>
            <w:tcBorders>
              <w:top w:val="nil"/>
              <w:left w:val="single" w:color="B4C6E7" w:sz="4" w:space="0"/>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三</w:t>
            </w:r>
          </w:p>
        </w:tc>
        <w:tc>
          <w:tcPr>
            <w:tcW w:w="1989" w:type="dxa"/>
            <w:tcBorders>
              <w:top w:val="nil"/>
              <w:left w:val="nil"/>
              <w:bottom w:val="single" w:color="B4C6E7" w:sz="4" w:space="0"/>
              <w:right w:val="single" w:color="B4C6E7"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净现金流量</w:t>
            </w:r>
          </w:p>
        </w:tc>
        <w:tc>
          <w:tcPr>
            <w:tcW w:w="1344"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46274.75801</w:t>
            </w:r>
          </w:p>
        </w:tc>
        <w:tc>
          <w:tcPr>
            <w:tcW w:w="1470" w:type="dxa"/>
            <w:tcBorders>
              <w:top w:val="nil"/>
              <w:left w:val="nil"/>
              <w:bottom w:val="single" w:color="B4C6E7" w:sz="4" w:space="0"/>
              <w:right w:val="single" w:color="B4C6E7" w:sz="4" w:space="0"/>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46274.75801</w:t>
            </w:r>
          </w:p>
        </w:tc>
        <w:tc>
          <w:tcPr>
            <w:tcW w:w="1344"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46274.75801</w:t>
            </w:r>
          </w:p>
        </w:tc>
        <w:tc>
          <w:tcPr>
            <w:tcW w:w="1344" w:type="dxa"/>
            <w:tcBorders>
              <w:top w:val="nil"/>
              <w:left w:val="nil"/>
              <w:bottom w:val="nil"/>
              <w:right w:val="nil"/>
            </w:tcBorders>
            <w:shd w:val="clear" w:color="auto" w:fill="auto"/>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46274.75801</w:t>
            </w:r>
          </w:p>
        </w:tc>
      </w:tr>
      <w:tr>
        <w:tblPrEx>
          <w:tblCellMar>
            <w:top w:w="0" w:type="dxa"/>
            <w:left w:w="108" w:type="dxa"/>
            <w:bottom w:w="0" w:type="dxa"/>
            <w:right w:w="108" w:type="dxa"/>
          </w:tblCellMar>
        </w:tblPrEx>
        <w:trPr>
          <w:trHeight w:val="280" w:hRule="atLeast"/>
          <w:jc w:val="center"/>
        </w:trPr>
        <w:tc>
          <w:tcPr>
            <w:tcW w:w="1944" w:type="dxa"/>
            <w:tcBorders>
              <w:top w:val="nil"/>
              <w:left w:val="single" w:color="B4C6E7" w:sz="4" w:space="0"/>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四</w:t>
            </w:r>
          </w:p>
        </w:tc>
        <w:tc>
          <w:tcPr>
            <w:tcW w:w="1989" w:type="dxa"/>
            <w:tcBorders>
              <w:top w:val="nil"/>
              <w:left w:val="nil"/>
              <w:bottom w:val="single" w:color="B4C6E7" w:sz="4" w:space="0"/>
              <w:right w:val="single" w:color="B4C6E7" w:sz="4" w:space="0"/>
            </w:tcBorders>
            <w:shd w:val="clear" w:color="000000" w:fill="D9E1F2"/>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累计现金流量</w:t>
            </w:r>
          </w:p>
        </w:tc>
        <w:tc>
          <w:tcPr>
            <w:tcW w:w="1344"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442692.6108</w:t>
            </w:r>
          </w:p>
        </w:tc>
        <w:tc>
          <w:tcPr>
            <w:tcW w:w="1470" w:type="dxa"/>
            <w:tcBorders>
              <w:top w:val="nil"/>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488967.3688</w:t>
            </w:r>
          </w:p>
        </w:tc>
        <w:tc>
          <w:tcPr>
            <w:tcW w:w="1344"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535242.1268</w:t>
            </w:r>
          </w:p>
        </w:tc>
        <w:tc>
          <w:tcPr>
            <w:tcW w:w="1344" w:type="dxa"/>
            <w:tcBorders>
              <w:top w:val="single" w:color="B4C6E7" w:sz="4" w:space="0"/>
              <w:left w:val="nil"/>
              <w:bottom w:val="single" w:color="B4C6E7" w:sz="4" w:space="0"/>
              <w:right w:val="single" w:color="B4C6E7" w:sz="4" w:space="0"/>
            </w:tcBorders>
            <w:shd w:val="clear" w:color="000000" w:fill="D9E1F2"/>
            <w:noWrap/>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581516.8848</w:t>
            </w:r>
          </w:p>
        </w:tc>
      </w:tr>
    </w:tbl>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59" w:name="_Toc141661876"/>
      <w:bookmarkStart w:id="60" w:name="_Toc141669667"/>
      <w:r>
        <w:rPr>
          <w:rFonts w:ascii="Times New Roman" w:hAnsi="Times New Roman" w:cs="Times New Roman"/>
          <w:b/>
          <w:bCs/>
          <w:kern w:val="0"/>
          <w:sz w:val="32"/>
          <w:szCs w:val="32"/>
        </w:rPr>
        <w:t>2.4 财务分析指标</w:t>
      </w:r>
      <w:bookmarkEnd w:id="59"/>
      <w:bookmarkEnd w:id="60"/>
    </w:p>
    <w:p>
      <w:pPr>
        <w:keepLines/>
        <w:outlineLvl w:val="2"/>
        <w:rPr>
          <w:rFonts w:ascii="Times New Roman" w:hAnsi="Times New Roman" w:cs="Times New Roman"/>
          <w:b/>
          <w:bCs/>
          <w:sz w:val="28"/>
          <w:szCs w:val="32"/>
        </w:rPr>
      </w:pPr>
      <w:bookmarkStart w:id="61" w:name="_Toc141669668"/>
      <w:bookmarkStart w:id="62" w:name="_Toc141661877"/>
      <w:r>
        <w:rPr>
          <w:rFonts w:ascii="Times New Roman" w:hAnsi="Times New Roman" w:cs="Times New Roman"/>
          <w:b/>
          <w:bCs/>
          <w:sz w:val="28"/>
          <w:szCs w:val="32"/>
        </w:rPr>
        <w:t xml:space="preserve">2.4.1. </w:t>
      </w:r>
      <w:r>
        <w:rPr>
          <w:rFonts w:hint="eastAsia" w:ascii="Times New Roman" w:hAnsi="Times New Roman" w:cs="Times New Roman"/>
          <w:b/>
          <w:bCs/>
          <w:sz w:val="28"/>
          <w:szCs w:val="32"/>
        </w:rPr>
        <w:t>静态指标</w:t>
      </w:r>
      <w:bookmarkEnd w:id="61"/>
      <w:bookmarkEnd w:id="62"/>
      <w:r>
        <w:rPr>
          <w:rFonts w:hint="eastAsia" w:ascii="Times New Roman" w:hAnsi="Times New Roman" w:cs="Times New Roman"/>
          <w:b/>
          <w:bCs/>
          <w:sz w:val="28"/>
          <w:szCs w:val="32"/>
        </w:rPr>
        <w:t xml:space="preserve"> </w:t>
      </w:r>
    </w:p>
    <w:p>
      <w:pPr>
        <w:widowControl/>
        <w:jc w:val="left"/>
        <w:rPr>
          <w:rFonts w:cs="宋体"/>
          <w:kern w:val="0"/>
          <w:sz w:val="24"/>
          <w:szCs w:val="24"/>
        </w:rPr>
      </w:pPr>
      <w:r>
        <w:rPr>
          <w:rFonts w:hint="eastAsia" w:cs="宋体"/>
          <w:b/>
          <w:bCs/>
          <w:color w:val="000000"/>
          <w:kern w:val="0"/>
          <w:szCs w:val="21"/>
        </w:rPr>
        <w:t>（</w:t>
      </w:r>
      <w:r>
        <w:rPr>
          <w:rFonts w:cs="宋体"/>
          <w:b/>
          <w:bCs/>
          <w:color w:val="000000"/>
          <w:kern w:val="0"/>
          <w:szCs w:val="21"/>
        </w:rPr>
        <w:t>1</w:t>
      </w:r>
      <w:r>
        <w:rPr>
          <w:rFonts w:hint="eastAsia" w:cs="宋体"/>
          <w:b/>
          <w:bCs/>
          <w:color w:val="000000"/>
          <w:kern w:val="0"/>
          <w:szCs w:val="21"/>
        </w:rPr>
        <w:t xml:space="preserve">）静态投资回收期 </w:t>
      </w:r>
    </w:p>
    <w:p>
      <w:pPr>
        <w:ind w:firstLine="420" w:firstLineChars="200"/>
        <w:rPr>
          <w:rFonts w:ascii="Times New Roman" w:hAnsi="Times New Roman" w:cs="Times New Roman"/>
          <w:kern w:val="0"/>
          <w:szCs w:val="21"/>
        </w:rPr>
      </w:pPr>
      <w:r>
        <w:rPr>
          <w:rFonts w:hint="eastAsia" w:ascii="Times New Roman" w:hAnsi="Times New Roman" w:cs="Times New Roman"/>
          <w:kern w:val="0"/>
          <w:szCs w:val="21"/>
        </w:rPr>
        <w:t xml:space="preserve">项目投资现金流量表中累计净现金流量由负值变为零的时点，即为项目的静态投资回收 </w:t>
      </w:r>
    </w:p>
    <w:p>
      <w:pPr>
        <w:ind w:firstLine="420" w:firstLineChars="200"/>
        <w:rPr>
          <w:rFonts w:ascii="仿宋" w:hAnsi="仿宋" w:eastAsia="仿宋" w:cs="宋体"/>
          <w:color w:val="000000"/>
          <w:kern w:val="0"/>
          <w:szCs w:val="21"/>
        </w:rPr>
      </w:pPr>
      <w:r>
        <w:rPr>
          <w:rFonts w:hint="eastAsia" w:ascii="Times New Roman" w:hAnsi="Times New Roman" w:cs="Times New Roman"/>
          <w:kern w:val="0"/>
          <w:szCs w:val="21"/>
        </w:rPr>
        <w:t>期。应按下式计算：</w:t>
      </w:r>
      <w:r>
        <w:rPr>
          <w:rFonts w:hint="eastAsia" w:ascii="仿宋" w:hAnsi="仿宋" w:eastAsia="仿宋" w:cs="宋体"/>
          <w:color w:val="000000"/>
          <w:kern w:val="0"/>
          <w:szCs w:val="21"/>
        </w:rPr>
        <w:t xml:space="preserve"> </w:t>
      </w:r>
    </w:p>
    <w:p>
      <w:pPr>
        <w:jc w:val="center"/>
        <w:rPr>
          <w:rFonts w:ascii="Times New Roman" w:hAnsi="Times New Roman" w:cs="Times New Roman"/>
          <w:kern w:val="0"/>
          <w:szCs w:val="21"/>
        </w:rPr>
      </w:pPr>
      <m:oMathPara>
        <m:oMath>
          <m:sSub>
            <m:sSubPr>
              <m:ctrlPr>
                <w:rPr>
                  <w:rFonts w:ascii="Cambria Math" w:hAnsi="Cambria Math" w:cs="Times New Roman"/>
                  <w:i/>
                  <w:kern w:val="0"/>
                  <w:szCs w:val="21"/>
                </w:rPr>
              </m:ctrlPr>
            </m:sSubPr>
            <m:e>
              <m:r>
                <m:rPr/>
                <w:rPr>
                  <w:rFonts w:ascii="Cambria Math" w:hAnsi="Cambria Math" w:cs="Times New Roman"/>
                  <w:kern w:val="0"/>
                  <w:szCs w:val="21"/>
                </w:rPr>
                <m:t>P</m:t>
              </m:r>
              <m:ctrlPr>
                <w:rPr>
                  <w:rFonts w:ascii="Cambria Math" w:hAnsi="Cambria Math" w:cs="Times New Roman"/>
                  <w:i/>
                  <w:kern w:val="0"/>
                  <w:szCs w:val="21"/>
                </w:rPr>
              </m:ctrlPr>
            </m:e>
            <m:sub>
              <m:r>
                <m:rPr/>
                <w:rPr>
                  <w:rFonts w:ascii="Cambria Math" w:hAnsi="Cambria Math" w:cs="Times New Roman"/>
                  <w:kern w:val="0"/>
                  <w:szCs w:val="21"/>
                </w:rPr>
                <m:t>t</m:t>
              </m:r>
              <m:ctrlPr>
                <w:rPr>
                  <w:rFonts w:ascii="Cambria Math" w:hAnsi="Cambria Math" w:cs="Times New Roman"/>
                  <w:i/>
                  <w:kern w:val="0"/>
                  <w:szCs w:val="21"/>
                </w:rPr>
              </m:ctrlPr>
            </m:sub>
          </m:sSub>
          <m:r>
            <m:rPr/>
            <w:rPr>
              <w:rFonts w:ascii="Cambria Math" w:hAnsi="Cambria Math" w:cs="Times New Roman"/>
              <w:kern w:val="0"/>
              <w:szCs w:val="21"/>
            </w:rPr>
            <m:t>=T−1+</m:t>
          </m:r>
          <m:f>
            <m:fPr>
              <m:ctrlPr>
                <w:rPr>
                  <w:rFonts w:ascii="Cambria Math" w:hAnsi="Cambria Math" w:cs="Times New Roman"/>
                  <w:i/>
                  <w:kern w:val="0"/>
                  <w:szCs w:val="21"/>
                </w:rPr>
              </m:ctrlPr>
            </m:fPr>
            <m:num>
              <m:d>
                <m:dPr>
                  <m:begChr m:val="|"/>
                  <m:endChr m:val="|"/>
                  <m:ctrlPr>
                    <w:rPr>
                      <w:rFonts w:ascii="Cambria Math" w:hAnsi="Cambria Math" w:cs="Times New Roman"/>
                      <w:i/>
                      <w:kern w:val="0"/>
                      <w:szCs w:val="21"/>
                    </w:rPr>
                  </m:ctrlPr>
                </m:dPr>
                <m:e>
                  <m:nary>
                    <m:naryPr>
                      <m:chr m:val="∑"/>
                      <m:ctrlPr>
                        <w:rPr>
                          <w:rFonts w:ascii="Cambria Math" w:hAnsi="Cambria Math" w:cs="Times New Roman"/>
                          <w:i/>
                          <w:kern w:val="0"/>
                          <w:szCs w:val="21"/>
                        </w:rPr>
                      </m:ctrlPr>
                    </m:naryPr>
                    <m:sub>
                      <m:r>
                        <m:rPr/>
                        <w:rPr>
                          <w:rFonts w:ascii="Cambria Math" w:hAnsi="Cambria Math" w:cs="Times New Roman"/>
                          <w:kern w:val="0"/>
                          <w:szCs w:val="21"/>
                        </w:rPr>
                        <m:t>i=1</m:t>
                      </m:r>
                      <m:ctrlPr>
                        <w:rPr>
                          <w:rFonts w:ascii="Cambria Math" w:hAnsi="Cambria Math" w:cs="Times New Roman"/>
                          <w:i/>
                          <w:kern w:val="0"/>
                          <w:szCs w:val="21"/>
                        </w:rPr>
                      </m:ctrlPr>
                    </m:sub>
                    <m:sup>
                      <m:r>
                        <m:rPr/>
                        <w:rPr>
                          <w:rFonts w:ascii="Cambria Math" w:hAnsi="Cambria Math" w:cs="Times New Roman"/>
                          <w:kern w:val="0"/>
                          <w:szCs w:val="21"/>
                        </w:rPr>
                        <m:t>T−1</m:t>
                      </m:r>
                      <m:ctrlPr>
                        <w:rPr>
                          <w:rFonts w:ascii="Cambria Math" w:hAnsi="Cambria Math" w:cs="Times New Roman"/>
                          <w:i/>
                          <w:kern w:val="0"/>
                          <w:szCs w:val="21"/>
                        </w:rPr>
                      </m:ctrlPr>
                    </m:sup>
                    <m:e>
                      <m:sSub>
                        <m:sSubPr>
                          <m:ctrlPr>
                            <w:rPr>
                              <w:rFonts w:ascii="Cambria Math" w:hAnsi="Cambria Math" w:cs="Times New Roman"/>
                              <w:i/>
                              <w:kern w:val="0"/>
                              <w:szCs w:val="21"/>
                            </w:rPr>
                          </m:ctrlPr>
                        </m:sSubPr>
                        <m:e>
                          <m:d>
                            <m:dPr>
                              <m:ctrlPr>
                                <w:rPr>
                                  <w:rFonts w:ascii="Cambria Math" w:hAnsi="Cambria Math" w:cs="Times New Roman"/>
                                  <w:i/>
                                  <w:kern w:val="0"/>
                                  <w:szCs w:val="21"/>
                                </w:rPr>
                              </m:ctrlPr>
                            </m:dPr>
                            <m:e>
                              <m:r>
                                <m:rPr/>
                                <w:rPr>
                                  <w:rFonts w:ascii="Cambria Math" w:hAnsi="Cambria Math" w:cs="Times New Roman"/>
                                  <w:kern w:val="0"/>
                                  <w:szCs w:val="21"/>
                                </w:rPr>
                                <m:t>CI−CO</m:t>
                              </m:r>
                              <m:ctrlPr>
                                <w:rPr>
                                  <w:rFonts w:ascii="Cambria Math" w:hAnsi="Cambria Math" w:cs="Times New Roman"/>
                                  <w:i/>
                                  <w:kern w:val="0"/>
                                  <w:szCs w:val="21"/>
                                </w:rPr>
                              </m:ctrlPr>
                            </m:e>
                          </m:d>
                          <m:ctrlPr>
                            <w:rPr>
                              <w:rFonts w:ascii="Cambria Math" w:hAnsi="Cambria Math" w:cs="Times New Roman"/>
                              <w:i/>
                              <w:kern w:val="0"/>
                              <w:szCs w:val="21"/>
                            </w:rPr>
                          </m:ctrlPr>
                        </m:e>
                        <m:sub>
                          <m:r>
                            <m:rPr/>
                            <w:rPr>
                              <w:rFonts w:ascii="Cambria Math" w:hAnsi="Cambria Math" w:cs="Times New Roman"/>
                              <w:kern w:val="0"/>
                              <w:szCs w:val="21"/>
                            </w:rPr>
                            <m:t>i</m:t>
                          </m:r>
                          <m:ctrlPr>
                            <w:rPr>
                              <w:rFonts w:ascii="Cambria Math" w:hAnsi="Cambria Math" w:cs="Times New Roman"/>
                              <w:i/>
                              <w:kern w:val="0"/>
                              <w:szCs w:val="21"/>
                            </w:rPr>
                          </m:ctrlPr>
                        </m:sub>
                      </m:sSub>
                      <m:ctrlPr>
                        <w:rPr>
                          <w:rFonts w:ascii="Cambria Math" w:hAnsi="Cambria Math" w:cs="Times New Roman"/>
                          <w:i/>
                          <w:kern w:val="0"/>
                          <w:szCs w:val="21"/>
                        </w:rPr>
                      </m:ctrlPr>
                    </m:e>
                  </m:nary>
                  <m:ctrlPr>
                    <w:rPr>
                      <w:rFonts w:ascii="Cambria Math" w:hAnsi="Cambria Math" w:cs="Times New Roman"/>
                      <w:i/>
                      <w:kern w:val="0"/>
                      <w:szCs w:val="21"/>
                    </w:rPr>
                  </m:ctrlPr>
                </m:e>
              </m:d>
              <m:ctrlPr>
                <w:rPr>
                  <w:rFonts w:ascii="Cambria Math" w:hAnsi="Cambria Math" w:cs="Times New Roman"/>
                  <w:i/>
                  <w:kern w:val="0"/>
                  <w:szCs w:val="21"/>
                </w:rPr>
              </m:ctrlPr>
            </m:num>
            <m:den>
              <m:sSub>
                <m:sSubPr>
                  <m:ctrlPr>
                    <w:rPr>
                      <w:rFonts w:ascii="Cambria Math" w:hAnsi="Cambria Math" w:cs="Times New Roman"/>
                      <w:i/>
                      <w:kern w:val="0"/>
                      <w:szCs w:val="21"/>
                    </w:rPr>
                  </m:ctrlPr>
                </m:sSubPr>
                <m:e>
                  <m:d>
                    <m:dPr>
                      <m:ctrlPr>
                        <w:rPr>
                          <w:rFonts w:ascii="Cambria Math" w:hAnsi="Cambria Math" w:cs="Times New Roman"/>
                          <w:i/>
                          <w:kern w:val="0"/>
                          <w:szCs w:val="21"/>
                        </w:rPr>
                      </m:ctrlPr>
                    </m:dPr>
                    <m:e>
                      <m:r>
                        <m:rPr/>
                        <w:rPr>
                          <w:rFonts w:ascii="Cambria Math" w:hAnsi="Cambria Math" w:cs="Times New Roman"/>
                          <w:kern w:val="0"/>
                          <w:szCs w:val="21"/>
                        </w:rPr>
                        <m:t>CI−CO</m:t>
                      </m:r>
                      <m:ctrlPr>
                        <w:rPr>
                          <w:rFonts w:ascii="Cambria Math" w:hAnsi="Cambria Math" w:cs="Times New Roman"/>
                          <w:i/>
                          <w:kern w:val="0"/>
                          <w:szCs w:val="21"/>
                        </w:rPr>
                      </m:ctrlPr>
                    </m:e>
                  </m:d>
                  <m:ctrlPr>
                    <w:rPr>
                      <w:rFonts w:ascii="Cambria Math" w:hAnsi="Cambria Math" w:cs="Times New Roman"/>
                      <w:i/>
                      <w:kern w:val="0"/>
                      <w:szCs w:val="21"/>
                    </w:rPr>
                  </m:ctrlPr>
                </m:e>
                <m:sub>
                  <m:r>
                    <m:rPr/>
                    <w:rPr>
                      <w:rFonts w:ascii="Cambria Math" w:hAnsi="Cambria Math" w:cs="Times New Roman"/>
                      <w:kern w:val="0"/>
                      <w:szCs w:val="21"/>
                    </w:rPr>
                    <m:t>T</m:t>
                  </m:r>
                  <m:ctrlPr>
                    <w:rPr>
                      <w:rFonts w:ascii="Cambria Math" w:hAnsi="Cambria Math" w:cs="Times New Roman"/>
                      <w:i/>
                      <w:kern w:val="0"/>
                      <w:szCs w:val="21"/>
                    </w:rPr>
                  </m:ctrlPr>
                </m:sub>
              </m:sSub>
              <m:ctrlPr>
                <w:rPr>
                  <w:rFonts w:ascii="Cambria Math" w:hAnsi="Cambria Math" w:cs="Times New Roman"/>
                  <w:i/>
                  <w:kern w:val="0"/>
                  <w:szCs w:val="21"/>
                </w:rPr>
              </m:ctrlPr>
            </m:den>
          </m:f>
        </m:oMath>
      </m:oMathPara>
    </w:p>
    <w:p>
      <w:pPr>
        <w:ind w:firstLine="420" w:firstLineChars="200"/>
        <w:rPr>
          <w:rFonts w:ascii="Times New Roman" w:hAnsi="Times New Roman" w:cs="Times New Roman"/>
          <w:kern w:val="0"/>
          <w:szCs w:val="21"/>
        </w:rPr>
      </w:pPr>
      <w:r>
        <w:rPr>
          <w:rFonts w:ascii="Times New Roman" w:hAnsi="Times New Roman" w:cs="Times New Roman"/>
          <w:kern w:val="0"/>
          <w:szCs w:val="21"/>
        </w:rPr>
        <w:t>式中：</w:t>
      </w:r>
      <w:r>
        <w:rPr>
          <w:rFonts w:ascii="Times New Roman" w:hAnsi="Times New Roman" w:cs="Times New Roman"/>
          <w:kern w:val="0"/>
          <w:position w:val="-4"/>
          <w:szCs w:val="21"/>
        </w:rPr>
        <w:object>
          <v:shape id="_x0000_i1025" o:spt="75" type="#_x0000_t75" style="height:14.25pt;width:22.1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ascii="Times New Roman" w:hAnsi="Times New Roman" w:cs="Times New Roman"/>
          <w:kern w:val="0"/>
          <w:szCs w:val="21"/>
        </w:rPr>
        <w:t>各年累计净现金流量首次为正值或零的年数。</w:t>
      </w:r>
    </w:p>
    <w:p>
      <w:pPr>
        <w:ind w:firstLine="420" w:firstLineChars="200"/>
        <w:rPr>
          <w:rFonts w:ascii="Times New Roman" w:hAnsi="Times New Roman" w:cs="Times New Roman"/>
          <w:kern w:val="0"/>
          <w:szCs w:val="21"/>
        </w:rPr>
      </w:pPr>
      <w:r>
        <w:rPr>
          <w:rFonts w:ascii="Times New Roman" w:hAnsi="Times New Roman" w:cs="Times New Roman"/>
          <w:kern w:val="0"/>
          <w:szCs w:val="21"/>
        </w:rPr>
        <w:t>静态投资回收期（税后）</w:t>
      </w:r>
      <w:bookmarkStart w:id="63" w:name="_Hlk46949362"/>
      <w:r>
        <w:rPr>
          <w:rFonts w:ascii="Times New Roman" w:hAnsi="Times New Roman" w:cs="Times New Roman"/>
          <w:kern w:val="0"/>
          <w:szCs w:val="21"/>
        </w:rPr>
        <w:t>P</w:t>
      </w:r>
      <w:bookmarkStart w:id="64" w:name="_Hlk48206819"/>
      <w:r>
        <w:rPr>
          <w:rFonts w:ascii="Times New Roman" w:hAnsi="Times New Roman" w:cs="Times New Roman"/>
          <w:kern w:val="0"/>
          <w:szCs w:val="21"/>
        </w:rPr>
        <w:t>=</w:t>
      </w:r>
      <w:bookmarkEnd w:id="63"/>
      <w:bookmarkEnd w:id="64"/>
      <w:bookmarkStart w:id="65" w:name="_Hlk46152970"/>
      <w:r>
        <w:rPr>
          <w:rFonts w:ascii="Times New Roman" w:hAnsi="Times New Roman" w:cs="Times New Roman"/>
          <w:kern w:val="0"/>
          <w:szCs w:val="21"/>
        </w:rPr>
        <w:t>3-1+10706.887/28940.4 =</w:t>
      </w:r>
      <w:bookmarkEnd w:id="65"/>
      <w:r>
        <w:rPr>
          <w:rFonts w:ascii="Times New Roman" w:hAnsi="Times New Roman" w:cs="Times New Roman"/>
          <w:kern w:val="0"/>
          <w:szCs w:val="21"/>
        </w:rPr>
        <w:t>2.37年，小于化工企业标准的14年。</w:t>
      </w:r>
    </w:p>
    <w:p>
      <w:pPr>
        <w:widowControl/>
        <w:jc w:val="left"/>
        <w:rPr>
          <w:rFonts w:cs="宋体"/>
          <w:kern w:val="0"/>
          <w:sz w:val="24"/>
          <w:szCs w:val="24"/>
        </w:rPr>
      </w:pPr>
      <w:r>
        <w:rPr>
          <w:rFonts w:hint="eastAsia" w:cs="宋体"/>
          <w:b/>
          <w:bCs/>
          <w:color w:val="000000"/>
          <w:kern w:val="0"/>
          <w:szCs w:val="21"/>
        </w:rPr>
        <w:t>（</w:t>
      </w:r>
      <w:r>
        <w:rPr>
          <w:rFonts w:cs="宋体"/>
          <w:b/>
          <w:bCs/>
          <w:color w:val="000000"/>
          <w:kern w:val="0"/>
          <w:szCs w:val="21"/>
        </w:rPr>
        <w:t>2</w:t>
      </w:r>
      <w:r>
        <w:rPr>
          <w:rFonts w:hint="eastAsia" w:cs="宋体"/>
          <w:b/>
          <w:bCs/>
          <w:color w:val="000000"/>
          <w:kern w:val="0"/>
          <w:szCs w:val="21"/>
        </w:rPr>
        <w:t>）投资利润率</w:t>
      </w:r>
      <w:r>
        <w:rPr>
          <w:rFonts w:hint="eastAsia" w:ascii="仿宋" w:hAnsi="仿宋" w:eastAsia="仿宋" w:cs="宋体"/>
          <w:b/>
          <w:bCs/>
          <w:color w:val="000000"/>
          <w:kern w:val="0"/>
          <w:szCs w:val="21"/>
        </w:rPr>
        <w:t xml:space="preserve"> </w:t>
      </w:r>
    </w:p>
    <w:p>
      <w:pPr>
        <w:ind w:firstLine="420" w:firstLineChars="200"/>
        <w:rPr>
          <w:rFonts w:ascii="Times New Roman" w:hAnsi="Times New Roman" w:cs="Times New Roman"/>
          <w:kern w:val="0"/>
          <w:position w:val="-4"/>
          <w:szCs w:val="21"/>
        </w:rPr>
      </w:pPr>
      <w:r>
        <w:rPr>
          <w:rFonts w:hint="eastAsia" w:ascii="Times New Roman" w:hAnsi="Times New Roman" w:cs="Times New Roman"/>
          <w:kern w:val="0"/>
          <w:position w:val="-4"/>
          <w:szCs w:val="21"/>
        </w:rPr>
        <w:t>投资利润率</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年利润总额</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总投资额×</w:t>
      </w:r>
      <w:r>
        <w:rPr>
          <w:rFonts w:ascii="Times New Roman" w:hAnsi="Times New Roman" w:cs="Times New Roman"/>
          <w:kern w:val="0"/>
          <w:position w:val="-4"/>
          <w:szCs w:val="21"/>
        </w:rPr>
        <w:t>100%=133.01</w:t>
      </w:r>
      <w:r>
        <w:rPr>
          <w:rFonts w:hint="eastAsia" w:ascii="Times New Roman" w:hAnsi="Times New Roman" w:cs="Times New Roman"/>
          <w:kern w:val="0"/>
          <w:position w:val="-4"/>
          <w:szCs w:val="21"/>
        </w:rPr>
        <w:t>＞</w:t>
      </w:r>
      <w:r>
        <w:rPr>
          <w:rFonts w:ascii="Times New Roman" w:hAnsi="Times New Roman" w:cs="Times New Roman"/>
          <w:kern w:val="0"/>
          <w:position w:val="-4"/>
          <w:szCs w:val="21"/>
        </w:rPr>
        <w:t>26%</w:t>
      </w:r>
      <w:r>
        <w:rPr>
          <w:rFonts w:hint="eastAsia" w:ascii="Times New Roman" w:hAnsi="Times New Roman" w:cs="Times New Roman"/>
          <w:kern w:val="0"/>
          <w:position w:val="-4"/>
          <w:szCs w:val="21"/>
        </w:rPr>
        <w:t xml:space="preserve">，项目可取。 </w:t>
      </w:r>
    </w:p>
    <w:p>
      <w:pPr>
        <w:widowControl/>
        <w:jc w:val="left"/>
        <w:rPr>
          <w:rFonts w:cs="宋体"/>
          <w:b/>
          <w:bCs/>
          <w:color w:val="000000"/>
          <w:kern w:val="0"/>
          <w:szCs w:val="21"/>
        </w:rPr>
      </w:pPr>
      <w:r>
        <w:rPr>
          <w:rFonts w:hint="eastAsia" w:cs="宋体"/>
          <w:b/>
          <w:bCs/>
          <w:color w:val="000000"/>
          <w:kern w:val="0"/>
          <w:szCs w:val="21"/>
        </w:rPr>
        <w:t>（</w:t>
      </w:r>
      <w:r>
        <w:rPr>
          <w:rFonts w:cs="宋体"/>
          <w:b/>
          <w:bCs/>
          <w:color w:val="000000"/>
          <w:kern w:val="0"/>
          <w:szCs w:val="21"/>
        </w:rPr>
        <w:t>3</w:t>
      </w:r>
      <w:r>
        <w:rPr>
          <w:rFonts w:hint="eastAsia" w:cs="宋体"/>
          <w:b/>
          <w:bCs/>
          <w:color w:val="000000"/>
          <w:kern w:val="0"/>
          <w:szCs w:val="21"/>
        </w:rPr>
        <w:t xml:space="preserve">）投资利税率 </w:t>
      </w:r>
    </w:p>
    <w:p>
      <w:pPr>
        <w:ind w:firstLine="420" w:firstLineChars="200"/>
        <w:rPr>
          <w:rFonts w:ascii="Times New Roman" w:hAnsi="Times New Roman" w:cs="Times New Roman"/>
          <w:kern w:val="0"/>
          <w:position w:val="-4"/>
          <w:szCs w:val="21"/>
        </w:rPr>
      </w:pPr>
      <w:r>
        <w:rPr>
          <w:rFonts w:hint="eastAsia" w:ascii="Times New Roman" w:hAnsi="Times New Roman" w:cs="Times New Roman"/>
          <w:kern w:val="0"/>
          <w:position w:val="-4"/>
          <w:szCs w:val="21"/>
        </w:rPr>
        <w:t>投资利税率</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年利税总额</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总投资额×</w:t>
      </w:r>
      <w:r>
        <w:rPr>
          <w:rFonts w:ascii="Times New Roman" w:hAnsi="Times New Roman" w:cs="Times New Roman"/>
          <w:kern w:val="0"/>
          <w:position w:val="-4"/>
          <w:szCs w:val="21"/>
        </w:rPr>
        <w:t>100%=</w:t>
      </w:r>
      <w:r>
        <w:rPr>
          <w:rFonts w:hint="eastAsia" w:ascii="Times New Roman" w:hAnsi="Times New Roman" w:cs="Times New Roman"/>
          <w:kern w:val="0"/>
          <w:position w:val="-4"/>
          <w:szCs w:val="21"/>
        </w:rPr>
        <w:t>（年利润总额</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年销售税金及附加）</w:t>
      </w:r>
      <w:r>
        <w:rPr>
          <w:rFonts w:ascii="Times New Roman" w:hAnsi="Times New Roman" w:cs="Times New Roman"/>
          <w:kern w:val="0"/>
          <w:position w:val="-4"/>
          <w:szCs w:val="21"/>
        </w:rPr>
        <w:t>/</w:t>
      </w:r>
      <w:r>
        <w:rPr>
          <w:rFonts w:hint="eastAsia" w:ascii="Times New Roman" w:hAnsi="Times New Roman" w:cs="Times New Roman"/>
          <w:kern w:val="0"/>
          <w:position w:val="-4"/>
          <w:szCs w:val="21"/>
        </w:rPr>
        <w:t xml:space="preserve">总投资 </w:t>
      </w:r>
    </w:p>
    <w:p>
      <w:pPr>
        <w:ind w:firstLine="420" w:firstLineChars="200"/>
        <w:rPr>
          <w:rFonts w:ascii="Times New Roman" w:hAnsi="Times New Roman" w:cs="Times New Roman"/>
          <w:kern w:val="0"/>
          <w:position w:val="-4"/>
          <w:szCs w:val="21"/>
        </w:rPr>
      </w:pPr>
      <w:r>
        <w:rPr>
          <w:rFonts w:hint="eastAsia" w:ascii="Times New Roman" w:hAnsi="Times New Roman" w:cs="Times New Roman"/>
          <w:kern w:val="0"/>
          <w:position w:val="-4"/>
          <w:szCs w:val="21"/>
        </w:rPr>
        <w:t>额</w:t>
      </w:r>
      <w:r>
        <w:rPr>
          <w:rFonts w:ascii="Times New Roman" w:hAnsi="Times New Roman" w:cs="Times New Roman"/>
          <w:kern w:val="0"/>
          <w:position w:val="-4"/>
          <w:szCs w:val="21"/>
        </w:rPr>
        <w:t>=155.61&gt;38%</w:t>
      </w:r>
      <w:r>
        <w:rPr>
          <w:rFonts w:hint="eastAsia" w:ascii="Times New Roman" w:hAnsi="Times New Roman" w:cs="Times New Roman"/>
          <w:kern w:val="0"/>
          <w:position w:val="-4"/>
          <w:szCs w:val="21"/>
        </w:rPr>
        <w:t xml:space="preserve">，初步判断项目可行。 </w:t>
      </w:r>
    </w:p>
    <w:p>
      <w:pPr>
        <w:widowControl/>
        <w:jc w:val="left"/>
        <w:rPr>
          <w:rFonts w:cs="宋体"/>
          <w:kern w:val="0"/>
          <w:sz w:val="24"/>
          <w:szCs w:val="24"/>
        </w:rPr>
      </w:pPr>
      <w:r>
        <w:rPr>
          <w:rFonts w:hint="eastAsia" w:cs="宋体"/>
          <w:b/>
          <w:bCs/>
          <w:color w:val="000000"/>
          <w:kern w:val="0"/>
          <w:szCs w:val="21"/>
        </w:rPr>
        <w:t>（</w:t>
      </w:r>
      <w:r>
        <w:rPr>
          <w:rFonts w:cs="宋体"/>
          <w:b/>
          <w:bCs/>
          <w:color w:val="000000"/>
          <w:kern w:val="0"/>
          <w:szCs w:val="21"/>
        </w:rPr>
        <w:t>4</w:t>
      </w:r>
      <w:r>
        <w:rPr>
          <w:rFonts w:hint="eastAsia" w:cs="宋体"/>
          <w:b/>
          <w:bCs/>
          <w:color w:val="000000"/>
          <w:kern w:val="0"/>
          <w:szCs w:val="21"/>
        </w:rPr>
        <w:t>）资本金净利润率</w:t>
      </w:r>
      <w:r>
        <w:rPr>
          <w:rFonts w:hint="eastAsia" w:ascii="仿宋" w:hAnsi="仿宋" w:eastAsia="仿宋" w:cs="宋体"/>
          <w:b/>
          <w:bCs/>
          <w:color w:val="000000"/>
          <w:kern w:val="0"/>
          <w:szCs w:val="21"/>
        </w:rPr>
        <w:t xml:space="preserve"> </w:t>
      </w:r>
    </w:p>
    <w:p>
      <w:pPr>
        <w:widowControl/>
        <w:jc w:val="left"/>
        <w:rPr>
          <w:rFonts w:cs="宋体"/>
          <w:kern w:val="0"/>
          <w:sz w:val="24"/>
          <w:szCs w:val="24"/>
        </w:rPr>
      </w:pPr>
      <w:r>
        <w:rPr>
          <w:rFonts w:hint="eastAsia" w:cs="宋体"/>
          <w:color w:val="000000"/>
          <w:kern w:val="0"/>
          <w:szCs w:val="21"/>
        </w:rPr>
        <w:t>资本金净利润率</w:t>
      </w:r>
      <w:r>
        <w:rPr>
          <w:rFonts w:cs="Times New Roman"/>
          <w:color w:val="000000"/>
          <w:kern w:val="0"/>
          <w:szCs w:val="21"/>
        </w:rPr>
        <w:t>=</w:t>
      </w:r>
      <w:r>
        <w:rPr>
          <w:rFonts w:hint="eastAsia" w:cs="宋体"/>
          <w:color w:val="000000"/>
          <w:kern w:val="0"/>
          <w:szCs w:val="21"/>
        </w:rPr>
        <w:t>年净利润</w:t>
      </w:r>
      <w:r>
        <w:rPr>
          <w:rFonts w:cs="Times New Roman"/>
          <w:color w:val="000000"/>
          <w:kern w:val="0"/>
          <w:szCs w:val="21"/>
        </w:rPr>
        <w:t>/</w:t>
      </w:r>
      <w:r>
        <w:rPr>
          <w:rFonts w:hint="eastAsia" w:cs="宋体"/>
          <w:color w:val="000000"/>
          <w:kern w:val="0"/>
          <w:szCs w:val="21"/>
        </w:rPr>
        <w:t>项目资本金×</w:t>
      </w:r>
      <w:r>
        <w:rPr>
          <w:rFonts w:cs="Times New Roman"/>
          <w:color w:val="000000"/>
          <w:kern w:val="0"/>
          <w:szCs w:val="21"/>
        </w:rPr>
        <w:t>100%=119.74%&gt;25%</w:t>
      </w:r>
      <w:r>
        <w:rPr>
          <w:rFonts w:hint="eastAsia" w:cs="宋体"/>
          <w:color w:val="000000"/>
          <w:kern w:val="0"/>
          <w:szCs w:val="21"/>
        </w:rPr>
        <w:t xml:space="preserve">（化工行业标准资本金净利润率）。 </w:t>
      </w:r>
    </w:p>
    <w:p>
      <w:pPr>
        <w:keepLines/>
        <w:outlineLvl w:val="2"/>
        <w:rPr>
          <w:rFonts w:ascii="Times New Roman" w:hAnsi="Times New Roman" w:cs="Times New Roman"/>
          <w:b/>
          <w:bCs/>
          <w:sz w:val="28"/>
          <w:szCs w:val="32"/>
        </w:rPr>
      </w:pPr>
      <w:bookmarkStart w:id="66" w:name="_Toc141669669"/>
      <w:bookmarkStart w:id="67" w:name="_Toc141661878"/>
      <w:r>
        <w:rPr>
          <w:rFonts w:ascii="Times New Roman" w:hAnsi="Times New Roman" w:cs="Times New Roman"/>
          <w:b/>
          <w:bCs/>
          <w:sz w:val="28"/>
          <w:szCs w:val="32"/>
        </w:rPr>
        <w:t xml:space="preserve">2.4.2. </w:t>
      </w:r>
      <w:r>
        <w:rPr>
          <w:rFonts w:hint="eastAsia" w:ascii="Times New Roman" w:hAnsi="Times New Roman" w:cs="Times New Roman"/>
          <w:b/>
          <w:bCs/>
          <w:sz w:val="28"/>
          <w:szCs w:val="32"/>
        </w:rPr>
        <w:t>动态指标</w:t>
      </w:r>
      <w:bookmarkEnd w:id="66"/>
      <w:bookmarkEnd w:id="67"/>
      <w:r>
        <w:rPr>
          <w:rFonts w:hint="eastAsia" w:ascii="Times New Roman" w:hAnsi="Times New Roman" w:cs="Times New Roman"/>
          <w:b/>
          <w:bCs/>
          <w:sz w:val="28"/>
          <w:szCs w:val="32"/>
        </w:rPr>
        <w:t xml:space="preserve"> </w:t>
      </w:r>
    </w:p>
    <w:p>
      <w:pPr>
        <w:widowControl/>
        <w:jc w:val="left"/>
        <w:rPr>
          <w:rFonts w:cs="宋体"/>
          <w:kern w:val="0"/>
          <w:sz w:val="24"/>
          <w:szCs w:val="24"/>
        </w:rPr>
      </w:pPr>
      <w:r>
        <w:rPr>
          <w:rFonts w:hint="eastAsia" w:cs="宋体"/>
          <w:b/>
          <w:bCs/>
          <w:color w:val="000000"/>
          <w:kern w:val="0"/>
          <w:szCs w:val="21"/>
        </w:rPr>
        <w:t>（</w:t>
      </w:r>
      <w:r>
        <w:rPr>
          <w:rFonts w:cs="宋体"/>
          <w:b/>
          <w:bCs/>
          <w:color w:val="000000"/>
          <w:kern w:val="0"/>
          <w:szCs w:val="21"/>
        </w:rPr>
        <w:t>1</w:t>
      </w:r>
      <w:r>
        <w:rPr>
          <w:rFonts w:hint="eastAsia" w:cs="宋体"/>
          <w:b/>
          <w:bCs/>
          <w:color w:val="000000"/>
          <w:kern w:val="0"/>
          <w:szCs w:val="21"/>
        </w:rPr>
        <w:t>）财务净现值（</w:t>
      </w:r>
      <w:r>
        <w:rPr>
          <w:rFonts w:cs="宋体"/>
          <w:b/>
          <w:bCs/>
          <w:color w:val="000000"/>
          <w:kern w:val="0"/>
          <w:szCs w:val="21"/>
        </w:rPr>
        <w:t>FNPV</w:t>
      </w:r>
      <w:r>
        <w:rPr>
          <w:rFonts w:hint="eastAsia" w:cs="宋体"/>
          <w:b/>
          <w:bCs/>
          <w:color w:val="000000"/>
          <w:kern w:val="0"/>
          <w:szCs w:val="21"/>
        </w:rPr>
        <w:t>）</w:t>
      </w:r>
      <w:r>
        <w:rPr>
          <w:rFonts w:hint="eastAsia" w:ascii="仿宋" w:hAnsi="仿宋" w:eastAsia="仿宋" w:cs="宋体"/>
          <w:b/>
          <w:bCs/>
          <w:color w:val="000000"/>
          <w:kern w:val="0"/>
          <w:szCs w:val="21"/>
        </w:rPr>
        <w:t xml:space="preserve"> </w:t>
      </w:r>
    </w:p>
    <w:p>
      <w:pPr>
        <w:widowControl/>
        <w:jc w:val="left"/>
        <w:rPr>
          <w:rFonts w:ascii="仿宋" w:hAnsi="仿宋" w:eastAsia="仿宋" w:cs="宋体"/>
          <w:color w:val="000000"/>
          <w:kern w:val="0"/>
          <w:szCs w:val="21"/>
        </w:rPr>
      </w:pPr>
      <w:r>
        <w:rPr>
          <w:rFonts w:hint="eastAsia" w:ascii="仿宋" w:hAnsi="仿宋" w:eastAsia="仿宋" w:cs="宋体"/>
          <w:color w:val="000000"/>
          <w:kern w:val="0"/>
          <w:szCs w:val="21"/>
        </w:rPr>
        <w:t xml:space="preserve">系指按规定的折现率计算的项目计算期内净现金流量的现值之和，可按下式计算： </w:t>
      </w:r>
    </w:p>
    <w:p>
      <w:pPr>
        <w:widowControl/>
        <w:jc w:val="center"/>
        <w:rPr>
          <w:rFonts w:cs="宋体"/>
          <w:kern w:val="0"/>
          <w:sz w:val="24"/>
          <w:szCs w:val="24"/>
        </w:rPr>
      </w:pPr>
      <w:r>
        <w:rPr>
          <w:rFonts w:ascii="Times New Roman" w:hAnsi="Times New Roman" w:cs="Times New Roman"/>
          <w:kern w:val="0"/>
          <w:szCs w:val="21"/>
        </w:rPr>
        <w:drawing>
          <wp:inline distT="0" distB="0" distL="0" distR="0">
            <wp:extent cx="2078355" cy="374015"/>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078355" cy="374015"/>
                    </a:xfrm>
                    <a:prstGeom prst="rect">
                      <a:avLst/>
                    </a:prstGeom>
                    <a:noFill/>
                    <a:ln>
                      <a:noFill/>
                    </a:ln>
                  </pic:spPr>
                </pic:pic>
              </a:graphicData>
            </a:graphic>
          </wp:inline>
        </w:drawing>
      </w:r>
    </w:p>
    <w:p>
      <w:pPr>
        <w:topLinePunct/>
        <w:ind w:firstLine="420"/>
        <w:rPr>
          <w:rFonts w:ascii="Times New Roman" w:hAnsi="Times New Roman" w:cs="Times New Roman"/>
          <w:szCs w:val="21"/>
        </w:rPr>
      </w:pPr>
      <w:r>
        <w:rPr>
          <w:rFonts w:ascii="Times New Roman" w:hAnsi="Times New Roman" w:cs="Times New Roman"/>
          <w:szCs w:val="21"/>
        </w:rPr>
        <w:t xml:space="preserve">其中： </w:t>
      </w:r>
      <w:r>
        <w:rPr>
          <w:rFonts w:hint="eastAsia" w:ascii="Times New Roman" w:hAnsi="Times New Roman" w:cs="Times New Roman"/>
          <w:szCs w:val="21"/>
        </w:rPr>
        <w:t>F</w:t>
      </w:r>
      <w:r>
        <w:rPr>
          <w:rFonts w:ascii="Times New Roman" w:hAnsi="Times New Roman" w:cs="Times New Roman"/>
          <w:szCs w:val="21"/>
        </w:rPr>
        <w:t>NPV——净现值； i</w:t>
      </w:r>
      <w:r>
        <w:rPr>
          <w:rFonts w:ascii="Times New Roman" w:hAnsi="Times New Roman" w:cs="Times New Roman"/>
          <w:szCs w:val="21"/>
          <w:vertAlign w:val="subscript"/>
        </w:rPr>
        <w:t>0</w:t>
      </w:r>
      <w:r>
        <w:rPr>
          <w:rFonts w:ascii="Times New Roman" w:hAnsi="Times New Roman" w:cs="Times New Roman"/>
          <w:szCs w:val="21"/>
        </w:rPr>
        <w:t>——项目投资基准折现率（这里取13%）； CI——现金流入； CO——现金流出； CF——净现金流量； n——项目方案的寿命期。</w:t>
      </w:r>
    </w:p>
    <w:p>
      <w:pPr>
        <w:topLinePunct/>
        <w:ind w:firstLine="420"/>
        <w:rPr>
          <w:rFonts w:ascii="Times New Roman" w:hAnsi="Times New Roman" w:cs="Times New Roman"/>
          <w:szCs w:val="21"/>
        </w:rPr>
      </w:pPr>
      <w:r>
        <w:rPr>
          <w:rFonts w:ascii="Times New Roman" w:hAnsi="Times New Roman" w:cs="Times New Roman"/>
          <w:szCs w:val="21"/>
        </w:rPr>
        <w:t>计算得</w:t>
      </w:r>
      <w:r>
        <w:rPr>
          <w:rFonts w:hint="eastAsia" w:ascii="Times New Roman" w:hAnsi="Times New Roman" w:cs="Times New Roman"/>
          <w:szCs w:val="21"/>
        </w:rPr>
        <w:t>F</w:t>
      </w:r>
      <w:r>
        <w:rPr>
          <w:rFonts w:ascii="Times New Roman" w:hAnsi="Times New Roman" w:cs="Times New Roman"/>
          <w:szCs w:val="21"/>
        </w:rPr>
        <w:t>NPV=</w:t>
      </w:r>
      <w:r>
        <w:rPr>
          <w:rFonts w:ascii="仿宋" w:hAnsi="仿宋" w:cs="仿宋"/>
          <w:kern w:val="0"/>
        </w:rPr>
        <w:t xml:space="preserve"> </w:t>
      </w:r>
      <w:r>
        <w:rPr>
          <w:rFonts w:ascii="Times New Roman" w:hAnsi="Times New Roman" w:cs="Times New Roman"/>
          <w:szCs w:val="21"/>
        </w:rPr>
        <w:t>260919.45（万元）＞0。</w:t>
      </w:r>
    </w:p>
    <w:p>
      <w:pPr>
        <w:widowControl/>
        <w:jc w:val="center"/>
        <w:rPr>
          <w:rFonts w:cs="宋体"/>
          <w:b/>
          <w:kern w:val="0"/>
          <w:sz w:val="18"/>
          <w:szCs w:val="18"/>
        </w:rPr>
      </w:pPr>
      <w:r>
        <w:rPr>
          <w:rFonts w:hint="eastAsia" w:cs="宋体"/>
          <w:b/>
          <w:kern w:val="0"/>
          <w:sz w:val="18"/>
          <w:szCs w:val="18"/>
        </w:rPr>
        <w:t>表</w:t>
      </w:r>
      <w:r>
        <w:rPr>
          <w:rFonts w:cs="宋体"/>
          <w:b/>
          <w:kern w:val="0"/>
          <w:sz w:val="18"/>
          <w:szCs w:val="18"/>
        </w:rPr>
        <w:t>2-13</w:t>
      </w:r>
      <w:r>
        <w:rPr>
          <w:rFonts w:hint="eastAsia" w:cs="宋体"/>
          <w:b/>
          <w:kern w:val="0"/>
          <w:sz w:val="18"/>
          <w:szCs w:val="18"/>
        </w:rPr>
        <w:t>累计折现值表</w:t>
      </w:r>
    </w:p>
    <w:tbl>
      <w:tblPr>
        <w:tblStyle w:val="16"/>
        <w:tblW w:w="8640" w:type="dxa"/>
        <w:jc w:val="center"/>
        <w:tblLayout w:type="autofit"/>
        <w:tblCellMar>
          <w:top w:w="0" w:type="dxa"/>
          <w:left w:w="108" w:type="dxa"/>
          <w:bottom w:w="0" w:type="dxa"/>
          <w:right w:w="108" w:type="dxa"/>
        </w:tblCellMar>
      </w:tblPr>
      <w:tblGrid>
        <w:gridCol w:w="1538"/>
        <w:gridCol w:w="2231"/>
        <w:gridCol w:w="1341"/>
        <w:gridCol w:w="1690"/>
        <w:gridCol w:w="1840"/>
      </w:tblGrid>
      <w:tr>
        <w:tblPrEx>
          <w:tblCellMar>
            <w:top w:w="0" w:type="dxa"/>
            <w:left w:w="108" w:type="dxa"/>
            <w:bottom w:w="0" w:type="dxa"/>
            <w:right w:w="108" w:type="dxa"/>
          </w:tblCellMar>
        </w:tblPrEx>
        <w:trPr>
          <w:trHeight w:val="620" w:hRule="atLeast"/>
          <w:jc w:val="center"/>
        </w:trPr>
        <w:tc>
          <w:tcPr>
            <w:tcW w:w="1879" w:type="dxa"/>
            <w:tcBorders>
              <w:top w:val="single" w:color="000000" w:sz="8" w:space="0"/>
              <w:left w:val="single" w:color="000000" w:sz="8" w:space="0"/>
              <w:bottom w:val="single" w:color="000000" w:sz="8" w:space="0"/>
              <w:right w:val="single" w:color="000000" w:sz="8"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年份</w:t>
            </w:r>
            <w:r>
              <w:rPr>
                <w:rFonts w:ascii="Times New Roman" w:hAnsi="Times New Roman" w:cs="Times New Roman"/>
                <w:b/>
                <w:bCs/>
                <w:color w:val="FFFFFF"/>
                <w:kern w:val="0"/>
                <w:szCs w:val="21"/>
              </w:rPr>
              <w:t>t</w:t>
            </w:r>
          </w:p>
        </w:tc>
        <w:tc>
          <w:tcPr>
            <w:tcW w:w="2558" w:type="dxa"/>
            <w:tcBorders>
              <w:top w:val="single" w:color="000000" w:sz="8" w:space="0"/>
              <w:left w:val="nil"/>
              <w:bottom w:val="single" w:color="000000" w:sz="8" w:space="0"/>
              <w:right w:val="single" w:color="000000" w:sz="8" w:space="0"/>
            </w:tcBorders>
            <w:shd w:val="clear" w:color="000000" w:fill="4472C4"/>
            <w:vAlign w:val="center"/>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(CI-CO)</w:t>
            </w:r>
            <w:r>
              <w:rPr>
                <w:rFonts w:ascii="Times New Roman" w:hAnsi="Times New Roman" w:eastAsia="等线" w:cs="Times New Roman"/>
                <w:b/>
                <w:bCs/>
                <w:color w:val="FFFFFF"/>
                <w:kern w:val="0"/>
                <w:szCs w:val="21"/>
                <w:vertAlign w:val="subscript"/>
              </w:rPr>
              <w:t>t</w:t>
            </w:r>
          </w:p>
        </w:tc>
        <w:tc>
          <w:tcPr>
            <w:tcW w:w="1501" w:type="dxa"/>
            <w:tcBorders>
              <w:top w:val="single" w:color="000000" w:sz="8" w:space="0"/>
              <w:left w:val="nil"/>
              <w:bottom w:val="single" w:color="000000" w:sz="8" w:space="0"/>
              <w:right w:val="single" w:color="000000" w:sz="8" w:space="0"/>
            </w:tcBorders>
            <w:shd w:val="clear" w:color="000000" w:fill="4472C4"/>
            <w:vAlign w:val="center"/>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(1+i</w:t>
            </w:r>
            <w:r>
              <w:rPr>
                <w:rFonts w:ascii="Times New Roman" w:hAnsi="Times New Roman" w:eastAsia="等线" w:cs="Times New Roman"/>
                <w:b/>
                <w:bCs/>
                <w:color w:val="FFFFFF"/>
                <w:kern w:val="0"/>
                <w:szCs w:val="21"/>
                <w:vertAlign w:val="subscript"/>
              </w:rPr>
              <w:t>n</w:t>
            </w:r>
            <w:r>
              <w:rPr>
                <w:rFonts w:ascii="Times New Roman" w:hAnsi="Times New Roman" w:eastAsia="等线" w:cs="Times New Roman"/>
                <w:b/>
                <w:bCs/>
                <w:color w:val="FFFFFF"/>
                <w:kern w:val="0"/>
                <w:szCs w:val="21"/>
                <w:vertAlign w:val="superscript"/>
              </w:rPr>
              <w:t>*</w:t>
            </w:r>
            <w:r>
              <w:rPr>
                <w:rFonts w:ascii="Times New Roman" w:hAnsi="Times New Roman" w:eastAsia="等线" w:cs="Times New Roman"/>
                <w:b/>
                <w:bCs/>
                <w:color w:val="FFFFFF"/>
                <w:kern w:val="0"/>
                <w:szCs w:val="21"/>
              </w:rPr>
              <w:t>)</w:t>
            </w:r>
            <w:r>
              <w:rPr>
                <w:rFonts w:ascii="Times New Roman" w:hAnsi="Times New Roman" w:eastAsia="等线" w:cs="Times New Roman"/>
                <w:b/>
                <w:bCs/>
                <w:color w:val="FFFFFF"/>
                <w:kern w:val="0"/>
                <w:szCs w:val="21"/>
                <w:vertAlign w:val="superscript"/>
              </w:rPr>
              <w:t>t</w:t>
            </w:r>
          </w:p>
        </w:tc>
        <w:tc>
          <w:tcPr>
            <w:tcW w:w="1378" w:type="dxa"/>
            <w:tcBorders>
              <w:top w:val="single" w:color="000000" w:sz="8" w:space="0"/>
              <w:left w:val="nil"/>
              <w:bottom w:val="single" w:color="000000" w:sz="8" w:space="0"/>
              <w:right w:val="single" w:color="000000" w:sz="8" w:space="0"/>
            </w:tcBorders>
            <w:shd w:val="clear" w:color="000000" w:fill="4472C4"/>
            <w:vAlign w:val="center"/>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(CI-CO)</w:t>
            </w:r>
            <w:r>
              <w:rPr>
                <w:rFonts w:ascii="Times New Roman" w:hAnsi="Times New Roman" w:eastAsia="等线" w:cs="Times New Roman"/>
                <w:b/>
                <w:bCs/>
                <w:color w:val="FFFFFF"/>
                <w:kern w:val="0"/>
                <w:szCs w:val="21"/>
                <w:vertAlign w:val="subscript"/>
              </w:rPr>
              <w:t>t</w:t>
            </w:r>
            <w:r>
              <w:rPr>
                <w:rFonts w:ascii="Times New Roman" w:hAnsi="Times New Roman" w:eastAsia="等线" w:cs="Times New Roman"/>
                <w:b/>
                <w:bCs/>
                <w:color w:val="FFFFFF"/>
                <w:kern w:val="0"/>
                <w:szCs w:val="21"/>
              </w:rPr>
              <w:t>/(1+i</w:t>
            </w:r>
            <w:r>
              <w:rPr>
                <w:rFonts w:ascii="Times New Roman" w:hAnsi="Times New Roman" w:eastAsia="等线" w:cs="Times New Roman"/>
                <w:b/>
                <w:bCs/>
                <w:color w:val="FFFFFF"/>
                <w:kern w:val="0"/>
                <w:szCs w:val="21"/>
                <w:vertAlign w:val="subscript"/>
              </w:rPr>
              <w:t>n</w:t>
            </w:r>
            <w:r>
              <w:rPr>
                <w:rFonts w:ascii="Times New Roman" w:hAnsi="Times New Roman" w:eastAsia="等线" w:cs="Times New Roman"/>
                <w:b/>
                <w:bCs/>
                <w:color w:val="FFFFFF"/>
                <w:kern w:val="0"/>
                <w:szCs w:val="21"/>
                <w:vertAlign w:val="superscript"/>
              </w:rPr>
              <w:t>*</w:t>
            </w:r>
            <w:r>
              <w:rPr>
                <w:rFonts w:ascii="Times New Roman" w:hAnsi="Times New Roman" w:eastAsia="等线" w:cs="Times New Roman"/>
                <w:b/>
                <w:bCs/>
                <w:color w:val="FFFFFF"/>
                <w:kern w:val="0"/>
                <w:szCs w:val="21"/>
              </w:rPr>
              <w:t>)</w:t>
            </w:r>
            <w:r>
              <w:rPr>
                <w:rFonts w:ascii="Times New Roman" w:hAnsi="Times New Roman" w:eastAsia="等线" w:cs="Times New Roman"/>
                <w:b/>
                <w:bCs/>
                <w:color w:val="FFFFFF"/>
                <w:kern w:val="0"/>
                <w:szCs w:val="21"/>
                <w:vertAlign w:val="superscript"/>
              </w:rPr>
              <w:t>t</w:t>
            </w:r>
          </w:p>
        </w:tc>
        <w:tc>
          <w:tcPr>
            <w:tcW w:w="1324" w:type="dxa"/>
            <w:tcBorders>
              <w:top w:val="single" w:color="000000" w:sz="8" w:space="0"/>
              <w:left w:val="nil"/>
              <w:bottom w:val="single" w:color="000000" w:sz="8" w:space="0"/>
              <w:right w:val="single" w:color="000000" w:sz="8" w:space="0"/>
            </w:tcBorders>
            <w:shd w:val="clear" w:color="000000" w:fill="4472C4"/>
            <w:vAlign w:val="center"/>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∑(CI-CO)</w:t>
            </w:r>
            <w:r>
              <w:rPr>
                <w:rFonts w:ascii="Times New Roman" w:hAnsi="Times New Roman" w:eastAsia="等线" w:cs="Times New Roman"/>
                <w:b/>
                <w:bCs/>
                <w:color w:val="FFFFFF"/>
                <w:kern w:val="0"/>
                <w:szCs w:val="21"/>
                <w:vertAlign w:val="subscript"/>
              </w:rPr>
              <w:t>t</w:t>
            </w:r>
            <w:r>
              <w:rPr>
                <w:rFonts w:ascii="Times New Roman" w:hAnsi="Times New Roman" w:eastAsia="等线" w:cs="Times New Roman"/>
                <w:b/>
                <w:bCs/>
                <w:color w:val="FFFFFF"/>
                <w:kern w:val="0"/>
                <w:szCs w:val="21"/>
              </w:rPr>
              <w:t>/(1+i</w:t>
            </w:r>
            <w:r>
              <w:rPr>
                <w:rFonts w:ascii="Times New Roman" w:hAnsi="Times New Roman" w:eastAsia="等线" w:cs="Times New Roman"/>
                <w:b/>
                <w:bCs/>
                <w:color w:val="FFFFFF"/>
                <w:kern w:val="0"/>
                <w:szCs w:val="21"/>
                <w:vertAlign w:val="subscript"/>
              </w:rPr>
              <w:t>n</w:t>
            </w:r>
            <w:r>
              <w:rPr>
                <w:rFonts w:ascii="Times New Roman" w:hAnsi="Times New Roman" w:eastAsia="等线" w:cs="Times New Roman"/>
                <w:b/>
                <w:bCs/>
                <w:color w:val="FFFFFF"/>
                <w:kern w:val="0"/>
                <w:szCs w:val="21"/>
                <w:vertAlign w:val="superscript"/>
              </w:rPr>
              <w:t>*</w:t>
            </w:r>
            <w:r>
              <w:rPr>
                <w:rFonts w:ascii="Times New Roman" w:hAnsi="Times New Roman" w:eastAsia="等线" w:cs="Times New Roman"/>
                <w:b/>
                <w:bCs/>
                <w:color w:val="FFFFFF"/>
                <w:kern w:val="0"/>
                <w:szCs w:val="21"/>
              </w:rPr>
              <w:t>)</w:t>
            </w:r>
            <w:r>
              <w:rPr>
                <w:rFonts w:ascii="Times New Roman" w:hAnsi="Times New Roman" w:eastAsia="等线" w:cs="Times New Roman"/>
                <w:b/>
                <w:bCs/>
                <w:color w:val="FFFFFF"/>
                <w:kern w:val="0"/>
                <w:szCs w:val="21"/>
                <w:vertAlign w:val="superscript"/>
              </w:rPr>
              <w:t>t</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w:t>
            </w:r>
          </w:p>
        </w:tc>
        <w:tc>
          <w:tcPr>
            <w:tcW w:w="2558" w:type="dxa"/>
            <w:tcBorders>
              <w:top w:val="nil"/>
              <w:left w:val="nil"/>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p>
        </w:tc>
        <w:tc>
          <w:tcPr>
            <w:tcW w:w="1501" w:type="dxa"/>
            <w:tcBorders>
              <w:top w:val="nil"/>
              <w:left w:val="nil"/>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p>
        </w:tc>
        <w:tc>
          <w:tcPr>
            <w:tcW w:w="1378" w:type="dxa"/>
            <w:tcBorders>
              <w:top w:val="nil"/>
              <w:left w:val="nil"/>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p>
        </w:tc>
        <w:tc>
          <w:tcPr>
            <w:tcW w:w="1324" w:type="dxa"/>
            <w:tcBorders>
              <w:top w:val="nil"/>
              <w:left w:val="nil"/>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-35738.45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1.13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-31626.95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-31626.95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2</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30392.33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1.28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23801.65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-7825.29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3</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39647.28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1.44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27477.56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19652.26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4</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29195.08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1.63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17905.89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37558.15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44274.76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1.84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24030.56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61588.72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6</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44274.76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2.08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21265.99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82854.70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7</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44193.38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2.35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18784.87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101639.57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8</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2.66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17406.71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119046.28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9</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3.00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15404.17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134450.44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10</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3.39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13632.00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148082.45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11</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3.84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12063.72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160146.17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12</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4.33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10675.86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170822.03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13</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4.90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9447.66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180269.69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14</w:t>
            </w:r>
          </w:p>
        </w:tc>
        <w:tc>
          <w:tcPr>
            <w:tcW w:w="255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5.53 </w:t>
            </w:r>
          </w:p>
        </w:tc>
        <w:tc>
          <w:tcPr>
            <w:tcW w:w="1378"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8360.76 </w:t>
            </w:r>
          </w:p>
        </w:tc>
        <w:tc>
          <w:tcPr>
            <w:tcW w:w="1324" w:type="dxa"/>
            <w:tcBorders>
              <w:top w:val="nil"/>
              <w:left w:val="nil"/>
              <w:bottom w:val="single" w:color="000000" w:sz="8" w:space="0"/>
              <w:right w:val="single" w:color="000000" w:sz="8" w:space="0"/>
            </w:tcBorders>
            <w:shd w:val="clear" w:color="000000" w:fill="D9E1F2"/>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188630.45 </w:t>
            </w:r>
          </w:p>
        </w:tc>
      </w:tr>
      <w:tr>
        <w:tblPrEx>
          <w:tblCellMar>
            <w:top w:w="0" w:type="dxa"/>
            <w:left w:w="108" w:type="dxa"/>
            <w:bottom w:w="0" w:type="dxa"/>
            <w:right w:w="108" w:type="dxa"/>
          </w:tblCellMar>
        </w:tblPrEx>
        <w:trPr>
          <w:trHeight w:val="290" w:hRule="atLeast"/>
          <w:jc w:val="center"/>
        </w:trPr>
        <w:tc>
          <w:tcPr>
            <w:tcW w:w="1879" w:type="dxa"/>
            <w:tcBorders>
              <w:top w:val="nil"/>
              <w:left w:val="single" w:color="000000" w:sz="8" w:space="0"/>
              <w:bottom w:val="single" w:color="000000" w:sz="8" w:space="0"/>
              <w:right w:val="single" w:color="000000" w:sz="8" w:space="0"/>
            </w:tcBorders>
            <w:shd w:val="clear" w:color="000000" w:fill="FFFFFF"/>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15</w:t>
            </w:r>
          </w:p>
        </w:tc>
        <w:tc>
          <w:tcPr>
            <w:tcW w:w="255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46274.76 </w:t>
            </w:r>
          </w:p>
        </w:tc>
        <w:tc>
          <w:tcPr>
            <w:tcW w:w="1501"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6.25 </w:t>
            </w:r>
          </w:p>
        </w:tc>
        <w:tc>
          <w:tcPr>
            <w:tcW w:w="1378"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7398.91 </w:t>
            </w:r>
          </w:p>
        </w:tc>
        <w:tc>
          <w:tcPr>
            <w:tcW w:w="1324" w:type="dxa"/>
            <w:tcBorders>
              <w:top w:val="nil"/>
              <w:left w:val="nil"/>
              <w:bottom w:val="single" w:color="000000" w:sz="8" w:space="0"/>
              <w:right w:val="single" w:color="000000" w:sz="8" w:space="0"/>
            </w:tcBorders>
            <w:shd w:val="clear" w:color="000000" w:fill="FFFFFF"/>
          </w:tcPr>
          <w:p>
            <w:pPr>
              <w:autoSpaceDE w:val="0"/>
              <w:autoSpaceDN w:val="0"/>
              <w:jc w:val="center"/>
              <w:rPr>
                <w:rFonts w:ascii="等线" w:hAnsi="等线" w:eastAsia="等线" w:cs="仿宋"/>
                <w:color w:val="000000"/>
                <w:kern w:val="0"/>
                <w:sz w:val="22"/>
              </w:rPr>
            </w:pPr>
            <w:r>
              <w:rPr>
                <w:rFonts w:ascii="等线" w:hAnsi="等线" w:eastAsia="等线" w:cs="仿宋"/>
                <w:color w:val="000000"/>
                <w:kern w:val="0"/>
                <w:sz w:val="22"/>
              </w:rPr>
              <w:t xml:space="preserve">196029.36 </w:t>
            </w:r>
          </w:p>
        </w:tc>
      </w:tr>
    </w:tbl>
    <w:p>
      <w:pPr>
        <w:widowControl/>
        <w:jc w:val="left"/>
        <w:rPr>
          <w:rFonts w:cs="宋体"/>
          <w:kern w:val="0"/>
          <w:szCs w:val="21"/>
        </w:rPr>
      </w:pPr>
    </w:p>
    <w:p>
      <w:pPr>
        <w:widowControl/>
        <w:jc w:val="center"/>
        <w:rPr>
          <w:rFonts w:cs="宋体"/>
          <w:kern w:val="0"/>
          <w:sz w:val="24"/>
          <w:szCs w:val="24"/>
        </w:rPr>
      </w:pPr>
      <w:r>
        <w:rPr>
          <w:rFonts w:ascii="仿宋" w:hAnsi="仿宋" w:cs="仿宋"/>
          <w:kern w:val="0"/>
        </w:rPr>
        <w:drawing>
          <wp:inline distT="0" distB="0" distL="0" distR="0">
            <wp:extent cx="4245610" cy="2218055"/>
            <wp:effectExtent l="0" t="0" r="2540" b="10795"/>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widowControl/>
        <w:jc w:val="center"/>
        <w:rPr>
          <w:rFonts w:cs="宋体"/>
          <w:b/>
          <w:kern w:val="0"/>
          <w:sz w:val="18"/>
          <w:szCs w:val="18"/>
        </w:rPr>
      </w:pPr>
      <w:r>
        <w:rPr>
          <w:rFonts w:hint="eastAsia" w:cs="宋体"/>
          <w:b/>
          <w:kern w:val="0"/>
          <w:sz w:val="18"/>
          <w:szCs w:val="18"/>
        </w:rPr>
        <w:t>图</w:t>
      </w:r>
      <w:r>
        <w:rPr>
          <w:rFonts w:cs="宋体"/>
          <w:b/>
          <w:kern w:val="0"/>
          <w:sz w:val="18"/>
          <w:szCs w:val="18"/>
        </w:rPr>
        <w:t xml:space="preserve">2-2 </w:t>
      </w:r>
      <w:r>
        <w:rPr>
          <w:rFonts w:hint="eastAsia" w:cs="宋体"/>
          <w:b/>
          <w:kern w:val="0"/>
          <w:sz w:val="18"/>
          <w:szCs w:val="18"/>
        </w:rPr>
        <w:t>累计折现值图</w:t>
      </w:r>
    </w:p>
    <w:p>
      <w:pPr>
        <w:widowControl/>
        <w:jc w:val="left"/>
        <w:rPr>
          <w:rFonts w:cs="宋体"/>
          <w:kern w:val="0"/>
          <w:szCs w:val="21"/>
        </w:rPr>
      </w:pPr>
      <w:r>
        <w:rPr>
          <w:rFonts w:hint="eastAsia" w:cs="宋体"/>
          <w:kern w:val="0"/>
          <w:szCs w:val="21"/>
        </w:rPr>
        <w:t>本项目</w:t>
      </w:r>
      <w:r>
        <w:rPr>
          <w:rFonts w:cs="宋体"/>
          <w:kern w:val="0"/>
          <w:szCs w:val="21"/>
        </w:rPr>
        <w:t>FNPV=196029.36万元＞0，故该项目方案可行。</w:t>
      </w:r>
    </w:p>
    <w:p>
      <w:pPr>
        <w:widowControl/>
        <w:jc w:val="left"/>
        <w:rPr>
          <w:rFonts w:cs="宋体"/>
          <w:b/>
          <w:bCs/>
          <w:color w:val="000000"/>
          <w:kern w:val="0"/>
          <w:szCs w:val="21"/>
        </w:rPr>
      </w:pPr>
      <w:r>
        <w:rPr>
          <w:rFonts w:hint="eastAsia" w:cs="宋体"/>
          <w:b/>
          <w:bCs/>
          <w:color w:val="000000"/>
          <w:kern w:val="0"/>
          <w:szCs w:val="21"/>
        </w:rPr>
        <w:t>（</w:t>
      </w:r>
      <w:r>
        <w:rPr>
          <w:rFonts w:cs="宋体"/>
          <w:b/>
          <w:bCs/>
          <w:color w:val="000000"/>
          <w:kern w:val="0"/>
          <w:szCs w:val="21"/>
        </w:rPr>
        <w:t>2</w:t>
      </w:r>
      <w:r>
        <w:rPr>
          <w:rFonts w:hint="eastAsia" w:cs="宋体"/>
          <w:b/>
          <w:bCs/>
          <w:color w:val="000000"/>
          <w:kern w:val="0"/>
          <w:szCs w:val="21"/>
        </w:rPr>
        <w:t>）动态投资回收期</w:t>
      </w:r>
    </w:p>
    <w:p>
      <w:pPr>
        <w:widowControl/>
        <w:jc w:val="left"/>
        <w:rPr>
          <w:rFonts w:cs="宋体"/>
          <w:kern w:val="0"/>
          <w:sz w:val="24"/>
          <w:szCs w:val="24"/>
        </w:rPr>
      </w:pPr>
      <w:r>
        <w:rPr>
          <w:rFonts w:hint="eastAsia" w:cs="宋体"/>
          <w:color w:val="000000"/>
          <w:kern w:val="0"/>
          <w:szCs w:val="21"/>
        </w:rPr>
        <w:t xml:space="preserve">考虑到折现率之后的投资回收期，计算方式同静态投资回收期。本项目的动态投资回收 </w:t>
      </w:r>
    </w:p>
    <w:p>
      <w:pPr>
        <w:widowControl/>
        <w:jc w:val="left"/>
        <w:rPr>
          <w:rFonts w:cs="宋体"/>
          <w:kern w:val="0"/>
          <w:sz w:val="24"/>
          <w:szCs w:val="24"/>
        </w:rPr>
      </w:pPr>
      <w:r>
        <w:rPr>
          <w:rFonts w:hint="eastAsia" w:cs="宋体"/>
          <w:color w:val="000000"/>
          <w:kern w:val="0"/>
          <w:szCs w:val="21"/>
        </w:rPr>
        <w:t xml:space="preserve">期 </w:t>
      </w:r>
      <w:r>
        <w:rPr>
          <w:rFonts w:cs="Times New Roman"/>
          <w:color w:val="000000"/>
          <w:kern w:val="0"/>
          <w:szCs w:val="21"/>
        </w:rPr>
        <w:t>P=</w:t>
      </w:r>
      <w:r>
        <w:rPr>
          <w:rFonts w:cs="宋体"/>
          <w:color w:val="000000"/>
          <w:kern w:val="0"/>
          <w:szCs w:val="21"/>
        </w:rPr>
        <w:t>3</w:t>
      </w:r>
      <w:r>
        <w:rPr>
          <w:rFonts w:hint="eastAsia" w:ascii="微软雅黑" w:hAnsi="微软雅黑" w:eastAsia="微软雅黑" w:cs="微软雅黑"/>
          <w:color w:val="000000"/>
          <w:kern w:val="0"/>
          <w:szCs w:val="21"/>
        </w:rPr>
        <w:t>−</w:t>
      </w:r>
      <w:r>
        <w:rPr>
          <w:rFonts w:cs="宋体"/>
          <w:color w:val="000000"/>
          <w:kern w:val="0"/>
          <w:szCs w:val="21"/>
        </w:rPr>
        <w:t>1+7825.29/39647.28=2.19</w:t>
      </w:r>
      <w:r>
        <w:rPr>
          <w:rFonts w:hint="eastAsia" w:cs="宋体"/>
          <w:color w:val="000000"/>
          <w:kern w:val="0"/>
          <w:szCs w:val="21"/>
        </w:rPr>
        <w:t>年</w:t>
      </w:r>
    </w:p>
    <w:p>
      <w:pPr>
        <w:widowControl/>
        <w:jc w:val="left"/>
        <w:rPr>
          <w:rFonts w:cs="宋体"/>
          <w:b/>
          <w:bCs/>
          <w:color w:val="000000"/>
          <w:kern w:val="0"/>
          <w:szCs w:val="21"/>
        </w:rPr>
      </w:pPr>
      <w:r>
        <w:rPr>
          <w:rFonts w:hint="eastAsia" w:cs="宋体"/>
          <w:b/>
          <w:bCs/>
          <w:color w:val="000000"/>
          <w:kern w:val="0"/>
          <w:szCs w:val="21"/>
        </w:rPr>
        <w:t>（3）项目财务内部收益率（F</w:t>
      </w:r>
      <w:r>
        <w:rPr>
          <w:rFonts w:cs="宋体"/>
          <w:b/>
          <w:bCs/>
          <w:color w:val="000000"/>
          <w:kern w:val="0"/>
          <w:szCs w:val="21"/>
        </w:rPr>
        <w:t>IRR</w:t>
      </w:r>
      <w:r>
        <w:rPr>
          <w:rFonts w:hint="eastAsia" w:cs="宋体"/>
          <w:b/>
          <w:bCs/>
          <w:color w:val="000000"/>
          <w:kern w:val="0"/>
          <w:szCs w:val="21"/>
        </w:rPr>
        <w:t>）</w:t>
      </w:r>
    </w:p>
    <w:p>
      <w:pPr>
        <w:widowControl/>
        <w:topLinePunct/>
        <w:ind w:firstLine="420"/>
        <w:rPr>
          <w:rFonts w:ascii="Times New Roman" w:hAnsi="Times New Roman" w:cs="Times New Roman"/>
          <w:kern w:val="0"/>
          <w:szCs w:val="21"/>
        </w:rPr>
      </w:pPr>
      <w:bookmarkStart w:id="68" w:name="_Toc12689"/>
      <w:r>
        <w:rPr>
          <w:rFonts w:ascii="Times New Roman" w:hAnsi="Times New Roman" w:cs="Times New Roman"/>
          <w:kern w:val="0"/>
          <w:szCs w:val="21"/>
        </w:rPr>
        <w:t>指项目在整个计算期内各年净现金流量现值累计等于零时的折现率，它反映项目所占用资金的盈利率，是考察项目盈利能力的主要动态评价标准。计算方法如下：</w:t>
      </w:r>
      <w:bookmarkEnd w:id="68"/>
    </w:p>
    <w:p>
      <w:pPr>
        <w:widowControl/>
        <w:topLinePunct/>
        <w:ind w:firstLine="480" w:firstLineChars="200"/>
        <w:jc w:val="center"/>
        <w:rPr>
          <w:rFonts w:ascii="Times New Roman" w:hAnsi="Times New Roman" w:cs="Times New Roman"/>
          <w:kern w:val="0"/>
          <w:sz w:val="24"/>
        </w:rPr>
      </w:pPr>
      <w:r>
        <w:rPr>
          <w:rFonts w:ascii="Times New Roman" w:hAnsi="Times New Roman" w:cs="Times New Roman"/>
          <w:kern w:val="0"/>
          <w:sz w:val="24"/>
        </w:rPr>
        <w:drawing>
          <wp:inline distT="0" distB="0" distL="0" distR="0">
            <wp:extent cx="1153160" cy="43116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68656" cy="437325"/>
                    </a:xfrm>
                    <a:prstGeom prst="rect">
                      <a:avLst/>
                    </a:prstGeom>
                    <a:noFill/>
                    <a:ln>
                      <a:noFill/>
                    </a:ln>
                  </pic:spPr>
                </pic:pic>
              </a:graphicData>
            </a:graphic>
          </wp:inline>
        </w:drawing>
      </w:r>
    </w:p>
    <w:p>
      <w:pPr>
        <w:widowControl/>
        <w:topLinePunct/>
        <w:ind w:firstLine="420"/>
        <w:rPr>
          <w:rFonts w:ascii="Times New Roman" w:hAnsi="Times New Roman" w:cs="Times New Roman"/>
          <w:kern w:val="0"/>
          <w:szCs w:val="21"/>
        </w:rPr>
      </w:pPr>
      <w:bookmarkStart w:id="69" w:name="_Toc24793"/>
      <w:r>
        <w:rPr>
          <w:rFonts w:ascii="Times New Roman" w:hAnsi="Times New Roman" w:cs="Times New Roman"/>
          <w:kern w:val="0"/>
          <w:szCs w:val="21"/>
        </w:rPr>
        <w:t>其中，FIRR：内部收益率；CF：净现金流量；n：项目方案的寿命期。利用EXCEL财务公式计算得：FIRR=89.1%&gt;</w:t>
      </w:r>
      <w:r>
        <w:rPr>
          <w:rFonts w:hint="eastAsia" w:ascii="Times New Roman" w:hAnsi="Times New Roman" w:cs="Times New Roman"/>
          <w:kern w:val="0"/>
          <w:szCs w:val="21"/>
        </w:rPr>
        <w:t>标准内部收益率</w:t>
      </w:r>
      <w:r>
        <w:rPr>
          <w:rFonts w:ascii="Times New Roman" w:hAnsi="Times New Roman" w:cs="Times New Roman"/>
          <w:kern w:val="0"/>
          <w:szCs w:val="21"/>
        </w:rPr>
        <w:t>1</w:t>
      </w:r>
      <w:r>
        <w:rPr>
          <w:rFonts w:hint="eastAsia" w:ascii="Times New Roman" w:hAnsi="Times New Roman" w:cs="Times New Roman"/>
          <w:kern w:val="0"/>
          <w:szCs w:val="21"/>
        </w:rPr>
        <w:t>3</w:t>
      </w:r>
      <w:r>
        <w:rPr>
          <w:rFonts w:ascii="Times New Roman" w:hAnsi="Times New Roman" w:cs="Times New Roman"/>
          <w:kern w:val="0"/>
          <w:szCs w:val="21"/>
        </w:rPr>
        <w:t>%，故该项目方案可行。</w:t>
      </w:r>
      <w:bookmarkEnd w:id="69"/>
    </w:p>
    <w:p>
      <w:pPr>
        <w:widowControl/>
        <w:topLinePunct/>
        <w:ind w:firstLine="420"/>
        <w:rPr>
          <w:rFonts w:ascii="Times New Roman" w:hAnsi="Times New Roman" w:cs="Times New Roman"/>
          <w:kern w:val="0"/>
          <w:szCs w:val="21"/>
        </w:rPr>
      </w:pPr>
      <w:r>
        <w:rPr>
          <w:rFonts w:hint="eastAsia" w:ascii="Times New Roman" w:hAnsi="Times New Roman" w:cs="Times New Roman"/>
          <w:kern w:val="0"/>
          <w:szCs w:val="21"/>
        </w:rPr>
        <w:t>（4）权益投资内部收益率（I</w:t>
      </w:r>
      <w:r>
        <w:rPr>
          <w:rFonts w:ascii="Times New Roman" w:hAnsi="Times New Roman" w:cs="Times New Roman"/>
          <w:kern w:val="0"/>
          <w:szCs w:val="21"/>
        </w:rPr>
        <w:t>RR</w:t>
      </w:r>
      <w:r>
        <w:rPr>
          <w:rFonts w:hint="eastAsia" w:ascii="Times New Roman" w:hAnsi="Times New Roman" w:cs="Times New Roman"/>
          <w:kern w:val="0"/>
          <w:szCs w:val="21"/>
        </w:rPr>
        <w:t>）</w:t>
      </w:r>
    </w:p>
    <w:p>
      <w:pPr>
        <w:widowControl/>
        <w:topLinePunct/>
        <w:ind w:firstLine="420"/>
        <w:rPr>
          <w:rFonts w:ascii="Times New Roman" w:hAnsi="Times New Roman" w:cs="Times New Roman"/>
          <w:kern w:val="0"/>
          <w:szCs w:val="21"/>
        </w:rPr>
      </w:pPr>
      <w:r>
        <w:rPr>
          <w:rFonts w:hint="eastAsia" w:ascii="Times New Roman" w:hAnsi="Times New Roman" w:cs="Times New Roman"/>
          <w:kern w:val="0"/>
          <w:szCs w:val="21"/>
        </w:rPr>
        <w:t>由权益投资财务现金流量表数据可以利用财务公式估算得到权益投资内部收益率为1</w:t>
      </w:r>
      <w:r>
        <w:rPr>
          <w:rFonts w:ascii="Times New Roman" w:hAnsi="Times New Roman" w:cs="Times New Roman"/>
          <w:kern w:val="0"/>
          <w:szCs w:val="21"/>
        </w:rPr>
        <w:t>04.208%</w:t>
      </w:r>
      <w:r>
        <w:rPr>
          <w:rFonts w:hint="eastAsia" w:ascii="Times New Roman" w:hAnsi="Times New Roman" w:cs="Times New Roman"/>
          <w:kern w:val="0"/>
          <w:szCs w:val="21"/>
        </w:rPr>
        <w:t>，大于行业标准1</w:t>
      </w:r>
      <w:r>
        <w:rPr>
          <w:rFonts w:ascii="Times New Roman" w:hAnsi="Times New Roman" w:cs="Times New Roman"/>
          <w:kern w:val="0"/>
          <w:szCs w:val="21"/>
        </w:rPr>
        <w:t>5%</w:t>
      </w:r>
      <w:r>
        <w:rPr>
          <w:rFonts w:hint="eastAsia" w:ascii="Times New Roman" w:hAnsi="Times New Roman" w:cs="Times New Roman"/>
          <w:kern w:val="0"/>
          <w:szCs w:val="21"/>
        </w:rPr>
        <w:t>，故方案可行。</w:t>
      </w:r>
    </w:p>
    <w:p>
      <w:pPr>
        <w:keepLines/>
        <w:outlineLvl w:val="2"/>
        <w:rPr>
          <w:rFonts w:ascii="Times New Roman" w:hAnsi="Times New Roman" w:cs="Times New Roman"/>
          <w:b/>
          <w:bCs/>
          <w:sz w:val="28"/>
          <w:szCs w:val="32"/>
        </w:rPr>
      </w:pPr>
      <w:bookmarkStart w:id="70" w:name="_Toc141669670"/>
      <w:bookmarkStart w:id="71" w:name="_Toc141661879"/>
      <w:r>
        <w:rPr>
          <w:rFonts w:ascii="Times New Roman" w:hAnsi="Times New Roman" w:cs="Times New Roman"/>
          <w:b/>
          <w:bCs/>
          <w:sz w:val="28"/>
          <w:szCs w:val="32"/>
        </w:rPr>
        <w:t>2.4.3. 清偿能力分析</w:t>
      </w:r>
      <w:bookmarkEnd w:id="70"/>
      <w:bookmarkEnd w:id="71"/>
    </w:p>
    <w:p>
      <w:pPr>
        <w:widowControl/>
        <w:jc w:val="left"/>
        <w:rPr>
          <w:rFonts w:cs="宋体"/>
          <w:kern w:val="0"/>
          <w:szCs w:val="21"/>
        </w:rPr>
      </w:pPr>
      <w:r>
        <w:rPr>
          <w:rFonts w:hint="eastAsia" w:cs="宋体"/>
          <w:kern w:val="0"/>
          <w:szCs w:val="21"/>
        </w:rPr>
        <w:t>本项目固定资产投资贷款为</w:t>
      </w:r>
      <w:r>
        <w:rPr>
          <w:rFonts w:cs="宋体"/>
          <w:kern w:val="0"/>
          <w:szCs w:val="21"/>
        </w:rPr>
        <w:t>10000万元，在生产期内用项目的未分配利润、折旧费及</w:t>
      </w:r>
      <w:r>
        <w:rPr>
          <w:rFonts w:hint="eastAsia" w:cs="宋体"/>
          <w:kern w:val="0"/>
          <w:szCs w:val="21"/>
        </w:rPr>
        <w:t>摊销费以最大能力偿还。从借款还本付息表可知，该项目建设投资借款偿还期为</w:t>
      </w:r>
      <w:r>
        <w:rPr>
          <w:rFonts w:cs="宋体"/>
          <w:kern w:val="0"/>
          <w:szCs w:val="21"/>
        </w:rPr>
        <w:t>6年（包</w:t>
      </w:r>
      <w:r>
        <w:rPr>
          <w:rFonts w:hint="eastAsia" w:cs="宋体"/>
          <w:kern w:val="0"/>
          <w:szCs w:val="21"/>
        </w:rPr>
        <w:t>括建设期</w:t>
      </w:r>
      <w:r>
        <w:rPr>
          <w:rFonts w:cs="宋体"/>
          <w:kern w:val="0"/>
          <w:szCs w:val="21"/>
        </w:rPr>
        <w:t>1年）。项目流动资金借款于项目终止年份回收偿还。该项目具有较好的贷款偿还</w:t>
      </w:r>
      <w:r>
        <w:rPr>
          <w:rFonts w:hint="eastAsia" w:cs="宋体"/>
          <w:kern w:val="0"/>
          <w:szCs w:val="21"/>
        </w:rPr>
        <w:t>能力。</w:t>
      </w:r>
    </w:p>
    <w:p>
      <w:pPr>
        <w:keepNext/>
        <w:keepLines/>
        <w:autoSpaceDE w:val="0"/>
        <w:autoSpaceDN w:val="0"/>
        <w:spacing w:before="156" w:beforeLines="50" w:after="156" w:afterLines="50" w:line="416" w:lineRule="auto"/>
        <w:jc w:val="left"/>
        <w:outlineLvl w:val="1"/>
        <w:rPr>
          <w:rFonts w:ascii="Times New Roman" w:hAnsi="Times New Roman" w:cs="Times New Roman"/>
          <w:b/>
          <w:bCs/>
          <w:kern w:val="0"/>
          <w:sz w:val="32"/>
          <w:szCs w:val="32"/>
        </w:rPr>
      </w:pPr>
      <w:bookmarkStart w:id="72" w:name="_Toc141661880"/>
      <w:bookmarkStart w:id="73" w:name="_Toc141669671"/>
      <w:r>
        <w:rPr>
          <w:rFonts w:ascii="Times New Roman" w:hAnsi="Times New Roman" w:cs="Times New Roman"/>
          <w:b/>
          <w:bCs/>
          <w:kern w:val="0"/>
          <w:sz w:val="32"/>
          <w:szCs w:val="32"/>
        </w:rPr>
        <w:t>2.5 不确定性分析</w:t>
      </w:r>
      <w:bookmarkEnd w:id="72"/>
      <w:bookmarkEnd w:id="73"/>
    </w:p>
    <w:p>
      <w:pPr>
        <w:keepLines/>
        <w:outlineLvl w:val="2"/>
        <w:rPr>
          <w:rFonts w:ascii="Times New Roman" w:hAnsi="Times New Roman" w:cs="Times New Roman"/>
          <w:b/>
          <w:bCs/>
          <w:sz w:val="28"/>
          <w:szCs w:val="32"/>
        </w:rPr>
      </w:pPr>
      <w:bookmarkStart w:id="74" w:name="_Toc141661881"/>
      <w:bookmarkStart w:id="75" w:name="_Toc28512"/>
      <w:bookmarkStart w:id="76" w:name="_Toc141669672"/>
      <w:r>
        <w:rPr>
          <w:rFonts w:ascii="Times New Roman" w:hAnsi="Times New Roman" w:cs="Times New Roman"/>
          <w:b/>
          <w:bCs/>
          <w:sz w:val="28"/>
          <w:szCs w:val="32"/>
        </w:rPr>
        <w:t>2.5.1 盈亏平衡点</w:t>
      </w:r>
      <w:bookmarkEnd w:id="74"/>
      <w:bookmarkEnd w:id="75"/>
      <w:bookmarkEnd w:id="76"/>
    </w:p>
    <w:p>
      <w:pPr>
        <w:spacing w:line="360" w:lineRule="auto"/>
        <w:ind w:firstLine="420" w:firstLineChars="200"/>
        <w:jc w:val="center"/>
        <w:rPr>
          <w:rFonts w:ascii="Times New Roman" w:hAnsi="Times New Roman" w:cs="Times New Roman"/>
        </w:rPr>
      </w:pPr>
      <w:bookmarkStart w:id="77" w:name="_Hlk46153167"/>
      <m:oMathPara>
        <m:oMath>
          <m:sSub>
            <m:sSubPr>
              <m:ctrlPr>
                <w:rPr>
                  <w:rFonts w:ascii="Cambria Math" w:hAnsi="Cambria Math" w:cs="Times New Roman"/>
                </w:rPr>
              </m:ctrlPr>
            </m:sSubPr>
            <m:e>
              <m:r>
                <m:rPr/>
                <w:rPr>
                  <w:rFonts w:ascii="Cambria Math" w:hAnsi="Cambria Math" w:cs="Times New Roman"/>
                </w:rPr>
                <m:t>BEP</m:t>
              </m:r>
              <m:ctrlPr>
                <w:rPr>
                  <w:rFonts w:ascii="Cambria Math" w:hAnsi="Cambria Math" w:cs="Times New Roman"/>
                </w:rPr>
              </m:ctrlPr>
            </m:e>
            <m:sub>
              <m:r>
                <m:rPr/>
                <w:rPr>
                  <w:rFonts w:ascii="Cambria Math" w:hAnsi="Cambria Math" w:cs="Times New Roman"/>
                </w:rPr>
                <m:t>Q</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F</m:t>
              </m:r>
              <m:ctrlPr>
                <w:rPr>
                  <w:rFonts w:ascii="Cambria Math" w:hAnsi="Cambria Math" w:cs="Times New Roman"/>
                  <w:i/>
                </w:rPr>
              </m:ctrlPr>
            </m:num>
            <m:den>
              <m:r>
                <m:rPr/>
                <w:rPr>
                  <w:rFonts w:ascii="Cambria Math" w:hAnsi="Cambria Math" w:cs="Times New Roman"/>
                </w:rPr>
                <m:t>P−V−m</m:t>
              </m:r>
              <m:ctrlPr>
                <w:rPr>
                  <w:rFonts w:ascii="Cambria Math" w:hAnsi="Cambria Math" w:cs="Times New Roman"/>
                  <w:i/>
                </w:rPr>
              </m:ctrlPr>
            </m:den>
          </m:f>
          <m:r>
            <m:rP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szCs w:val="21"/>
                </w:rPr>
                <m:t>4317.34</m:t>
              </m:r>
              <m:ctrlPr>
                <w:rPr>
                  <w:rFonts w:ascii="Cambria Math" w:hAnsi="Cambria Math" w:cs="Times New Roman"/>
                  <w:i/>
                </w:rPr>
              </m:ctrlPr>
            </m:num>
            <m:den>
              <m:r>
                <m:rPr>
                  <m:sty m:val="p"/>
                </m:rPr>
                <w:rPr>
                  <w:rFonts w:ascii="Cambria Math" w:hAnsi="Cambria Math" w:cs="Times New Roman"/>
                  <w:szCs w:val="21"/>
                </w:rPr>
                <m:t>40049.19</m:t>
              </m:r>
              <m:r>
                <m:rPr/>
                <w:rPr>
                  <w:rFonts w:ascii="Cambria Math" w:hAnsi="Cambria Math" w:cs="Times New Roman"/>
                </w:rPr>
                <m:t>−</m:t>
              </m:r>
              <m:r>
                <m:rPr>
                  <m:sty m:val="p"/>
                </m:rPr>
                <w:rPr>
                  <w:rFonts w:ascii="Cambria Math" w:hAnsi="Cambria Math" w:cs="Times New Roman"/>
                  <w:szCs w:val="21"/>
                </w:rPr>
                <m:t>34597.76</m:t>
              </m:r>
              <m:r>
                <m:rPr/>
                <w:rPr>
                  <w:rFonts w:ascii="Cambria Math" w:hAnsi="Cambria Math" w:cs="Times New Roman"/>
                </w:rPr>
                <m:t>−</m:t>
              </m:r>
              <m:r>
                <m:rPr>
                  <m:sty m:val="p"/>
                </m:rPr>
                <w:rPr>
                  <w:rFonts w:ascii="Cambria Math" w:hAnsi="Cambria Math" w:cs="Times New Roman"/>
                  <w:szCs w:val="21"/>
                </w:rPr>
                <m:t>4607.43</m:t>
              </m:r>
              <m:ctrlPr>
                <w:rPr>
                  <w:rFonts w:ascii="Cambria Math" w:hAnsi="Cambria Math" w:cs="Times New Roman"/>
                  <w:i/>
                </w:rPr>
              </m:ctrlPr>
            </m:den>
          </m:f>
          <m:r>
            <m:rPr>
              <m:sty m:val="p"/>
            </m:rPr>
            <w:rPr>
              <w:rFonts w:ascii="Cambria Math" w:hAnsi="Cambria Math" w:cs="Times New Roman"/>
            </w:rPr>
            <m:t>=5.12</m:t>
          </m:r>
          <m:r>
            <m:rPr>
              <m:sty m:val="p"/>
            </m:rPr>
            <w:rPr>
              <w:rFonts w:hint="eastAsia" w:ascii="Cambria Math" w:hAnsi="Cambria Math" w:cs="Times New Roman"/>
            </w:rPr>
            <m:t>万吨</m:t>
          </m:r>
        </m:oMath>
      </m:oMathPara>
    </w:p>
    <w:p>
      <w:pPr>
        <w:spacing w:line="276" w:lineRule="auto"/>
        <w:ind w:firstLine="420" w:firstLineChars="200"/>
        <w:rPr>
          <w:rFonts w:ascii="Times New Roman" w:hAnsi="Times New Roman" w:cs="Times New Roman"/>
        </w:rPr>
      </w:pPr>
      <w:r>
        <w:rPr>
          <w:rFonts w:ascii="Times New Roman" w:hAnsi="Times New Roman" w:cs="Times New Roman"/>
        </w:rPr>
        <w:t>即当项目的年</w:t>
      </w:r>
      <w:r>
        <w:rPr>
          <w:rFonts w:hint="eastAsia" w:ascii="Times New Roman" w:hAnsi="Times New Roman" w:cs="Times New Roman"/>
        </w:rPr>
        <w:t>己二腈及副产物</w:t>
      </w:r>
      <w:r>
        <w:rPr>
          <w:rFonts w:ascii="Times New Roman" w:hAnsi="Times New Roman" w:cs="Times New Roman"/>
        </w:rPr>
        <w:t>产销量高于5.12万吨时，总收入即可大于总支出，项目可以盈利。</w:t>
      </w:r>
    </w:p>
    <w:p>
      <w:pPr>
        <w:spacing w:line="276" w:lineRule="auto"/>
        <w:ind w:firstLine="420" w:firstLineChars="200"/>
        <w:rPr>
          <w:rFonts w:ascii="Times New Roman" w:hAnsi="Times New Roman" w:cs="Times New Roman"/>
        </w:rPr>
      </w:pPr>
      <w:r>
        <w:rPr>
          <w:rFonts w:ascii="Times New Roman" w:hAnsi="Times New Roman" w:cs="Times New Roman"/>
        </w:rPr>
        <w:t>产销所允许降低的最大幅度为：</w:t>
      </w:r>
    </w:p>
    <w:p>
      <w:pPr>
        <w:spacing w:line="360" w:lineRule="auto"/>
        <w:rPr>
          <w:rFonts w:ascii="Times New Roman" w:hAnsi="Times New Roman" w:cs="Times New Roman"/>
        </w:rPr>
      </w:pPr>
      <m:oMathPara>
        <m:oMath>
          <m:f>
            <m:fPr>
              <m:ctrlPr>
                <w:rPr>
                  <w:rFonts w:ascii="Cambria Math" w:hAnsi="Cambria Math" w:cs="Times New Roman"/>
                </w:rPr>
              </m:ctrlPr>
            </m:fPr>
            <m:num>
              <m:r>
                <m:rPr/>
                <w:rPr>
                  <w:rFonts w:ascii="Cambria Math" w:hAnsi="Cambria Math" w:cs="Times New Roman"/>
                </w:rPr>
                <m:t>Q−</m:t>
              </m:r>
              <m:sSub>
                <m:sSubPr>
                  <m:ctrlPr>
                    <w:rPr>
                      <w:rFonts w:ascii="Cambria Math" w:hAnsi="Cambria Math" w:cs="Times New Roman"/>
                    </w:rPr>
                  </m:ctrlPr>
                </m:sSubPr>
                <m:e>
                  <m:r>
                    <m:rPr/>
                    <w:rPr>
                      <w:rFonts w:ascii="Cambria Math" w:hAnsi="Cambria Math" w:cs="Times New Roman"/>
                    </w:rPr>
                    <m:t>BEP</m:t>
                  </m:r>
                  <m:ctrlPr>
                    <w:rPr>
                      <w:rFonts w:ascii="Cambria Math" w:hAnsi="Cambria Math" w:cs="Times New Roman"/>
                    </w:rPr>
                  </m:ctrlPr>
                </m:e>
                <m:sub>
                  <m:r>
                    <m:rPr/>
                    <w:rPr>
                      <w:rFonts w:ascii="Cambria Math" w:hAnsi="Cambria Math" w:cs="Times New Roman"/>
                    </w:rPr>
                    <m:t>Q</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Q</m:t>
              </m:r>
              <m:ctrlPr>
                <w:rPr>
                  <w:rFonts w:ascii="Cambria Math" w:hAnsi="Cambria Math" w:cs="Times New Roman"/>
                </w:rPr>
              </m:ctrlPr>
            </m:den>
          </m:f>
          <m:r>
            <m:rPr/>
            <w:rPr>
              <w:rFonts w:ascii="Cambria Math" w:hAnsi="Cambria Math" w:cs="Times New Roman"/>
            </w:rPr>
            <m:t>×100%=</m:t>
          </m:r>
          <m:f>
            <m:fPr>
              <m:ctrlPr>
                <w:rPr>
                  <w:rFonts w:ascii="Cambria Math" w:hAnsi="Cambria Math" w:cs="Times New Roman"/>
                  <w:i/>
                </w:rPr>
              </m:ctrlPr>
            </m:fPr>
            <m:num>
              <m:r>
                <m:rPr>
                  <m:sty m:val="p"/>
                </m:rPr>
                <w:rPr>
                  <w:rFonts w:ascii="Cambria Math" w:hAnsi="Cambria Math" w:cs="Times New Roman"/>
                  <w:szCs w:val="21"/>
                </w:rPr>
                <m:t>130371.35</m:t>
              </m:r>
              <m:r>
                <m:rPr/>
                <w:rPr>
                  <w:rFonts w:ascii="Cambria Math" w:hAnsi="Cambria Math" w:cs="Times New Roman"/>
                </w:rPr>
                <m:t>−5.12 ×</m:t>
              </m:r>
              <m:sSup>
                <m:sSupPr>
                  <m:ctrlPr>
                    <w:rPr>
                      <w:rFonts w:ascii="Cambria Math" w:hAnsi="Cambria Math" w:cs="Times New Roman"/>
                      <w:i/>
                    </w:rPr>
                  </m:ctrlPr>
                </m:sSupPr>
                <m:e>
                  <m:r>
                    <m:rPr/>
                    <w:rPr>
                      <w:rFonts w:ascii="Cambria Math" w:hAnsi="Cambria Math" w:cs="Times New Roman"/>
                    </w:rPr>
                    <m:t>10</m:t>
                  </m:r>
                  <m:ctrlPr>
                    <w:rPr>
                      <w:rFonts w:ascii="Cambria Math" w:hAnsi="Cambria Math" w:cs="Times New Roman"/>
                      <w:i/>
                    </w:rPr>
                  </m:ctrlPr>
                </m:e>
                <m:sup>
                  <m:r>
                    <m:rPr/>
                    <w:rPr>
                      <w:rFonts w:ascii="Cambria Math" w:hAnsi="Cambria Math" w:cs="Times New Roman"/>
                    </w:rPr>
                    <m:t>4</m:t>
                  </m:r>
                  <m:ctrlPr>
                    <w:rPr>
                      <w:rFonts w:ascii="Cambria Math" w:hAnsi="Cambria Math" w:cs="Times New Roman"/>
                      <w:i/>
                    </w:rPr>
                  </m:ctrlPr>
                </m:sup>
              </m:sSup>
              <m:ctrlPr>
                <w:rPr>
                  <w:rFonts w:ascii="Cambria Math" w:hAnsi="Cambria Math" w:cs="Times New Roman"/>
                  <w:i/>
                </w:rPr>
              </m:ctrlPr>
            </m:num>
            <m:den>
              <m:r>
                <m:rPr>
                  <m:sty m:val="p"/>
                </m:rPr>
                <w:rPr>
                  <w:rFonts w:ascii="Cambria Math" w:hAnsi="Cambria Math" w:cs="Times New Roman"/>
                  <w:szCs w:val="21"/>
                </w:rPr>
                <m:t>130371.35</m:t>
              </m:r>
              <m:ctrlPr>
                <w:rPr>
                  <w:rFonts w:ascii="Cambria Math" w:hAnsi="Cambria Math" w:cs="Times New Roman"/>
                  <w:i/>
                </w:rPr>
              </m:ctrlPr>
            </m:den>
          </m:f>
          <m:r>
            <m:rPr/>
            <w:rPr>
              <w:rFonts w:ascii="Cambria Math" w:hAnsi="Cambria Math" w:cs="Times New Roman"/>
            </w:rPr>
            <m:t>×100%=60.76%</m:t>
          </m:r>
        </m:oMath>
      </m:oMathPara>
    </w:p>
    <w:p>
      <w:pPr>
        <w:spacing w:line="276" w:lineRule="auto"/>
        <w:ind w:firstLine="420" w:firstLineChars="200"/>
        <w:rPr>
          <w:rFonts w:ascii="Times New Roman" w:hAnsi="Times New Roman" w:cs="Times New Roman"/>
        </w:rPr>
      </w:pPr>
      <w:r>
        <w:rPr>
          <w:rFonts w:ascii="Times New Roman" w:hAnsi="Times New Roman" w:cs="Times New Roman"/>
        </w:rPr>
        <w:t>该数值说明了只要产销量降幅在60.76%以内，本项目均可以盈利。在产品滞销，竞争激烈的时候，只要生产（销售）少量的产品，就能达到收支平衡，使项目得以维持生存。较低的BEP</w:t>
      </w:r>
      <w:r>
        <w:rPr>
          <w:rFonts w:ascii="Times New Roman" w:hAnsi="Times New Roman" w:cs="Times New Roman"/>
          <w:vertAlign w:val="subscript"/>
        </w:rPr>
        <w:t>Q</w:t>
      </w:r>
      <w:r>
        <w:rPr>
          <w:rFonts w:ascii="Times New Roman" w:hAnsi="Times New Roman" w:cs="Times New Roman"/>
        </w:rPr>
        <w:t>，说明项目承担风险的能力强，竞争能力强，项目生命力也较强。</w:t>
      </w:r>
    </w:p>
    <w:p>
      <w:pPr>
        <w:spacing w:line="276" w:lineRule="auto"/>
        <w:ind w:firstLine="420" w:firstLineChars="200"/>
        <w:rPr>
          <w:rFonts w:ascii="Times New Roman" w:hAnsi="Times New Roman" w:cs="Times New Roman"/>
        </w:rPr>
      </w:pPr>
      <w:r>
        <w:rPr>
          <w:rFonts w:ascii="Times New Roman" w:hAnsi="Times New Roman" w:cs="Times New Roman"/>
        </w:rPr>
        <w:t>另外，计算该项目的销售单价盈亏平衡点</w:t>
      </w:r>
    </w:p>
    <w:p>
      <w:pPr>
        <w:jc w:val="center"/>
        <w:rPr>
          <w:rFonts w:ascii="Times New Roman" w:hAnsi="Times New Roman" w:cs="Times New Roman"/>
        </w:rPr>
      </w:pPr>
      <m:oMath>
        <m:sSub>
          <m:sSubPr>
            <m:ctrlPr>
              <w:rPr>
                <w:rFonts w:ascii="Cambria Math" w:hAnsi="Cambria Math" w:cs="Times New Roman"/>
              </w:rPr>
            </m:ctrlPr>
          </m:sSubPr>
          <m:e>
            <m:r>
              <m:rPr/>
              <w:rPr>
                <w:rFonts w:ascii="Cambria Math" w:hAnsi="Cambria Math" w:cs="Times New Roman"/>
              </w:rPr>
              <m:t>BEP</m:t>
            </m:r>
            <m:ctrlPr>
              <w:rPr>
                <w:rFonts w:ascii="Cambria Math" w:hAnsi="Cambria Math" w:cs="Times New Roman"/>
              </w:rPr>
            </m:ctrlPr>
          </m:e>
          <m:sub>
            <m:r>
              <m:rPr/>
              <w:rPr>
                <w:rFonts w:ascii="Cambria Math" w:hAnsi="Cambria Math" w:cs="Times New Roman"/>
              </w:rPr>
              <m:t>L</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F+V×Q</m:t>
            </m:r>
            <m:ctrlPr>
              <w:rPr>
                <w:rFonts w:ascii="Cambria Math" w:hAnsi="Cambria Math" w:cs="Times New Roman"/>
                <w:i/>
              </w:rPr>
            </m:ctrlPr>
          </m:num>
          <m:den>
            <m:r>
              <m:rPr/>
              <w:rPr>
                <w:rFonts w:ascii="Cambria Math" w:hAnsi="Cambria Math" w:cs="Times New Roman"/>
              </w:rPr>
              <m:t>Q(1−</m:t>
            </m:r>
            <m:f>
              <m:fPr>
                <m:ctrlPr>
                  <w:rPr>
                    <w:rFonts w:ascii="Cambria Math" w:hAnsi="Cambria Math" w:cs="Times New Roman"/>
                    <w:i/>
                  </w:rPr>
                </m:ctrlPr>
              </m:fPr>
              <m:num>
                <m:r>
                  <m:rPr/>
                  <w:rPr>
                    <w:rFonts w:ascii="Cambria Math" w:hAnsi="Cambria Math" w:cs="Times New Roman"/>
                  </w:rPr>
                  <m:t>m</m:t>
                </m:r>
                <m:ctrlPr>
                  <w:rPr>
                    <w:rFonts w:ascii="Cambria Math" w:hAnsi="Cambria Math" w:cs="Times New Roman"/>
                    <w:i/>
                  </w:rPr>
                </m:ctrlPr>
              </m:num>
              <m:den>
                <m:r>
                  <m:rPr/>
                  <w:rPr>
                    <w:rFonts w:ascii="Cambria Math" w:hAnsi="Cambria Math" w:cs="Times New Roman"/>
                  </w:rPr>
                  <m:t>P</m:t>
                </m:r>
                <m:ctrlPr>
                  <w:rPr>
                    <w:rFonts w:ascii="Cambria Math" w:hAnsi="Cambria Math" w:cs="Times New Roman"/>
                    <w:i/>
                  </w:rPr>
                </m:ctrlPr>
              </m:den>
            </m:f>
            <m:r>
              <m:rPr/>
              <w:rPr>
                <w:rFonts w:ascii="Cambria Math" w:hAnsi="Cambria Math" w:cs="Times New Roman"/>
              </w:rPr>
              <m:t>)</m:t>
            </m:r>
            <m:ctrlPr>
              <w:rPr>
                <w:rFonts w:ascii="Cambria Math" w:hAnsi="Cambria Math" w:cs="Times New Roman"/>
                <w:i/>
              </w:rPr>
            </m:ctrlPr>
          </m:den>
        </m:f>
        <m:r>
          <m:rPr/>
          <w:rPr>
            <w:rFonts w:ascii="Cambria Math" w:hAnsi="Cambria Math" w:cs="Times New Roman"/>
          </w:rPr>
          <m:t>=39469.67</m:t>
        </m:r>
      </m:oMath>
      <w:r>
        <w:rPr>
          <w:rFonts w:ascii="Times New Roman" w:hAnsi="Times New Roman" w:cs="Times New Roman"/>
        </w:rPr>
        <w:t>元/吨</w:t>
      </w:r>
    </w:p>
    <w:p>
      <w:pPr>
        <w:spacing w:line="276" w:lineRule="auto"/>
        <w:ind w:firstLine="420" w:firstLineChars="200"/>
        <w:rPr>
          <w:rFonts w:ascii="Times New Roman" w:hAnsi="Times New Roman" w:cs="Times New Roman"/>
        </w:rPr>
      </w:pPr>
      <w:r>
        <w:rPr>
          <w:rFonts w:ascii="Times New Roman" w:hAnsi="Times New Roman" w:cs="Times New Roman"/>
        </w:rPr>
        <w:t>即当项目产品的综合售价达到</w:t>
      </w:r>
      <m:oMath>
        <m:r>
          <m:rPr/>
          <w:rPr>
            <w:rFonts w:ascii="Cambria Math" w:hAnsi="Cambria Math" w:cs="Times New Roman"/>
          </w:rPr>
          <m:t>39469.67</m:t>
        </m:r>
      </m:oMath>
      <w:r>
        <w:rPr>
          <w:rFonts w:ascii="Times New Roman" w:hAnsi="Times New Roman" w:cs="Times New Roman"/>
        </w:rPr>
        <w:t>元/吨时，总收入即可大于总支出，项目可以盈利。</w:t>
      </w:r>
    </w:p>
    <w:bookmarkEnd w:id="77"/>
    <w:p>
      <w:pPr>
        <w:autoSpaceDE w:val="0"/>
        <w:autoSpaceDN w:val="0"/>
        <w:spacing w:before="156" w:beforeLines="50" w:after="156" w:afterLines="50"/>
        <w:jc w:val="center"/>
        <w:rPr>
          <w:rFonts w:ascii="仿宋" w:hAnsi="仿宋" w:cs="仿宋"/>
          <w:kern w:val="0"/>
        </w:rPr>
      </w:pPr>
      <w:r>
        <w:rPr>
          <w:rFonts w:ascii="仿宋" w:hAnsi="仿宋" w:cs="仿宋"/>
          <w:kern w:val="0"/>
        </w:rPr>
        <w:drawing>
          <wp:inline distT="0" distB="0" distL="0" distR="0">
            <wp:extent cx="4165600" cy="2413000"/>
            <wp:effectExtent l="0" t="0" r="6350" b="635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autoSpaceDE w:val="0"/>
        <w:autoSpaceDN w:val="0"/>
        <w:spacing w:before="156" w:beforeLines="50" w:after="156" w:afterLines="50"/>
        <w:jc w:val="center"/>
        <w:rPr>
          <w:rFonts w:ascii="仿宋" w:hAnsi="仿宋" w:cs="仿宋"/>
          <w:b/>
          <w:kern w:val="0"/>
          <w:sz w:val="18"/>
          <w:szCs w:val="18"/>
        </w:rPr>
      </w:pPr>
      <w:r>
        <w:rPr>
          <w:rFonts w:hint="eastAsia" w:ascii="仿宋" w:hAnsi="仿宋" w:cs="仿宋"/>
          <w:b/>
          <w:kern w:val="0"/>
          <w:sz w:val="18"/>
          <w:szCs w:val="18"/>
        </w:rPr>
        <w:t>图2</w:t>
      </w:r>
      <w:r>
        <w:rPr>
          <w:rFonts w:ascii="仿宋" w:hAnsi="仿宋" w:cs="仿宋"/>
          <w:b/>
          <w:kern w:val="0"/>
          <w:sz w:val="18"/>
          <w:szCs w:val="18"/>
        </w:rPr>
        <w:t xml:space="preserve">-3 </w:t>
      </w:r>
      <w:r>
        <w:rPr>
          <w:rFonts w:hint="eastAsia" w:ascii="仿宋" w:hAnsi="仿宋" w:cs="仿宋"/>
          <w:b/>
          <w:kern w:val="0"/>
          <w:sz w:val="18"/>
          <w:szCs w:val="18"/>
        </w:rPr>
        <w:t>盈亏平衡分析</w:t>
      </w:r>
    </w:p>
    <w:p>
      <w:pPr>
        <w:ind w:firstLine="420" w:firstLineChars="200"/>
        <w:rPr>
          <w:rFonts w:ascii="Times New Roman" w:hAnsi="Times New Roman" w:cs="Times New Roman"/>
        </w:rPr>
      </w:pPr>
      <w:r>
        <w:rPr>
          <w:rFonts w:hint="eastAsia" w:ascii="Times New Roman" w:hAnsi="Times New Roman" w:cs="Times New Roman"/>
        </w:rPr>
        <w:t>由上述盈亏平衡分析计算可得</w:t>
      </w:r>
      <w:r>
        <w:rPr>
          <w:rFonts w:ascii="Times New Roman" w:hAnsi="Times New Roman" w:cs="Times New Roman"/>
        </w:rPr>
        <w:t>5.12万吨/年为盈亏平衡点</w:t>
      </w:r>
      <w:r>
        <w:rPr>
          <w:rFonts w:hint="eastAsia" w:ascii="Times New Roman" w:hAnsi="Times New Roman" w:cs="Times New Roman"/>
        </w:rPr>
        <w:t>，盈亏平衡点生产能力利用率为</w:t>
      </w:r>
      <w:r>
        <w:rPr>
          <w:rFonts w:ascii="Times New Roman" w:hAnsi="Times New Roman" w:cs="Times New Roman"/>
        </w:rPr>
        <w:t>39.27%</w:t>
      </w:r>
      <w:r>
        <w:rPr>
          <w:rFonts w:hint="eastAsia" w:ascii="Times New Roman" w:hAnsi="Times New Roman" w:cs="Times New Roman"/>
        </w:rPr>
        <w:t>，</w:t>
      </w:r>
      <w:r>
        <w:rPr>
          <w:rFonts w:ascii="Times New Roman" w:hAnsi="Times New Roman" w:cs="Times New Roman"/>
        </w:rPr>
        <w:t>项目抗风险能力较强。</w:t>
      </w:r>
    </w:p>
    <w:p>
      <w:pPr>
        <w:keepLines/>
        <w:outlineLvl w:val="2"/>
        <w:rPr>
          <w:rFonts w:ascii="Times New Roman" w:hAnsi="Times New Roman" w:cs="Times New Roman"/>
          <w:b/>
          <w:bCs/>
          <w:sz w:val="28"/>
          <w:szCs w:val="32"/>
        </w:rPr>
      </w:pPr>
      <w:bookmarkStart w:id="78" w:name="_Toc141661882"/>
      <w:bookmarkStart w:id="79" w:name="_Toc141669673"/>
      <w:bookmarkStart w:id="80" w:name="_Toc11394"/>
      <w:r>
        <w:rPr>
          <w:rFonts w:ascii="Times New Roman" w:hAnsi="Times New Roman" w:cs="Times New Roman"/>
          <w:b/>
          <w:bCs/>
          <w:sz w:val="28"/>
          <w:szCs w:val="32"/>
        </w:rPr>
        <w:t>2.5.2 敏感性分析</w:t>
      </w:r>
      <w:bookmarkEnd w:id="78"/>
      <w:bookmarkEnd w:id="79"/>
      <w:bookmarkEnd w:id="80"/>
    </w:p>
    <w:p>
      <w:pPr>
        <w:ind w:firstLine="420" w:firstLineChars="200"/>
        <w:rPr>
          <w:rFonts w:ascii="Times New Roman" w:hAnsi="Times New Roman" w:cs="Times New Roman"/>
          <w:szCs w:val="21"/>
        </w:rPr>
      </w:pPr>
      <w:r>
        <w:rPr>
          <w:rFonts w:ascii="Times New Roman" w:hAnsi="Times New Roman" w:cs="Times New Roman"/>
          <w:szCs w:val="21"/>
        </w:rPr>
        <w:t>分别以经营成本、</w:t>
      </w:r>
      <w:r>
        <w:rPr>
          <w:rFonts w:hint="eastAsia" w:ascii="Times New Roman" w:hAnsi="Times New Roman" w:cs="Times New Roman"/>
          <w:szCs w:val="21"/>
        </w:rPr>
        <w:t>己二腈</w:t>
      </w:r>
      <w:r>
        <w:rPr>
          <w:rFonts w:ascii="Times New Roman" w:hAnsi="Times New Roman" w:cs="Times New Roman"/>
          <w:szCs w:val="21"/>
        </w:rPr>
        <w:t>产量和主产品价格为变动因素，考虑它们对财务净现值的影响。</w:t>
      </w:r>
    </w:p>
    <w:p>
      <w:pPr>
        <w:ind w:firstLine="420" w:firstLineChars="200"/>
        <w:rPr>
          <w:rFonts w:ascii="Times New Roman" w:hAnsi="Times New Roman" w:cs="Times New Roman"/>
          <w:szCs w:val="21"/>
        </w:rPr>
      </w:pPr>
      <w:r>
        <w:rPr>
          <w:rFonts w:ascii="Times New Roman" w:hAnsi="Times New Roman" w:cs="Times New Roman"/>
          <w:szCs w:val="21"/>
        </w:rPr>
        <w:t>从而大致判断风险情况。</w:t>
      </w:r>
    </w:p>
    <w:p>
      <w:pPr>
        <w:autoSpaceDE w:val="0"/>
        <w:autoSpaceDN w:val="0"/>
        <w:spacing w:before="156" w:beforeLines="50" w:after="156" w:afterLines="50"/>
        <w:jc w:val="center"/>
        <w:rPr>
          <w:rFonts w:cs="仿宋"/>
          <w:b/>
          <w:kern w:val="0"/>
          <w:sz w:val="18"/>
          <w:szCs w:val="18"/>
        </w:rPr>
      </w:pPr>
      <w:r>
        <w:rPr>
          <w:rFonts w:hint="eastAsia" w:cs="仿宋"/>
          <w:b/>
          <w:kern w:val="0"/>
          <w:sz w:val="18"/>
          <w:szCs w:val="18"/>
        </w:rPr>
        <w:t>表</w:t>
      </w:r>
      <w:r>
        <w:rPr>
          <w:rFonts w:cs="仿宋"/>
          <w:b/>
          <w:kern w:val="0"/>
          <w:sz w:val="18"/>
          <w:szCs w:val="18"/>
        </w:rPr>
        <w:t xml:space="preserve">2-14 </w:t>
      </w:r>
      <w:r>
        <w:rPr>
          <w:rFonts w:hint="eastAsia" w:cs="仿宋"/>
          <w:b/>
          <w:kern w:val="0"/>
          <w:sz w:val="18"/>
          <w:szCs w:val="18"/>
        </w:rPr>
        <w:t>经营成本敏感性分析表</w:t>
      </w:r>
    </w:p>
    <w:tbl>
      <w:tblPr>
        <w:tblStyle w:val="16"/>
        <w:tblW w:w="10142" w:type="dxa"/>
        <w:jc w:val="center"/>
        <w:tblLayout w:type="autofit"/>
        <w:tblCellMar>
          <w:top w:w="0" w:type="dxa"/>
          <w:left w:w="108" w:type="dxa"/>
          <w:bottom w:w="0" w:type="dxa"/>
          <w:right w:w="108" w:type="dxa"/>
        </w:tblCellMar>
      </w:tblPr>
      <w:tblGrid>
        <w:gridCol w:w="2410"/>
        <w:gridCol w:w="1372"/>
        <w:gridCol w:w="2400"/>
        <w:gridCol w:w="1560"/>
        <w:gridCol w:w="1200"/>
        <w:gridCol w:w="1200"/>
      </w:tblGrid>
      <w:tr>
        <w:tblPrEx>
          <w:tblCellMar>
            <w:top w:w="0" w:type="dxa"/>
            <w:left w:w="108" w:type="dxa"/>
            <w:bottom w:w="0" w:type="dxa"/>
            <w:right w:w="108" w:type="dxa"/>
          </w:tblCellMar>
        </w:tblPrEx>
        <w:trPr>
          <w:trHeight w:val="290" w:hRule="atLeast"/>
          <w:jc w:val="center"/>
        </w:trPr>
        <w:tc>
          <w:tcPr>
            <w:tcW w:w="2410" w:type="dxa"/>
            <w:tcBorders>
              <w:top w:val="single" w:color="000000" w:sz="8" w:space="0"/>
              <w:left w:val="single" w:color="000000" w:sz="8" w:space="0"/>
              <w:bottom w:val="nil"/>
              <w:right w:val="single" w:color="000000" w:sz="8"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变动因素</w:t>
            </w:r>
          </w:p>
        </w:tc>
        <w:tc>
          <w:tcPr>
            <w:tcW w:w="7732" w:type="dxa"/>
            <w:gridSpan w:val="5"/>
            <w:tcBorders>
              <w:top w:val="single" w:color="000000" w:sz="8" w:space="0"/>
              <w:left w:val="nil"/>
              <w:bottom w:val="nil"/>
              <w:right w:val="single" w:color="000000" w:sz="8"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变动幅度</w:t>
            </w:r>
          </w:p>
        </w:tc>
      </w:tr>
      <w:tr>
        <w:tblPrEx>
          <w:tblCellMar>
            <w:top w:w="0" w:type="dxa"/>
            <w:left w:w="108" w:type="dxa"/>
            <w:bottom w:w="0" w:type="dxa"/>
            <w:right w:w="108" w:type="dxa"/>
          </w:tblCellMar>
        </w:tblPrEx>
        <w:trPr>
          <w:trHeight w:val="290" w:hRule="atLeast"/>
          <w:jc w:val="center"/>
        </w:trPr>
        <w:tc>
          <w:tcPr>
            <w:tcW w:w="2410" w:type="dxa"/>
            <w:tcBorders>
              <w:top w:val="single" w:color="000000" w:sz="8" w:space="0"/>
              <w:left w:val="single" w:color="000000" w:sz="8" w:space="0"/>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b/>
                <w:bCs/>
                <w:color w:val="2E75B5"/>
                <w:kern w:val="0"/>
                <w:szCs w:val="21"/>
              </w:rPr>
            </w:pPr>
            <w:r>
              <w:rPr>
                <w:rFonts w:ascii="Times New Roman" w:hAnsi="Times New Roman" w:eastAsia="等线" w:cs="Times New Roman"/>
                <w:b/>
                <w:bCs/>
                <w:color w:val="2E75B5"/>
                <w:kern w:val="0"/>
                <w:szCs w:val="21"/>
              </w:rPr>
              <w:t>　</w:t>
            </w:r>
          </w:p>
        </w:tc>
        <w:tc>
          <w:tcPr>
            <w:tcW w:w="1372" w:type="dxa"/>
            <w:tcBorders>
              <w:top w:val="single" w:color="000000" w:sz="8" w:space="0"/>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c>
          <w:tcPr>
            <w:tcW w:w="2400" w:type="dxa"/>
            <w:tcBorders>
              <w:top w:val="single" w:color="000000" w:sz="8" w:space="0"/>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560" w:type="dxa"/>
            <w:tcBorders>
              <w:top w:val="single" w:color="000000" w:sz="8" w:space="0"/>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0%</w:t>
            </w:r>
          </w:p>
        </w:tc>
        <w:tc>
          <w:tcPr>
            <w:tcW w:w="1200" w:type="dxa"/>
            <w:tcBorders>
              <w:top w:val="single" w:color="000000" w:sz="8" w:space="0"/>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200" w:type="dxa"/>
            <w:tcBorders>
              <w:top w:val="single" w:color="000000" w:sz="8" w:space="0"/>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r>
      <w:tr>
        <w:tblPrEx>
          <w:tblCellMar>
            <w:top w:w="0" w:type="dxa"/>
            <w:left w:w="108" w:type="dxa"/>
            <w:bottom w:w="0" w:type="dxa"/>
            <w:right w:w="108" w:type="dxa"/>
          </w:tblCellMar>
        </w:tblPrEx>
        <w:trPr>
          <w:trHeight w:val="290" w:hRule="atLeast"/>
          <w:jc w:val="center"/>
        </w:trPr>
        <w:tc>
          <w:tcPr>
            <w:tcW w:w="2410" w:type="dxa"/>
            <w:tcBorders>
              <w:top w:val="nil"/>
              <w:left w:val="single" w:color="000000" w:sz="8" w:space="0"/>
              <w:bottom w:val="single" w:color="000000" w:sz="8" w:space="0"/>
              <w:right w:val="single" w:color="000000" w:sz="8" w:space="0"/>
            </w:tcBorders>
            <w:shd w:val="clear" w:color="auto" w:fill="auto"/>
            <w:vAlign w:val="center"/>
          </w:tcPr>
          <w:p>
            <w:pPr>
              <w:widowControl/>
              <w:jc w:val="center"/>
              <w:rPr>
                <w:rFonts w:cs="宋体"/>
                <w:color w:val="000000"/>
                <w:kern w:val="0"/>
                <w:szCs w:val="21"/>
              </w:rPr>
            </w:pPr>
            <w:r>
              <w:rPr>
                <w:rFonts w:hint="eastAsia" w:cs="宋体"/>
                <w:color w:val="000000"/>
                <w:kern w:val="0"/>
                <w:szCs w:val="21"/>
              </w:rPr>
              <w:t>经营成本（万元）</w:t>
            </w:r>
          </w:p>
        </w:tc>
        <w:tc>
          <w:tcPr>
            <w:tcW w:w="1372"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406703.14 </w:t>
            </w:r>
          </w:p>
        </w:tc>
        <w:tc>
          <w:tcPr>
            <w:tcW w:w="24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429297.76 </w:t>
            </w:r>
          </w:p>
        </w:tc>
        <w:tc>
          <w:tcPr>
            <w:tcW w:w="156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451892.38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474487.00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521935.70 </w:t>
            </w:r>
          </w:p>
        </w:tc>
      </w:tr>
      <w:tr>
        <w:tblPrEx>
          <w:tblCellMar>
            <w:top w:w="0" w:type="dxa"/>
            <w:left w:w="108" w:type="dxa"/>
            <w:bottom w:w="0" w:type="dxa"/>
            <w:right w:w="108" w:type="dxa"/>
          </w:tblCellMar>
        </w:tblPrEx>
        <w:trPr>
          <w:trHeight w:val="290" w:hRule="atLeast"/>
          <w:jc w:val="center"/>
        </w:trPr>
        <w:tc>
          <w:tcPr>
            <w:tcW w:w="2410"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cs="宋体"/>
                <w:color w:val="000000"/>
                <w:kern w:val="0"/>
                <w:szCs w:val="21"/>
              </w:rPr>
            </w:pPr>
            <w:r>
              <w:rPr>
                <w:rFonts w:hint="eastAsia" w:cs="宋体"/>
                <w:color w:val="000000"/>
                <w:kern w:val="0"/>
                <w:szCs w:val="21"/>
              </w:rPr>
              <w:t>财务净现值（万元）</w:t>
            </w:r>
          </w:p>
        </w:tc>
        <w:tc>
          <w:tcPr>
            <w:tcW w:w="1372"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219748.91 </w:t>
            </w:r>
          </w:p>
        </w:tc>
        <w:tc>
          <w:tcPr>
            <w:tcW w:w="24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207791.12 </w:t>
            </w:r>
          </w:p>
        </w:tc>
        <w:tc>
          <w:tcPr>
            <w:tcW w:w="156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196029.36 </w:t>
            </w:r>
          </w:p>
        </w:tc>
        <w:tc>
          <w:tcPr>
            <w:tcW w:w="12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184267.60 </w:t>
            </w:r>
          </w:p>
        </w:tc>
        <w:tc>
          <w:tcPr>
            <w:tcW w:w="12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172113.78 </w:t>
            </w:r>
          </w:p>
        </w:tc>
      </w:tr>
    </w:tbl>
    <w:p>
      <w:pPr>
        <w:autoSpaceDE w:val="0"/>
        <w:autoSpaceDN w:val="0"/>
        <w:spacing w:before="156" w:beforeLines="50" w:after="156" w:afterLines="50"/>
        <w:jc w:val="center"/>
        <w:rPr>
          <w:rFonts w:cs="仿宋"/>
          <w:b/>
          <w:kern w:val="0"/>
          <w:sz w:val="18"/>
          <w:szCs w:val="18"/>
        </w:rPr>
      </w:pPr>
      <w:r>
        <w:rPr>
          <w:rFonts w:hint="eastAsia" w:cs="仿宋"/>
          <w:b/>
          <w:kern w:val="0"/>
          <w:sz w:val="18"/>
          <w:szCs w:val="18"/>
        </w:rPr>
        <w:t>表</w:t>
      </w:r>
      <w:r>
        <w:rPr>
          <w:rFonts w:cs="仿宋"/>
          <w:b/>
          <w:kern w:val="0"/>
          <w:sz w:val="18"/>
          <w:szCs w:val="18"/>
        </w:rPr>
        <w:t xml:space="preserve">2-15 </w:t>
      </w:r>
      <w:r>
        <w:rPr>
          <w:rFonts w:hint="eastAsia" w:cs="仿宋"/>
          <w:b/>
          <w:kern w:val="0"/>
          <w:sz w:val="18"/>
          <w:szCs w:val="18"/>
        </w:rPr>
        <w:t>己二腈产量敏感性分析表</w:t>
      </w:r>
    </w:p>
    <w:tbl>
      <w:tblPr>
        <w:tblStyle w:val="16"/>
        <w:tblW w:w="11002" w:type="dxa"/>
        <w:jc w:val="center"/>
        <w:tblLayout w:type="autofit"/>
        <w:tblCellMar>
          <w:top w:w="0" w:type="dxa"/>
          <w:left w:w="108" w:type="dxa"/>
          <w:bottom w:w="0" w:type="dxa"/>
          <w:right w:w="108" w:type="dxa"/>
        </w:tblCellMar>
      </w:tblPr>
      <w:tblGrid>
        <w:gridCol w:w="2693"/>
        <w:gridCol w:w="1949"/>
        <w:gridCol w:w="2400"/>
        <w:gridCol w:w="1560"/>
        <w:gridCol w:w="1200"/>
        <w:gridCol w:w="1200"/>
      </w:tblGrid>
      <w:tr>
        <w:tblPrEx>
          <w:tblCellMar>
            <w:top w:w="0" w:type="dxa"/>
            <w:left w:w="108" w:type="dxa"/>
            <w:bottom w:w="0" w:type="dxa"/>
            <w:right w:w="108" w:type="dxa"/>
          </w:tblCellMar>
        </w:tblPrEx>
        <w:trPr>
          <w:trHeight w:val="290" w:hRule="atLeast"/>
          <w:jc w:val="center"/>
        </w:trPr>
        <w:tc>
          <w:tcPr>
            <w:tcW w:w="2693" w:type="dxa"/>
            <w:tcBorders>
              <w:top w:val="single" w:color="000000" w:sz="8" w:space="0"/>
              <w:left w:val="single" w:color="000000" w:sz="8" w:space="0"/>
              <w:bottom w:val="nil"/>
              <w:right w:val="single" w:color="000000" w:sz="8" w:space="0"/>
            </w:tcBorders>
            <w:shd w:val="clear" w:color="000000" w:fill="4472C4"/>
          </w:tcPr>
          <w:p>
            <w:pPr>
              <w:widowControl/>
              <w:jc w:val="center"/>
              <w:rPr>
                <w:rFonts w:cs="宋体"/>
                <w:b/>
                <w:bCs/>
                <w:color w:val="FFFFFF"/>
                <w:kern w:val="0"/>
                <w:szCs w:val="21"/>
              </w:rPr>
            </w:pPr>
            <w:r>
              <w:rPr>
                <w:rFonts w:hint="eastAsia" w:cs="宋体"/>
                <w:b/>
                <w:bCs/>
                <w:color w:val="FFFFFF"/>
                <w:kern w:val="0"/>
                <w:szCs w:val="21"/>
              </w:rPr>
              <w:t>变动因素</w:t>
            </w:r>
          </w:p>
        </w:tc>
        <w:tc>
          <w:tcPr>
            <w:tcW w:w="8309" w:type="dxa"/>
            <w:gridSpan w:val="5"/>
            <w:tcBorders>
              <w:top w:val="single" w:color="000000" w:sz="8" w:space="0"/>
              <w:left w:val="nil"/>
              <w:bottom w:val="nil"/>
              <w:right w:val="single" w:color="000000" w:sz="8" w:space="0"/>
            </w:tcBorders>
            <w:shd w:val="clear" w:color="000000" w:fill="4472C4"/>
          </w:tcPr>
          <w:p>
            <w:pPr>
              <w:widowControl/>
              <w:jc w:val="center"/>
              <w:rPr>
                <w:rFonts w:cs="宋体"/>
                <w:b/>
                <w:bCs/>
                <w:color w:val="FFFFFF"/>
                <w:kern w:val="0"/>
                <w:szCs w:val="21"/>
              </w:rPr>
            </w:pPr>
            <w:r>
              <w:rPr>
                <w:rFonts w:hint="eastAsia" w:cs="宋体"/>
                <w:b/>
                <w:bCs/>
                <w:color w:val="FFFFFF"/>
                <w:kern w:val="0"/>
                <w:szCs w:val="21"/>
              </w:rPr>
              <w:t>变动幅度</w:t>
            </w:r>
          </w:p>
        </w:tc>
      </w:tr>
      <w:tr>
        <w:tblPrEx>
          <w:tblCellMar>
            <w:top w:w="0" w:type="dxa"/>
            <w:left w:w="108" w:type="dxa"/>
            <w:bottom w:w="0" w:type="dxa"/>
            <w:right w:w="108" w:type="dxa"/>
          </w:tblCellMar>
        </w:tblPrEx>
        <w:trPr>
          <w:trHeight w:val="290" w:hRule="atLeast"/>
          <w:jc w:val="center"/>
        </w:trPr>
        <w:tc>
          <w:tcPr>
            <w:tcW w:w="2693" w:type="dxa"/>
            <w:tcBorders>
              <w:top w:val="single" w:color="000000" w:sz="8" w:space="0"/>
              <w:left w:val="single" w:color="000000" w:sz="8" w:space="0"/>
              <w:bottom w:val="nil"/>
              <w:right w:val="single" w:color="000000" w:sz="8" w:space="0"/>
            </w:tcBorders>
            <w:shd w:val="clear" w:color="000000" w:fill="4472C4"/>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　</w:t>
            </w:r>
          </w:p>
        </w:tc>
        <w:tc>
          <w:tcPr>
            <w:tcW w:w="1949"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c>
          <w:tcPr>
            <w:tcW w:w="2400"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560"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0%</w:t>
            </w:r>
          </w:p>
        </w:tc>
        <w:tc>
          <w:tcPr>
            <w:tcW w:w="1200"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200"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r>
      <w:tr>
        <w:tblPrEx>
          <w:tblCellMar>
            <w:top w:w="0" w:type="dxa"/>
            <w:left w:w="108" w:type="dxa"/>
            <w:bottom w:w="0" w:type="dxa"/>
            <w:right w:w="108" w:type="dxa"/>
          </w:tblCellMar>
        </w:tblPrEx>
        <w:trPr>
          <w:trHeight w:val="310" w:hRule="atLeast"/>
          <w:jc w:val="center"/>
        </w:trPr>
        <w:tc>
          <w:tcPr>
            <w:tcW w:w="2693" w:type="dxa"/>
            <w:tcBorders>
              <w:top w:val="nil"/>
              <w:left w:val="single" w:color="000000" w:sz="8" w:space="0"/>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微软雅黑" w:hAnsi="微软雅黑" w:eastAsia="微软雅黑" w:cs="Times New Roman"/>
                <w:color w:val="000000"/>
                <w:kern w:val="0"/>
                <w:szCs w:val="21"/>
              </w:rPr>
              <w:t>己二腈</w:t>
            </w:r>
            <w:r>
              <w:rPr>
                <w:rFonts w:hint="eastAsia" w:cs="Times New Roman"/>
                <w:color w:val="000000"/>
                <w:kern w:val="0"/>
                <w:szCs w:val="21"/>
              </w:rPr>
              <w:t>产量（吨）</w:t>
            </w:r>
          </w:p>
        </w:tc>
        <w:tc>
          <w:tcPr>
            <w:tcW w:w="1949"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97000.10 </w:t>
            </w:r>
          </w:p>
        </w:tc>
        <w:tc>
          <w:tcPr>
            <w:tcW w:w="24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102388.99 </w:t>
            </w:r>
          </w:p>
        </w:tc>
        <w:tc>
          <w:tcPr>
            <w:tcW w:w="156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107777.89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113166.78 </w:t>
            </w:r>
          </w:p>
        </w:tc>
        <w:tc>
          <w:tcPr>
            <w:tcW w:w="1200"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124483.46 </w:t>
            </w:r>
          </w:p>
        </w:tc>
      </w:tr>
      <w:tr>
        <w:tblPrEx>
          <w:tblCellMar>
            <w:top w:w="0" w:type="dxa"/>
            <w:left w:w="108" w:type="dxa"/>
            <w:bottom w:w="0" w:type="dxa"/>
            <w:right w:w="108" w:type="dxa"/>
          </w:tblCellMar>
        </w:tblPrEx>
        <w:trPr>
          <w:trHeight w:val="290" w:hRule="atLeast"/>
          <w:jc w:val="center"/>
        </w:trPr>
        <w:tc>
          <w:tcPr>
            <w:tcW w:w="2693"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cs="宋体"/>
                <w:color w:val="000000"/>
                <w:kern w:val="0"/>
                <w:szCs w:val="21"/>
              </w:rPr>
            </w:pPr>
            <w:r>
              <w:rPr>
                <w:rFonts w:hint="eastAsia" w:cs="宋体"/>
                <w:color w:val="000000"/>
                <w:kern w:val="0"/>
                <w:szCs w:val="21"/>
              </w:rPr>
              <w:t>财务净现值（万元）</w:t>
            </w:r>
          </w:p>
        </w:tc>
        <w:tc>
          <w:tcPr>
            <w:tcW w:w="1949"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173485.98 </w:t>
            </w:r>
          </w:p>
        </w:tc>
        <w:tc>
          <w:tcPr>
            <w:tcW w:w="24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185247.75 </w:t>
            </w:r>
          </w:p>
        </w:tc>
        <w:tc>
          <w:tcPr>
            <w:tcW w:w="156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196029.36 </w:t>
            </w:r>
          </w:p>
        </w:tc>
        <w:tc>
          <w:tcPr>
            <w:tcW w:w="12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206810.97 </w:t>
            </w:r>
          </w:p>
        </w:tc>
        <w:tc>
          <w:tcPr>
            <w:tcW w:w="1200"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218180.68 </w:t>
            </w:r>
          </w:p>
        </w:tc>
      </w:tr>
    </w:tbl>
    <w:p>
      <w:pPr>
        <w:autoSpaceDE w:val="0"/>
        <w:autoSpaceDN w:val="0"/>
        <w:spacing w:before="156" w:beforeLines="50" w:after="156" w:afterLines="50"/>
        <w:jc w:val="center"/>
        <w:rPr>
          <w:rFonts w:cs="仿宋"/>
          <w:b/>
          <w:kern w:val="0"/>
          <w:sz w:val="18"/>
          <w:szCs w:val="18"/>
        </w:rPr>
      </w:pPr>
      <w:r>
        <w:rPr>
          <w:rFonts w:hint="eastAsia" w:cs="仿宋"/>
          <w:b/>
          <w:kern w:val="0"/>
          <w:sz w:val="18"/>
          <w:szCs w:val="18"/>
        </w:rPr>
        <w:t>表</w:t>
      </w:r>
      <w:r>
        <w:rPr>
          <w:rFonts w:cs="仿宋"/>
          <w:b/>
          <w:kern w:val="0"/>
          <w:sz w:val="18"/>
          <w:szCs w:val="18"/>
        </w:rPr>
        <w:t xml:space="preserve">2-16 </w:t>
      </w:r>
      <w:r>
        <w:rPr>
          <w:rFonts w:hint="eastAsia" w:cs="仿宋"/>
          <w:b/>
          <w:kern w:val="0"/>
          <w:sz w:val="18"/>
          <w:szCs w:val="18"/>
        </w:rPr>
        <w:t>主产品价格敏感性分析表</w:t>
      </w:r>
    </w:p>
    <w:tbl>
      <w:tblPr>
        <w:tblStyle w:val="16"/>
        <w:tblW w:w="10480" w:type="dxa"/>
        <w:jc w:val="center"/>
        <w:tblLayout w:type="autofit"/>
        <w:tblCellMar>
          <w:top w:w="0" w:type="dxa"/>
          <w:left w:w="108" w:type="dxa"/>
          <w:bottom w:w="0" w:type="dxa"/>
          <w:right w:w="108" w:type="dxa"/>
        </w:tblCellMar>
      </w:tblPr>
      <w:tblGrid>
        <w:gridCol w:w="2542"/>
        <w:gridCol w:w="2374"/>
        <w:gridCol w:w="1453"/>
        <w:gridCol w:w="1559"/>
        <w:gridCol w:w="1276"/>
        <w:gridCol w:w="1276"/>
      </w:tblGrid>
      <w:tr>
        <w:tblPrEx>
          <w:tblCellMar>
            <w:top w:w="0" w:type="dxa"/>
            <w:left w:w="108" w:type="dxa"/>
            <w:bottom w:w="0" w:type="dxa"/>
            <w:right w:w="108" w:type="dxa"/>
          </w:tblCellMar>
        </w:tblPrEx>
        <w:trPr>
          <w:trHeight w:val="290" w:hRule="atLeast"/>
          <w:jc w:val="center"/>
        </w:trPr>
        <w:tc>
          <w:tcPr>
            <w:tcW w:w="2542" w:type="dxa"/>
            <w:tcBorders>
              <w:top w:val="single" w:color="000000" w:sz="8" w:space="0"/>
              <w:left w:val="single" w:color="000000" w:sz="8" w:space="0"/>
              <w:bottom w:val="single" w:color="000000" w:sz="8" w:space="0"/>
              <w:right w:val="single" w:color="000000" w:sz="8" w:space="0"/>
            </w:tcBorders>
            <w:shd w:val="clear" w:color="000000" w:fill="4472C4"/>
            <w:vAlign w:val="center"/>
          </w:tcPr>
          <w:p>
            <w:pPr>
              <w:widowControl/>
              <w:jc w:val="center"/>
              <w:rPr>
                <w:rFonts w:cs="宋体"/>
                <w:b/>
                <w:bCs/>
                <w:color w:val="FFFFFF"/>
                <w:kern w:val="0"/>
                <w:szCs w:val="21"/>
              </w:rPr>
            </w:pPr>
            <w:r>
              <w:rPr>
                <w:rFonts w:hint="eastAsia" w:cs="宋体"/>
                <w:b/>
                <w:bCs/>
                <w:color w:val="FFFFFF"/>
                <w:kern w:val="0"/>
                <w:szCs w:val="21"/>
              </w:rPr>
              <w:t>变动因素</w:t>
            </w:r>
          </w:p>
        </w:tc>
        <w:tc>
          <w:tcPr>
            <w:tcW w:w="7938" w:type="dxa"/>
            <w:gridSpan w:val="5"/>
            <w:tcBorders>
              <w:top w:val="single" w:color="000000" w:sz="8" w:space="0"/>
              <w:left w:val="nil"/>
              <w:bottom w:val="nil"/>
              <w:right w:val="single" w:color="000000" w:sz="8" w:space="0"/>
            </w:tcBorders>
            <w:shd w:val="clear" w:color="000000" w:fill="4472C4"/>
          </w:tcPr>
          <w:p>
            <w:pPr>
              <w:widowControl/>
              <w:jc w:val="center"/>
              <w:rPr>
                <w:rFonts w:cs="宋体"/>
                <w:b/>
                <w:bCs/>
                <w:color w:val="FFFFFF"/>
                <w:kern w:val="0"/>
                <w:szCs w:val="21"/>
              </w:rPr>
            </w:pPr>
            <w:r>
              <w:rPr>
                <w:rFonts w:hint="eastAsia" w:cs="宋体"/>
                <w:b/>
                <w:bCs/>
                <w:color w:val="FFFFFF"/>
                <w:kern w:val="0"/>
                <w:szCs w:val="21"/>
              </w:rPr>
              <w:t>变动幅度</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000000" w:fill="4472C4"/>
            <w:vAlign w:val="center"/>
          </w:tcPr>
          <w:p>
            <w:pPr>
              <w:widowControl/>
              <w:jc w:val="center"/>
              <w:rPr>
                <w:rFonts w:ascii="Times New Roman" w:hAnsi="Times New Roman" w:eastAsia="等线" w:cs="Times New Roman"/>
                <w:b/>
                <w:bCs/>
                <w:color w:val="FFFFFF"/>
                <w:kern w:val="0"/>
                <w:szCs w:val="21"/>
              </w:rPr>
            </w:pPr>
            <w:r>
              <w:rPr>
                <w:rFonts w:ascii="Times New Roman" w:hAnsi="Times New Roman" w:eastAsia="等线" w:cs="Times New Roman"/>
                <w:b/>
                <w:bCs/>
                <w:color w:val="FFFFFF"/>
                <w:kern w:val="0"/>
                <w:szCs w:val="21"/>
              </w:rPr>
              <w:t>　</w:t>
            </w:r>
          </w:p>
        </w:tc>
        <w:tc>
          <w:tcPr>
            <w:tcW w:w="2374"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c>
          <w:tcPr>
            <w:tcW w:w="1453"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559"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0%</w:t>
            </w:r>
          </w:p>
        </w:tc>
        <w:tc>
          <w:tcPr>
            <w:tcW w:w="1276"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276" w:type="dxa"/>
            <w:tcBorders>
              <w:top w:val="single" w:color="000000" w:sz="8" w:space="0"/>
              <w:left w:val="nil"/>
              <w:bottom w:val="single" w:color="000000" w:sz="8" w:space="0"/>
              <w:right w:val="single" w:color="000000" w:sz="8" w:space="0"/>
            </w:tcBorders>
            <w:shd w:val="clear" w:color="000000" w:fill="D9E1F2"/>
            <w:vAlign w:val="bottom"/>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10%</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cs="Times New Roman"/>
                <w:color w:val="000000"/>
                <w:kern w:val="0"/>
                <w:szCs w:val="21"/>
              </w:rPr>
              <w:t>己二腈价格（元</w:t>
            </w:r>
            <w:r>
              <w:rPr>
                <w:rFonts w:ascii="Times New Roman" w:hAnsi="Times New Roman" w:eastAsia="等线" w:cs="Times New Roman"/>
                <w:color w:val="000000"/>
                <w:kern w:val="0"/>
                <w:szCs w:val="21"/>
              </w:rPr>
              <w:t>/</w:t>
            </w:r>
            <w:r>
              <w:rPr>
                <w:rFonts w:hint="eastAsia" w:cs="Times New Roman"/>
                <w:color w:val="000000"/>
                <w:kern w:val="0"/>
                <w:szCs w:val="21"/>
              </w:rPr>
              <w:t>吨）</w:t>
            </w:r>
          </w:p>
        </w:tc>
        <w:tc>
          <w:tcPr>
            <w:tcW w:w="2374"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31500.00 </w:t>
            </w:r>
          </w:p>
        </w:tc>
        <w:tc>
          <w:tcPr>
            <w:tcW w:w="1453"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33250.00 </w:t>
            </w:r>
          </w:p>
        </w:tc>
        <w:tc>
          <w:tcPr>
            <w:tcW w:w="1559"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35000.00 </w:t>
            </w:r>
          </w:p>
        </w:tc>
        <w:tc>
          <w:tcPr>
            <w:tcW w:w="1276"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36750.00 </w:t>
            </w:r>
          </w:p>
        </w:tc>
        <w:tc>
          <w:tcPr>
            <w:tcW w:w="1276" w:type="dxa"/>
            <w:tcBorders>
              <w:top w:val="nil"/>
              <w:left w:val="nil"/>
              <w:bottom w:val="single" w:color="000000" w:sz="8" w:space="0"/>
              <w:right w:val="single" w:color="000000" w:sz="8"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38500.00 </w:t>
            </w:r>
          </w:p>
        </w:tc>
      </w:tr>
      <w:tr>
        <w:tblPrEx>
          <w:tblCellMar>
            <w:top w:w="0" w:type="dxa"/>
            <w:left w:w="108" w:type="dxa"/>
            <w:bottom w:w="0" w:type="dxa"/>
            <w:right w:w="108" w:type="dxa"/>
          </w:tblCellMar>
        </w:tblPrEx>
        <w:trPr>
          <w:trHeight w:val="290" w:hRule="atLeast"/>
          <w:jc w:val="center"/>
        </w:trPr>
        <w:tc>
          <w:tcPr>
            <w:tcW w:w="2542" w:type="dxa"/>
            <w:tcBorders>
              <w:top w:val="nil"/>
              <w:left w:val="single" w:color="000000" w:sz="8" w:space="0"/>
              <w:bottom w:val="single" w:color="000000" w:sz="8" w:space="0"/>
              <w:right w:val="single" w:color="000000" w:sz="8" w:space="0"/>
            </w:tcBorders>
            <w:shd w:val="clear" w:color="000000" w:fill="D9E1F2"/>
            <w:vAlign w:val="center"/>
          </w:tcPr>
          <w:p>
            <w:pPr>
              <w:widowControl/>
              <w:jc w:val="center"/>
              <w:rPr>
                <w:rFonts w:cs="宋体"/>
                <w:color w:val="000000"/>
                <w:kern w:val="0"/>
                <w:szCs w:val="21"/>
              </w:rPr>
            </w:pPr>
            <w:r>
              <w:rPr>
                <w:rFonts w:hint="eastAsia" w:cs="宋体"/>
                <w:color w:val="000000"/>
                <w:kern w:val="0"/>
                <w:szCs w:val="21"/>
              </w:rPr>
              <w:t>财务净现值（万元）</w:t>
            </w:r>
          </w:p>
        </w:tc>
        <w:tc>
          <w:tcPr>
            <w:tcW w:w="2374"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160940.10 </w:t>
            </w:r>
          </w:p>
        </w:tc>
        <w:tc>
          <w:tcPr>
            <w:tcW w:w="1453"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178386.72 </w:t>
            </w:r>
          </w:p>
        </w:tc>
        <w:tc>
          <w:tcPr>
            <w:tcW w:w="1559"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196029.36 </w:t>
            </w:r>
          </w:p>
        </w:tc>
        <w:tc>
          <w:tcPr>
            <w:tcW w:w="1276"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213672.00 </w:t>
            </w:r>
          </w:p>
        </w:tc>
        <w:tc>
          <w:tcPr>
            <w:tcW w:w="1276" w:type="dxa"/>
            <w:tcBorders>
              <w:top w:val="nil"/>
              <w:left w:val="nil"/>
              <w:bottom w:val="single" w:color="000000" w:sz="8" w:space="0"/>
              <w:right w:val="single" w:color="000000" w:sz="8" w:space="0"/>
            </w:tcBorders>
            <w:shd w:val="clear" w:color="000000" w:fill="D9E1F2"/>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 xml:space="preserve">231706.70 </w:t>
            </w:r>
          </w:p>
        </w:tc>
      </w:tr>
    </w:tbl>
    <w:p>
      <w:pPr>
        <w:autoSpaceDE w:val="0"/>
        <w:autoSpaceDN w:val="0"/>
        <w:spacing w:before="156" w:beforeLines="50" w:after="156" w:afterLines="50"/>
        <w:jc w:val="center"/>
        <w:rPr>
          <w:rFonts w:ascii="仿宋" w:hAnsi="仿宋" w:cs="仿宋"/>
          <w:kern w:val="0"/>
          <w:szCs w:val="21"/>
        </w:rPr>
      </w:pPr>
      <w:r>
        <w:rPr>
          <w:rFonts w:ascii="仿宋" w:hAnsi="仿宋" w:cs="仿宋"/>
          <w:kern w:val="0"/>
        </w:rPr>
        <w:drawing>
          <wp:inline distT="0" distB="0" distL="0" distR="0">
            <wp:extent cx="2997200" cy="4178300"/>
            <wp:effectExtent l="0" t="0" r="12700" b="12700"/>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autoSpaceDE w:val="0"/>
        <w:autoSpaceDN w:val="0"/>
        <w:spacing w:before="156" w:beforeLines="50" w:after="156" w:afterLines="50"/>
        <w:jc w:val="center"/>
        <w:rPr>
          <w:rFonts w:ascii="仿宋" w:hAnsi="仿宋" w:cs="仿宋"/>
          <w:b/>
          <w:kern w:val="0"/>
          <w:sz w:val="18"/>
          <w:szCs w:val="18"/>
        </w:rPr>
      </w:pPr>
      <w:r>
        <w:rPr>
          <w:rFonts w:hint="eastAsia" w:ascii="仿宋" w:hAnsi="仿宋" w:cs="仿宋"/>
          <w:b/>
          <w:kern w:val="0"/>
          <w:sz w:val="18"/>
          <w:szCs w:val="18"/>
        </w:rPr>
        <w:t>图</w:t>
      </w:r>
      <w:r>
        <w:rPr>
          <w:rFonts w:ascii="仿宋" w:hAnsi="仿宋" w:cs="仿宋"/>
          <w:b/>
          <w:kern w:val="0"/>
          <w:sz w:val="18"/>
          <w:szCs w:val="18"/>
        </w:rPr>
        <w:t xml:space="preserve">2-3 </w:t>
      </w:r>
      <w:r>
        <w:rPr>
          <w:rFonts w:hint="eastAsia" w:ascii="仿宋" w:hAnsi="仿宋" w:cs="仿宋"/>
          <w:b/>
          <w:kern w:val="0"/>
          <w:sz w:val="18"/>
          <w:szCs w:val="18"/>
        </w:rPr>
        <w:t>敏感性分析图</w:t>
      </w:r>
    </w:p>
    <w:p>
      <w:pPr>
        <w:ind w:firstLine="420" w:firstLineChars="200"/>
        <w:rPr>
          <w:rFonts w:ascii="Times New Roman" w:hAnsi="Times New Roman" w:cs="Times New Roman"/>
        </w:rPr>
      </w:pPr>
      <w:r>
        <w:rPr>
          <w:rFonts w:ascii="Times New Roman" w:hAnsi="Times New Roman" w:cs="Times New Roman"/>
        </w:rPr>
        <w:t>从</w:t>
      </w:r>
      <w:r>
        <w:rPr>
          <w:rFonts w:ascii="Times New Roman" w:hAnsi="Times New Roman" w:cs="Times New Roman"/>
          <w:color w:val="000000"/>
          <w:szCs w:val="21"/>
        </w:rPr>
        <w:t>表中数据及敏感性分析图中可得</w:t>
      </w:r>
      <w:r>
        <w:rPr>
          <w:rFonts w:hint="eastAsia" w:ascii="Times New Roman" w:hAnsi="Times New Roman" w:cs="Times New Roman"/>
          <w:color w:val="000000"/>
          <w:szCs w:val="21"/>
        </w:rPr>
        <w:t>己二腈</w:t>
      </w:r>
      <w:r>
        <w:rPr>
          <w:rFonts w:ascii="Times New Roman" w:hAnsi="Times New Roman" w:cs="Times New Roman"/>
          <w:color w:val="000000"/>
          <w:szCs w:val="21"/>
        </w:rPr>
        <w:t>的产量、价格对净现值有正影响，经营成本对净现值有负影响。其中，</w:t>
      </w:r>
      <w:r>
        <w:rPr>
          <w:rFonts w:hint="eastAsia" w:ascii="Times New Roman" w:hAnsi="Times New Roman" w:cs="Times New Roman"/>
          <w:color w:val="000000"/>
          <w:szCs w:val="21"/>
        </w:rPr>
        <w:t>己二腈</w:t>
      </w:r>
      <w:r>
        <w:rPr>
          <w:rFonts w:ascii="Times New Roman" w:hAnsi="Times New Roman" w:cs="Times New Roman"/>
          <w:color w:val="000000"/>
          <w:szCs w:val="21"/>
        </w:rPr>
        <w:t>产品价格对净现值产生较大影响，其次是经营成本的变化，</w:t>
      </w:r>
      <w:r>
        <w:rPr>
          <w:rFonts w:hint="eastAsia" w:ascii="Times New Roman" w:hAnsi="Times New Roman" w:cs="Times New Roman"/>
          <w:color w:val="000000"/>
          <w:szCs w:val="21"/>
        </w:rPr>
        <w:t>己二腈</w:t>
      </w:r>
      <w:r>
        <w:rPr>
          <w:rFonts w:ascii="Times New Roman" w:hAnsi="Times New Roman" w:cs="Times New Roman"/>
          <w:color w:val="000000"/>
          <w:szCs w:val="21"/>
        </w:rPr>
        <w:t>产量变化的影响相对较小。并且</w:t>
      </w:r>
      <w:r>
        <w:rPr>
          <w:rFonts w:hint="eastAsia" w:ascii="Times New Roman" w:hAnsi="Times New Roman" w:cs="Times New Roman"/>
          <w:color w:val="000000"/>
          <w:szCs w:val="21"/>
        </w:rPr>
        <w:t>己二腈</w:t>
      </w:r>
      <w:r>
        <w:rPr>
          <w:rFonts w:ascii="Times New Roman" w:hAnsi="Times New Roman" w:cs="Times New Roman"/>
          <w:color w:val="000000"/>
          <w:szCs w:val="21"/>
        </w:rPr>
        <w:t>的</w:t>
      </w:r>
      <w:r>
        <w:rPr>
          <w:rFonts w:hint="eastAsia" w:ascii="Times New Roman" w:hAnsi="Times New Roman" w:cs="Times New Roman"/>
          <w:color w:val="000000"/>
          <w:szCs w:val="21"/>
        </w:rPr>
        <w:t>产量</w:t>
      </w:r>
      <w:r>
        <w:rPr>
          <w:rFonts w:ascii="Times New Roman" w:hAnsi="Times New Roman" w:cs="Times New Roman"/>
          <w:color w:val="000000"/>
          <w:szCs w:val="21"/>
        </w:rPr>
        <w:t>变动影响能力和经营成本的变化差不多，故本项目抗风险能力相对较强。</w:t>
      </w:r>
    </w:p>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before="120" w:after="120"/>
      <w:rPr>
        <w:rFonts w:ascii="楷体" w:hAnsi="楷体" w:eastAsia="楷体"/>
        <w:color w:val="4472C4"/>
        <w:sz w:val="22"/>
      </w:rPr>
    </w:pPr>
    <w:r>
      <w:rPr>
        <w:rFonts w:ascii="楷体" w:hAnsi="楷体" w:eastAsia="楷体"/>
        <w:color w:val="4472C4"/>
        <w:sz w:val="22"/>
      </w:rPr>
      <w:drawing>
        <wp:anchor distT="0" distB="0" distL="114300" distR="114300" simplePos="0" relativeHeight="251662336" behindDoc="1" locked="0" layoutInCell="1" allowOverlap="1">
          <wp:simplePos x="0" y="0"/>
          <wp:positionH relativeFrom="margin">
            <wp:posOffset>-710565</wp:posOffset>
          </wp:positionH>
          <wp:positionV relativeFrom="paragraph">
            <wp:posOffset>97155</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spacing w:before="120" w:after="12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10"/>
                      <w:spacing w:before="120" w:after="12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10"/>
      <w:spacing w:before="120" w:after="120"/>
      <w:rPr>
        <w:rFonts w:hint="eastAsia"/>
      </w:rPr>
    </w:pPr>
    <w:r>
      <w:rPr>
        <w:rFonts w:ascii="楷体" w:hAnsi="楷体" w:eastAsia="楷体"/>
        <w:color w:val="4472C4"/>
        <w:sz w:val="22"/>
      </w:rPr>
      <w:t>58</w:t>
    </w:r>
    <w:r>
      <w:rPr>
        <w:rFonts w:hint="eastAsia" w:ascii="楷体" w:hAnsi="楷体" w:eastAsia="楷体"/>
        <w:color w:val="4472C4"/>
        <w:sz w:val="22"/>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before="120" w:after="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rPr>
        <w:rFonts w:hint="default" w:eastAsia="楷体"/>
        <w:lang w:val="en-US" w:eastAsia="zh-CN"/>
      </w:rPr>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default" w:ascii="楷体" w:eastAsia="楷体"/>
        <w:color w:val="4471C4"/>
        <w:sz w:val="22"/>
        <w:lang w:val="en-US"/>
      </w:rPr>
      <w:drawing>
        <wp:anchor distT="0" distB="0" distL="0" distR="0" simplePos="0" relativeHeight="251659264"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lang w:val="en-US" w:eastAsia="zh-CN"/>
      </w:rPr>
      <w:t>经济分析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9C52F9"/>
    <w:multiLevelType w:val="singleLevel"/>
    <w:tmpl w:val="639C52F9"/>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D977C4"/>
    <w:rsid w:val="0022438C"/>
    <w:rsid w:val="008C7BAE"/>
    <w:rsid w:val="00B90C76"/>
    <w:rsid w:val="00D977C4"/>
    <w:rsid w:val="6E364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1"/>
      <w:szCs w:val="22"/>
      <w:lang w:val="en-US" w:eastAsia="zh-CN" w:bidi="ar-SA"/>
    </w:rPr>
  </w:style>
  <w:style w:type="paragraph" w:styleId="2">
    <w:name w:val="heading 1"/>
    <w:basedOn w:val="1"/>
    <w:next w:val="1"/>
    <w:link w:val="67"/>
    <w:qFormat/>
    <w:uiPriority w:val="9"/>
    <w:pPr>
      <w:keepNext/>
      <w:keepLines/>
      <w:spacing w:before="340" w:after="330" w:line="578" w:lineRule="auto"/>
      <w:outlineLvl w:val="0"/>
    </w:pPr>
    <w:rPr>
      <w:rFonts w:ascii="仿宋" w:hAnsi="仿宋" w:eastAsia="Times New Roman" w:cs="仿宋"/>
      <w:b/>
      <w:bCs/>
      <w:color w:val="4472C4"/>
      <w:kern w:val="44"/>
      <w:sz w:val="44"/>
      <w:szCs w:val="44"/>
    </w:rPr>
  </w:style>
  <w:style w:type="paragraph" w:styleId="3">
    <w:name w:val="heading 2"/>
    <w:basedOn w:val="1"/>
    <w:next w:val="1"/>
    <w:link w:val="68"/>
    <w:semiHidden/>
    <w:unhideWhenUsed/>
    <w:qFormat/>
    <w:uiPriority w:val="9"/>
    <w:pPr>
      <w:keepNext/>
      <w:keepLines/>
      <w:spacing w:before="260" w:after="260" w:line="416" w:lineRule="auto"/>
      <w:outlineLvl w:val="1"/>
    </w:pPr>
    <w:rPr>
      <w:rFonts w:ascii="等线 Light" w:hAnsi="等线 Light" w:eastAsia="Times New Roman" w:cs="Times New Roman"/>
      <w:b/>
      <w:bCs/>
      <w:kern w:val="0"/>
      <w:sz w:val="32"/>
      <w:szCs w:val="32"/>
    </w:rPr>
  </w:style>
  <w:style w:type="paragraph" w:styleId="4">
    <w:name w:val="heading 3"/>
    <w:basedOn w:val="1"/>
    <w:next w:val="1"/>
    <w:link w:val="23"/>
    <w:unhideWhenUsed/>
    <w:qFormat/>
    <w:uiPriority w:val="9"/>
    <w:pPr>
      <w:keepNext/>
      <w:keepLines/>
      <w:autoSpaceDE w:val="0"/>
      <w:autoSpaceDN w:val="0"/>
      <w:spacing w:before="260" w:beforeLines="50" w:after="260" w:afterLines="50" w:line="416" w:lineRule="auto"/>
      <w:jc w:val="left"/>
      <w:outlineLvl w:val="2"/>
    </w:pPr>
    <w:rPr>
      <w:rFonts w:ascii="仿宋" w:hAnsi="仿宋" w:eastAsia="Times New Roman" w:cs="仿宋"/>
      <w:b/>
      <w:bCs/>
      <w:kern w:val="0"/>
      <w:sz w:val="28"/>
      <w:szCs w:val="32"/>
    </w:rPr>
  </w:style>
  <w:style w:type="paragraph" w:styleId="5">
    <w:name w:val="heading 4"/>
    <w:basedOn w:val="1"/>
    <w:next w:val="1"/>
    <w:link w:val="70"/>
    <w:semiHidden/>
    <w:unhideWhenUsed/>
    <w:qFormat/>
    <w:uiPriority w:val="9"/>
    <w:pPr>
      <w:keepNext/>
      <w:keepLines/>
      <w:spacing w:before="280" w:after="290" w:line="376" w:lineRule="auto"/>
      <w:outlineLvl w:val="3"/>
    </w:pPr>
    <w:rPr>
      <w:rFonts w:ascii="等线 Light" w:hAnsi="等线 Light" w:eastAsia="等线 Light" w:cs="Times New Roman"/>
      <w:b/>
      <w:bCs/>
      <w:kern w:val="0"/>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7"/>
    <w:semiHidden/>
    <w:unhideWhenUsed/>
    <w:qFormat/>
    <w:uiPriority w:val="99"/>
    <w:pPr>
      <w:autoSpaceDE w:val="0"/>
      <w:autoSpaceDN w:val="0"/>
      <w:spacing w:before="50" w:beforeLines="50" w:after="50" w:afterLines="50"/>
      <w:jc w:val="left"/>
    </w:pPr>
    <w:rPr>
      <w:rFonts w:ascii="仿宋" w:hAnsi="仿宋" w:cs="仿宋"/>
      <w:kern w:val="0"/>
    </w:rPr>
  </w:style>
  <w:style w:type="paragraph" w:styleId="7">
    <w:name w:val="Body Text"/>
    <w:basedOn w:val="1"/>
    <w:link w:val="28"/>
    <w:qFormat/>
    <w:uiPriority w:val="1"/>
    <w:pPr>
      <w:autoSpaceDE w:val="0"/>
      <w:autoSpaceDN w:val="0"/>
      <w:spacing w:before="50" w:beforeLines="50" w:after="50" w:afterLines="50"/>
      <w:jc w:val="left"/>
    </w:pPr>
    <w:rPr>
      <w:rFonts w:ascii="仿宋" w:hAnsi="仿宋" w:cs="仿宋"/>
      <w:kern w:val="0"/>
      <w:szCs w:val="21"/>
    </w:rPr>
  </w:style>
  <w:style w:type="paragraph" w:styleId="8">
    <w:name w:val="toc 3"/>
    <w:basedOn w:val="1"/>
    <w:next w:val="1"/>
    <w:unhideWhenUsed/>
    <w:qFormat/>
    <w:uiPriority w:val="39"/>
    <w:pPr>
      <w:ind w:left="840" w:leftChars="400"/>
    </w:pPr>
  </w:style>
  <w:style w:type="paragraph" w:styleId="9">
    <w:name w:val="Balloon Text"/>
    <w:basedOn w:val="1"/>
    <w:link w:val="32"/>
    <w:semiHidden/>
    <w:unhideWhenUsed/>
    <w:qFormat/>
    <w:uiPriority w:val="99"/>
    <w:pPr>
      <w:autoSpaceDE w:val="0"/>
      <w:autoSpaceDN w:val="0"/>
      <w:spacing w:beforeLines="50" w:afterLines="50"/>
      <w:jc w:val="left"/>
    </w:pPr>
    <w:rPr>
      <w:rFonts w:ascii="仿宋" w:hAnsi="仿宋" w:cs="仿宋"/>
      <w:kern w:val="0"/>
      <w:sz w:val="18"/>
      <w:szCs w:val="18"/>
    </w:rPr>
  </w:style>
  <w:style w:type="paragraph" w:styleId="10">
    <w:name w:val="footer"/>
    <w:basedOn w:val="1"/>
    <w:link w:val="33"/>
    <w:unhideWhenUsed/>
    <w:qFormat/>
    <w:uiPriority w:val="99"/>
    <w:pPr>
      <w:tabs>
        <w:tab w:val="center" w:pos="4153"/>
        <w:tab w:val="right" w:pos="8306"/>
      </w:tabs>
      <w:autoSpaceDE w:val="0"/>
      <w:autoSpaceDN w:val="0"/>
      <w:snapToGrid w:val="0"/>
      <w:spacing w:before="50" w:beforeLines="50" w:after="50" w:afterLines="50"/>
      <w:jc w:val="left"/>
    </w:pPr>
    <w:rPr>
      <w:rFonts w:ascii="仿宋" w:hAnsi="仿宋" w:cs="仿宋"/>
      <w:kern w:val="0"/>
      <w:sz w:val="18"/>
      <w:szCs w:val="18"/>
    </w:rPr>
  </w:style>
  <w:style w:type="paragraph" w:styleId="11">
    <w:name w:val="header"/>
    <w:basedOn w:val="1"/>
    <w:link w:val="34"/>
    <w:unhideWhenUsed/>
    <w:qFormat/>
    <w:uiPriority w:val="99"/>
    <w:pPr>
      <w:pBdr>
        <w:bottom w:val="single" w:color="auto" w:sz="6" w:space="1"/>
      </w:pBdr>
      <w:tabs>
        <w:tab w:val="center" w:pos="4153"/>
        <w:tab w:val="right" w:pos="8306"/>
      </w:tabs>
      <w:autoSpaceDE w:val="0"/>
      <w:autoSpaceDN w:val="0"/>
      <w:snapToGrid w:val="0"/>
      <w:spacing w:before="50" w:beforeLines="50" w:after="50" w:afterLines="50"/>
      <w:jc w:val="center"/>
    </w:pPr>
    <w:rPr>
      <w:rFonts w:ascii="仿宋" w:hAnsi="仿宋" w:cs="仿宋"/>
      <w:kern w:val="0"/>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Title"/>
    <w:basedOn w:val="1"/>
    <w:next w:val="1"/>
    <w:link w:val="69"/>
    <w:qFormat/>
    <w:uiPriority w:val="10"/>
    <w:pPr>
      <w:spacing w:before="240" w:after="60"/>
      <w:jc w:val="center"/>
      <w:outlineLvl w:val="0"/>
    </w:pPr>
    <w:rPr>
      <w:rFonts w:ascii="等线 Light" w:hAnsi="等线 Light" w:eastAsia="仿宋" w:cs="Times New Roman"/>
      <w:b/>
      <w:bCs/>
      <w:kern w:val="0"/>
      <w:sz w:val="48"/>
      <w:szCs w:val="32"/>
    </w:rPr>
  </w:style>
  <w:style w:type="paragraph" w:styleId="15">
    <w:name w:val="annotation subject"/>
    <w:basedOn w:val="6"/>
    <w:next w:val="6"/>
    <w:link w:val="41"/>
    <w:semiHidden/>
    <w:unhideWhenUsed/>
    <w:qFormat/>
    <w:uiPriority w:val="99"/>
    <w:rPr>
      <w:b/>
      <w:bCs/>
    </w:rPr>
  </w:style>
  <w:style w:type="table" w:styleId="17">
    <w:name w:val="Table Grid"/>
    <w:basedOn w:val="16"/>
    <w:qFormat/>
    <w:uiPriority w:val="39"/>
    <w:pPr>
      <w:widowControl w:val="0"/>
      <w:jc w:val="both"/>
    </w:pPr>
    <w:rPr>
      <w:rFonts w:ascii="Times New Roman" w:hAnsi="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annotation reference"/>
    <w:basedOn w:val="18"/>
    <w:semiHidden/>
    <w:unhideWhenUsed/>
    <w:qFormat/>
    <w:uiPriority w:val="99"/>
    <w:rPr>
      <w:sz w:val="21"/>
      <w:szCs w:val="21"/>
    </w:rPr>
  </w:style>
  <w:style w:type="paragraph" w:customStyle="1" w:styleId="21">
    <w:name w:val="标题 11"/>
    <w:basedOn w:val="1"/>
    <w:next w:val="1"/>
    <w:qFormat/>
    <w:uiPriority w:val="9"/>
    <w:pPr>
      <w:keepNext/>
      <w:keepLines/>
      <w:autoSpaceDE w:val="0"/>
      <w:autoSpaceDN w:val="0"/>
      <w:spacing w:before="340" w:beforeLines="50" w:after="330" w:afterLines="50" w:line="578" w:lineRule="auto"/>
      <w:jc w:val="center"/>
      <w:outlineLvl w:val="0"/>
    </w:pPr>
    <w:rPr>
      <w:rFonts w:ascii="仿宋" w:hAnsi="仿宋" w:eastAsia="Times New Roman" w:cs="仿宋"/>
      <w:b/>
      <w:bCs/>
      <w:color w:val="4472C4"/>
      <w:kern w:val="44"/>
      <w:sz w:val="44"/>
      <w:szCs w:val="44"/>
    </w:rPr>
  </w:style>
  <w:style w:type="paragraph" w:customStyle="1" w:styleId="22">
    <w:name w:val="标题 21"/>
    <w:basedOn w:val="1"/>
    <w:next w:val="1"/>
    <w:unhideWhenUsed/>
    <w:qFormat/>
    <w:uiPriority w:val="9"/>
    <w:pPr>
      <w:keepNext/>
      <w:keepLines/>
      <w:autoSpaceDE w:val="0"/>
      <w:autoSpaceDN w:val="0"/>
      <w:spacing w:before="260" w:beforeLines="50" w:after="260" w:afterLines="50" w:line="416" w:lineRule="auto"/>
      <w:jc w:val="left"/>
      <w:outlineLvl w:val="1"/>
    </w:pPr>
    <w:rPr>
      <w:rFonts w:ascii="等线 Light" w:hAnsi="等线 Light" w:eastAsia="Times New Roman" w:cs="Times New Roman"/>
      <w:b/>
      <w:bCs/>
      <w:kern w:val="0"/>
      <w:sz w:val="32"/>
      <w:szCs w:val="32"/>
    </w:rPr>
  </w:style>
  <w:style w:type="character" w:customStyle="1" w:styleId="23">
    <w:name w:val="标题 3 字符"/>
    <w:basedOn w:val="18"/>
    <w:link w:val="4"/>
    <w:qFormat/>
    <w:uiPriority w:val="9"/>
    <w:rPr>
      <w:rFonts w:ascii="仿宋" w:hAnsi="仿宋" w:eastAsia="Times New Roman" w:cs="仿宋"/>
      <w:b/>
      <w:bCs/>
      <w:kern w:val="0"/>
      <w:sz w:val="28"/>
      <w:szCs w:val="32"/>
    </w:rPr>
  </w:style>
  <w:style w:type="paragraph" w:customStyle="1" w:styleId="24">
    <w:name w:val="标题 41"/>
    <w:basedOn w:val="1"/>
    <w:next w:val="1"/>
    <w:unhideWhenUsed/>
    <w:qFormat/>
    <w:uiPriority w:val="9"/>
    <w:pPr>
      <w:keepNext/>
      <w:keepLines/>
      <w:autoSpaceDE w:val="0"/>
      <w:autoSpaceDN w:val="0"/>
      <w:spacing w:before="280" w:beforeLines="50" w:after="290" w:afterLines="50" w:line="376" w:lineRule="auto"/>
      <w:jc w:val="left"/>
      <w:outlineLvl w:val="3"/>
    </w:pPr>
    <w:rPr>
      <w:rFonts w:ascii="等线 Light" w:hAnsi="等线 Light" w:eastAsia="等线 Light" w:cs="Times New Roman"/>
      <w:b/>
      <w:bCs/>
      <w:kern w:val="0"/>
      <w:sz w:val="28"/>
      <w:szCs w:val="28"/>
    </w:rPr>
  </w:style>
  <w:style w:type="paragraph" w:customStyle="1" w:styleId="25">
    <w:name w:val="TOC 71"/>
    <w:basedOn w:val="1"/>
    <w:next w:val="1"/>
    <w:unhideWhenUsed/>
    <w:qFormat/>
    <w:uiPriority w:val="39"/>
    <w:pPr>
      <w:autoSpaceDE w:val="0"/>
      <w:autoSpaceDN w:val="0"/>
      <w:spacing w:before="50" w:beforeLines="50" w:after="50" w:afterLines="50"/>
      <w:ind w:left="1260"/>
      <w:jc w:val="left"/>
    </w:pPr>
    <w:rPr>
      <w:rFonts w:ascii="等线" w:hAnsi="仿宋" w:eastAsia="等线" w:cs="仿宋"/>
      <w:kern w:val="0"/>
      <w:sz w:val="18"/>
      <w:szCs w:val="18"/>
    </w:rPr>
  </w:style>
  <w:style w:type="paragraph" w:customStyle="1" w:styleId="26">
    <w:name w:val="题注1"/>
    <w:basedOn w:val="1"/>
    <w:next w:val="1"/>
    <w:unhideWhenUsed/>
    <w:qFormat/>
    <w:uiPriority w:val="35"/>
    <w:pPr>
      <w:autoSpaceDE w:val="0"/>
      <w:autoSpaceDN w:val="0"/>
      <w:spacing w:before="50" w:beforeLines="50" w:after="50" w:afterLines="50"/>
      <w:jc w:val="left"/>
    </w:pPr>
    <w:rPr>
      <w:rFonts w:ascii="等线 Light" w:hAnsi="等线 Light" w:eastAsia="黑体" w:cs="Times New Roman"/>
      <w:kern w:val="0"/>
      <w:sz w:val="20"/>
      <w:szCs w:val="20"/>
    </w:rPr>
  </w:style>
  <w:style w:type="character" w:customStyle="1" w:styleId="27">
    <w:name w:val="批注文字 字符"/>
    <w:basedOn w:val="18"/>
    <w:link w:val="6"/>
    <w:semiHidden/>
    <w:qFormat/>
    <w:uiPriority w:val="99"/>
    <w:rPr>
      <w:rFonts w:ascii="仿宋" w:hAnsi="仿宋" w:cs="仿宋"/>
      <w:kern w:val="0"/>
    </w:rPr>
  </w:style>
  <w:style w:type="character" w:customStyle="1" w:styleId="28">
    <w:name w:val="正文文本 字符"/>
    <w:basedOn w:val="18"/>
    <w:link w:val="7"/>
    <w:qFormat/>
    <w:uiPriority w:val="1"/>
    <w:rPr>
      <w:rFonts w:ascii="仿宋" w:hAnsi="仿宋" w:cs="仿宋"/>
      <w:kern w:val="0"/>
      <w:szCs w:val="21"/>
    </w:rPr>
  </w:style>
  <w:style w:type="paragraph" w:customStyle="1" w:styleId="29">
    <w:name w:val="TOC 51"/>
    <w:basedOn w:val="1"/>
    <w:next w:val="1"/>
    <w:unhideWhenUsed/>
    <w:qFormat/>
    <w:uiPriority w:val="39"/>
    <w:pPr>
      <w:autoSpaceDE w:val="0"/>
      <w:autoSpaceDN w:val="0"/>
      <w:spacing w:before="50" w:beforeLines="50" w:after="50" w:afterLines="50"/>
      <w:ind w:left="840"/>
      <w:jc w:val="left"/>
    </w:pPr>
    <w:rPr>
      <w:rFonts w:ascii="等线" w:hAnsi="仿宋" w:eastAsia="等线" w:cs="仿宋"/>
      <w:kern w:val="0"/>
      <w:sz w:val="18"/>
      <w:szCs w:val="18"/>
    </w:rPr>
  </w:style>
  <w:style w:type="paragraph" w:customStyle="1" w:styleId="30">
    <w:name w:val="TOC 31"/>
    <w:basedOn w:val="1"/>
    <w:next w:val="1"/>
    <w:unhideWhenUsed/>
    <w:qFormat/>
    <w:uiPriority w:val="39"/>
    <w:pPr>
      <w:tabs>
        <w:tab w:val="right" w:leader="dot" w:pos="8296"/>
      </w:tabs>
      <w:autoSpaceDE w:val="0"/>
      <w:autoSpaceDN w:val="0"/>
      <w:spacing w:before="50" w:beforeLines="50" w:after="50" w:afterLines="50"/>
      <w:ind w:left="420"/>
      <w:jc w:val="left"/>
    </w:pPr>
    <w:rPr>
      <w:rFonts w:ascii="等线" w:hAnsi="仿宋" w:cs="仿宋"/>
      <w:kern w:val="0"/>
      <w:sz w:val="20"/>
      <w:szCs w:val="20"/>
    </w:rPr>
  </w:style>
  <w:style w:type="paragraph" w:customStyle="1" w:styleId="31">
    <w:name w:val="TOC 81"/>
    <w:basedOn w:val="1"/>
    <w:next w:val="1"/>
    <w:unhideWhenUsed/>
    <w:qFormat/>
    <w:uiPriority w:val="39"/>
    <w:pPr>
      <w:autoSpaceDE w:val="0"/>
      <w:autoSpaceDN w:val="0"/>
      <w:spacing w:before="50" w:beforeLines="50" w:after="50" w:afterLines="50"/>
      <w:ind w:left="1470"/>
      <w:jc w:val="left"/>
    </w:pPr>
    <w:rPr>
      <w:rFonts w:ascii="等线" w:hAnsi="仿宋" w:eastAsia="等线" w:cs="仿宋"/>
      <w:kern w:val="0"/>
      <w:sz w:val="18"/>
      <w:szCs w:val="18"/>
    </w:rPr>
  </w:style>
  <w:style w:type="character" w:customStyle="1" w:styleId="32">
    <w:name w:val="批注框文本 字符"/>
    <w:basedOn w:val="18"/>
    <w:link w:val="9"/>
    <w:semiHidden/>
    <w:qFormat/>
    <w:uiPriority w:val="99"/>
    <w:rPr>
      <w:rFonts w:ascii="仿宋" w:hAnsi="仿宋" w:cs="仿宋"/>
      <w:kern w:val="0"/>
      <w:sz w:val="18"/>
      <w:szCs w:val="18"/>
    </w:rPr>
  </w:style>
  <w:style w:type="character" w:customStyle="1" w:styleId="33">
    <w:name w:val="页脚 字符"/>
    <w:basedOn w:val="18"/>
    <w:link w:val="10"/>
    <w:qFormat/>
    <w:uiPriority w:val="99"/>
    <w:rPr>
      <w:rFonts w:ascii="仿宋" w:hAnsi="仿宋" w:cs="仿宋"/>
      <w:kern w:val="0"/>
      <w:sz w:val="18"/>
      <w:szCs w:val="18"/>
    </w:rPr>
  </w:style>
  <w:style w:type="character" w:customStyle="1" w:styleId="34">
    <w:name w:val="页眉 字符"/>
    <w:basedOn w:val="18"/>
    <w:link w:val="11"/>
    <w:qFormat/>
    <w:uiPriority w:val="99"/>
    <w:rPr>
      <w:rFonts w:ascii="仿宋" w:hAnsi="仿宋" w:cs="仿宋"/>
      <w:kern w:val="0"/>
      <w:sz w:val="18"/>
      <w:szCs w:val="18"/>
    </w:rPr>
  </w:style>
  <w:style w:type="paragraph" w:customStyle="1" w:styleId="35">
    <w:name w:val="TOC 11"/>
    <w:basedOn w:val="1"/>
    <w:next w:val="1"/>
    <w:unhideWhenUsed/>
    <w:qFormat/>
    <w:uiPriority w:val="39"/>
    <w:pPr>
      <w:tabs>
        <w:tab w:val="right" w:leader="dot" w:pos="8296"/>
      </w:tabs>
      <w:autoSpaceDE w:val="0"/>
      <w:autoSpaceDN w:val="0"/>
      <w:spacing w:before="120" w:beforeLines="50" w:after="120" w:afterLines="50"/>
      <w:jc w:val="left"/>
    </w:pPr>
    <w:rPr>
      <w:rFonts w:ascii="等线" w:hAnsi="仿宋" w:cs="仿宋"/>
      <w:b/>
      <w:bCs/>
      <w:caps/>
      <w:color w:val="4472C4"/>
      <w:kern w:val="0"/>
      <w:szCs w:val="21"/>
    </w:rPr>
  </w:style>
  <w:style w:type="paragraph" w:customStyle="1" w:styleId="36">
    <w:name w:val="TOC 41"/>
    <w:basedOn w:val="1"/>
    <w:next w:val="1"/>
    <w:unhideWhenUsed/>
    <w:qFormat/>
    <w:uiPriority w:val="39"/>
    <w:pPr>
      <w:autoSpaceDE w:val="0"/>
      <w:autoSpaceDN w:val="0"/>
      <w:spacing w:before="50" w:beforeLines="50" w:after="50" w:afterLines="50"/>
      <w:ind w:left="630"/>
      <w:jc w:val="left"/>
    </w:pPr>
    <w:rPr>
      <w:rFonts w:ascii="等线" w:hAnsi="仿宋" w:eastAsia="等线" w:cs="仿宋"/>
      <w:kern w:val="0"/>
      <w:sz w:val="18"/>
      <w:szCs w:val="18"/>
    </w:rPr>
  </w:style>
  <w:style w:type="paragraph" w:customStyle="1" w:styleId="37">
    <w:name w:val="TOC 61"/>
    <w:basedOn w:val="1"/>
    <w:next w:val="1"/>
    <w:unhideWhenUsed/>
    <w:qFormat/>
    <w:uiPriority w:val="39"/>
    <w:pPr>
      <w:autoSpaceDE w:val="0"/>
      <w:autoSpaceDN w:val="0"/>
      <w:spacing w:before="50" w:beforeLines="50" w:after="50" w:afterLines="50"/>
      <w:ind w:left="1050"/>
      <w:jc w:val="left"/>
    </w:pPr>
    <w:rPr>
      <w:rFonts w:ascii="等线" w:hAnsi="仿宋" w:eastAsia="等线" w:cs="仿宋"/>
      <w:kern w:val="0"/>
      <w:sz w:val="18"/>
      <w:szCs w:val="18"/>
    </w:rPr>
  </w:style>
  <w:style w:type="paragraph" w:customStyle="1" w:styleId="38">
    <w:name w:val="TOC 21"/>
    <w:basedOn w:val="1"/>
    <w:next w:val="1"/>
    <w:unhideWhenUsed/>
    <w:qFormat/>
    <w:uiPriority w:val="39"/>
    <w:pPr>
      <w:autoSpaceDE w:val="0"/>
      <w:autoSpaceDN w:val="0"/>
      <w:spacing w:before="50" w:beforeLines="50" w:after="50" w:afterLines="50"/>
      <w:ind w:left="210"/>
      <w:jc w:val="left"/>
    </w:pPr>
    <w:rPr>
      <w:rFonts w:ascii="等线" w:hAnsi="仿宋" w:eastAsia="等线" w:cs="仿宋"/>
      <w:smallCaps/>
      <w:kern w:val="0"/>
      <w:sz w:val="20"/>
      <w:szCs w:val="20"/>
    </w:rPr>
  </w:style>
  <w:style w:type="paragraph" w:customStyle="1" w:styleId="39">
    <w:name w:val="TOC 91"/>
    <w:basedOn w:val="1"/>
    <w:next w:val="1"/>
    <w:unhideWhenUsed/>
    <w:qFormat/>
    <w:uiPriority w:val="39"/>
    <w:pPr>
      <w:autoSpaceDE w:val="0"/>
      <w:autoSpaceDN w:val="0"/>
      <w:spacing w:before="50" w:beforeLines="50" w:after="50" w:afterLines="50"/>
      <w:ind w:left="1680"/>
      <w:jc w:val="left"/>
    </w:pPr>
    <w:rPr>
      <w:rFonts w:ascii="等线" w:hAnsi="仿宋" w:eastAsia="等线" w:cs="仿宋"/>
      <w:kern w:val="0"/>
      <w:sz w:val="18"/>
      <w:szCs w:val="18"/>
    </w:rPr>
  </w:style>
  <w:style w:type="paragraph" w:customStyle="1" w:styleId="40">
    <w:name w:val="标题1"/>
    <w:basedOn w:val="1"/>
    <w:next w:val="1"/>
    <w:qFormat/>
    <w:uiPriority w:val="10"/>
    <w:pPr>
      <w:autoSpaceDE w:val="0"/>
      <w:autoSpaceDN w:val="0"/>
      <w:spacing w:before="240" w:beforeLines="50" w:after="60" w:afterLines="50"/>
      <w:jc w:val="center"/>
      <w:outlineLvl w:val="0"/>
    </w:pPr>
    <w:rPr>
      <w:rFonts w:ascii="等线 Light" w:hAnsi="等线 Light" w:cs="Times New Roman"/>
      <w:b/>
      <w:bCs/>
      <w:kern w:val="0"/>
      <w:sz w:val="48"/>
      <w:szCs w:val="32"/>
    </w:rPr>
  </w:style>
  <w:style w:type="character" w:customStyle="1" w:styleId="41">
    <w:name w:val="批注主题 字符"/>
    <w:basedOn w:val="27"/>
    <w:link w:val="15"/>
    <w:semiHidden/>
    <w:qFormat/>
    <w:uiPriority w:val="99"/>
    <w:rPr>
      <w:rFonts w:ascii="仿宋" w:hAnsi="仿宋" w:cs="仿宋"/>
      <w:b/>
      <w:bCs/>
      <w:kern w:val="0"/>
    </w:rPr>
  </w:style>
  <w:style w:type="character" w:customStyle="1" w:styleId="42">
    <w:name w:val="超链接1"/>
    <w:basedOn w:val="18"/>
    <w:unhideWhenUsed/>
    <w:qFormat/>
    <w:uiPriority w:val="99"/>
    <w:rPr>
      <w:color w:val="0563C1"/>
      <w:u w:val="single"/>
    </w:rPr>
  </w:style>
  <w:style w:type="character" w:customStyle="1" w:styleId="43">
    <w:name w:val="标题 1 字符"/>
    <w:basedOn w:val="18"/>
    <w:link w:val="2"/>
    <w:qFormat/>
    <w:uiPriority w:val="9"/>
    <w:rPr>
      <w:rFonts w:ascii="仿宋" w:hAnsi="仿宋" w:eastAsia="Times New Roman" w:cs="仿宋"/>
      <w:b/>
      <w:bCs/>
      <w:color w:val="4472C4"/>
      <w:kern w:val="44"/>
      <w:sz w:val="44"/>
      <w:szCs w:val="44"/>
    </w:rPr>
  </w:style>
  <w:style w:type="character" w:customStyle="1" w:styleId="44">
    <w:name w:val="标题 2 字符"/>
    <w:basedOn w:val="18"/>
    <w:link w:val="3"/>
    <w:qFormat/>
    <w:uiPriority w:val="9"/>
    <w:rPr>
      <w:rFonts w:ascii="等线 Light" w:hAnsi="等线 Light" w:eastAsia="Times New Roman" w:cs="Times New Roman"/>
      <w:b/>
      <w:bCs/>
      <w:kern w:val="0"/>
      <w:sz w:val="32"/>
      <w:szCs w:val="32"/>
    </w:rPr>
  </w:style>
  <w:style w:type="paragraph" w:styleId="45">
    <w:name w:val="No Spacing"/>
    <w:link w:val="46"/>
    <w:qFormat/>
    <w:uiPriority w:val="1"/>
    <w:rPr>
      <w:rFonts w:ascii="等线" w:hAnsi="等线" w:eastAsia="等线" w:cstheme="minorBidi"/>
      <w:kern w:val="0"/>
      <w:sz w:val="22"/>
      <w:szCs w:val="22"/>
      <w:lang w:val="en-US" w:eastAsia="zh-CN" w:bidi="ar-SA"/>
    </w:rPr>
  </w:style>
  <w:style w:type="character" w:customStyle="1" w:styleId="46">
    <w:name w:val="无间隔 字符"/>
    <w:basedOn w:val="18"/>
    <w:link w:val="45"/>
    <w:qFormat/>
    <w:uiPriority w:val="1"/>
    <w:rPr>
      <w:rFonts w:ascii="等线" w:hAnsi="等线" w:eastAsia="等线"/>
      <w:kern w:val="0"/>
      <w:sz w:val="22"/>
    </w:rPr>
  </w:style>
  <w:style w:type="paragraph" w:customStyle="1" w:styleId="47">
    <w:name w:val="TOC 标题1"/>
    <w:basedOn w:val="2"/>
    <w:next w:val="1"/>
    <w:unhideWhenUsed/>
    <w:qFormat/>
    <w:uiPriority w:val="39"/>
  </w:style>
  <w:style w:type="character" w:customStyle="1" w:styleId="48">
    <w:name w:val="标题 字符"/>
    <w:basedOn w:val="18"/>
    <w:link w:val="14"/>
    <w:qFormat/>
    <w:uiPriority w:val="10"/>
    <w:rPr>
      <w:rFonts w:ascii="等线 Light" w:hAnsi="等线 Light" w:eastAsia="仿宋" w:cs="Times New Roman"/>
      <w:b/>
      <w:bCs/>
      <w:kern w:val="0"/>
      <w:sz w:val="48"/>
      <w:szCs w:val="32"/>
    </w:rPr>
  </w:style>
  <w:style w:type="paragraph" w:styleId="49">
    <w:name w:val="List Paragraph"/>
    <w:basedOn w:val="1"/>
    <w:qFormat/>
    <w:uiPriority w:val="34"/>
    <w:pPr>
      <w:autoSpaceDE w:val="0"/>
      <w:autoSpaceDN w:val="0"/>
      <w:spacing w:before="50" w:beforeLines="50" w:after="50" w:afterLines="50"/>
      <w:ind w:firstLine="420" w:firstLineChars="200"/>
      <w:jc w:val="left"/>
    </w:pPr>
    <w:rPr>
      <w:rFonts w:ascii="仿宋" w:hAnsi="仿宋" w:cs="仿宋"/>
      <w:kern w:val="0"/>
    </w:rPr>
  </w:style>
  <w:style w:type="table" w:customStyle="1" w:styleId="50">
    <w:name w:val="网格表 4 - 着色 11"/>
    <w:basedOn w:val="16"/>
    <w:qFormat/>
    <w:uiPriority w:val="49"/>
    <w:rPr>
      <w:rFonts w:ascii="等线" w:hAnsi="等线" w:eastAsia="等线"/>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51">
    <w:name w:val="网格表 5 深色 - 着色 51"/>
    <w:basedOn w:val="16"/>
    <w:qFormat/>
    <w:uiPriority w:val="50"/>
    <w:rPr>
      <w:rFonts w:ascii="等线" w:hAnsi="等线" w:eastAsia="等线"/>
      <w:kern w:val="0"/>
      <w:sz w:val="20"/>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52">
    <w:name w:val="网格表 5 深色 - 着色 11"/>
    <w:basedOn w:val="16"/>
    <w:qFormat/>
    <w:uiPriority w:val="50"/>
    <w:rPr>
      <w:rFonts w:ascii="等线" w:hAnsi="等线" w:eastAsia="等线"/>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53">
    <w:name w:val="网格表 4 - 着色 51"/>
    <w:basedOn w:val="16"/>
    <w:qFormat/>
    <w:uiPriority w:val="49"/>
    <w:rPr>
      <w:rFonts w:ascii="等线" w:hAnsi="等线" w:eastAsia="等线"/>
      <w:kern w:val="0"/>
      <w:sz w:val="20"/>
      <w:szCs w:val="20"/>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54">
    <w:name w:val="网格表 5 深色 - 着色 114"/>
    <w:basedOn w:val="16"/>
    <w:qFormat/>
    <w:uiPriority w:val="50"/>
    <w:rPr>
      <w:rFonts w:ascii="等线" w:hAnsi="等线" w:eastAsia="等线" w:cs="Times New Roman"/>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55">
    <w:name w:val="网格表 4 - 着色 12"/>
    <w:basedOn w:val="16"/>
    <w:qFormat/>
    <w:uiPriority w:val="49"/>
    <w:rPr>
      <w:rFonts w:ascii="Times New Roman" w:hAnsi="Times New Roman" w:cs="Times New Roman"/>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56">
    <w:name w:val="网格表 4 - 着色 111"/>
    <w:basedOn w:val="16"/>
    <w:qFormat/>
    <w:uiPriority w:val="49"/>
    <w:rPr>
      <w:rFonts w:ascii="等线" w:hAnsi="等线" w:eastAsia="等线"/>
      <w:kern w:val="0"/>
      <w:sz w:val="20"/>
      <w:szCs w:val="21"/>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57">
    <w:name w:val="网格表 4 - 着色 1215"/>
    <w:basedOn w:val="16"/>
    <w:qFormat/>
    <w:uiPriority w:val="49"/>
    <w:rPr>
      <w:rFonts w:ascii="Times New Roman" w:hAnsi="Times New Roman" w:cs="Times New Roman"/>
      <w:kern w:val="0"/>
      <w:sz w:val="20"/>
      <w:szCs w:val="20"/>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58">
    <w:name w:val="网格表 4 - 着色 13"/>
    <w:basedOn w:val="16"/>
    <w:qFormat/>
    <w:uiPriority w:val="49"/>
    <w:rPr>
      <w:rFonts w:ascii="等线" w:hAnsi="等线" w:eastAsia="等线"/>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59">
    <w:name w:val="标题 4 字符"/>
    <w:basedOn w:val="18"/>
    <w:link w:val="5"/>
    <w:qFormat/>
    <w:uiPriority w:val="9"/>
    <w:rPr>
      <w:rFonts w:ascii="等线 Light" w:hAnsi="等线 Light" w:eastAsia="等线 Light" w:cs="Times New Roman"/>
      <w:b/>
      <w:bCs/>
      <w:kern w:val="0"/>
      <w:sz w:val="28"/>
      <w:szCs w:val="28"/>
    </w:rPr>
  </w:style>
  <w:style w:type="table" w:customStyle="1" w:styleId="60">
    <w:name w:val="网格表 5 深色 - 着色 12"/>
    <w:basedOn w:val="16"/>
    <w:qFormat/>
    <w:uiPriority w:val="50"/>
    <w:rPr>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paragraph" w:customStyle="1" w:styleId="61">
    <w:name w:val="sxwz正文"/>
    <w:basedOn w:val="1"/>
    <w:qFormat/>
    <w:uiPriority w:val="0"/>
    <w:pPr>
      <w:widowControl/>
      <w:topLinePunct/>
      <w:spacing w:line="360" w:lineRule="auto"/>
      <w:ind w:firstLine="200" w:firstLineChars="200"/>
    </w:pPr>
    <w:rPr>
      <w:rFonts w:ascii="Times New Roman" w:hAnsi="Times New Roman" w:eastAsia="仿宋" w:cs="Times New Roman"/>
      <w:kern w:val="0"/>
      <w:sz w:val="24"/>
    </w:rPr>
  </w:style>
  <w:style w:type="character" w:customStyle="1" w:styleId="62">
    <w:name w:val="Unresolved Mention"/>
    <w:basedOn w:val="18"/>
    <w:semiHidden/>
    <w:unhideWhenUsed/>
    <w:qFormat/>
    <w:uiPriority w:val="99"/>
    <w:rPr>
      <w:color w:val="605E5C"/>
      <w:shd w:val="clear" w:color="auto" w:fill="E1DFDD"/>
    </w:rPr>
  </w:style>
  <w:style w:type="table" w:customStyle="1" w:styleId="63">
    <w:name w:val="网格表 4 - 着色 1222"/>
    <w:basedOn w:val="16"/>
    <w:qFormat/>
    <w:uiPriority w:val="49"/>
    <w:pPr>
      <w:jc w:val="center"/>
    </w:pPr>
    <w:rPr>
      <w:rFonts w:ascii="Times New Roman" w:hAnsi="Times New Roman" w:cs="Times New Roman"/>
      <w:kern w:val="0"/>
      <w:sz w:val="20"/>
      <w:szCs w:val="20"/>
    </w:r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4">
    <w:name w:val="网格表 5 深色 - 着色 112"/>
    <w:basedOn w:val="16"/>
    <w:qFormat/>
    <w:uiPriority w:val="50"/>
    <w:rPr>
      <w:rFonts w:ascii="等线" w:hAnsi="等线" w:eastAsia="等线" w:cs="Times New Roman"/>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65">
    <w:name w:val="网格表 4 - 着色 127"/>
    <w:basedOn w:val="16"/>
    <w:qFormat/>
    <w:uiPriority w:val="49"/>
    <w:rPr>
      <w:rFonts w:ascii="Times New Roman" w:hAnsi="Times New Roman" w:cs="Times New Roman"/>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66">
    <w:name w:val="网格表 4 - 着色 14"/>
    <w:basedOn w:val="16"/>
    <w:qFormat/>
    <w:uiPriority w:val="49"/>
    <w:rPr>
      <w:rFonts w:ascii="等线" w:hAnsi="等线" w:eastAsia="等线"/>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67">
    <w:name w:val="标题 1 字符1"/>
    <w:basedOn w:val="18"/>
    <w:link w:val="2"/>
    <w:qFormat/>
    <w:uiPriority w:val="9"/>
    <w:rPr>
      <w:b/>
      <w:bCs/>
      <w:kern w:val="44"/>
      <w:sz w:val="44"/>
      <w:szCs w:val="44"/>
    </w:rPr>
  </w:style>
  <w:style w:type="character" w:customStyle="1" w:styleId="68">
    <w:name w:val="标题 2 字符1"/>
    <w:basedOn w:val="18"/>
    <w:link w:val="3"/>
    <w:semiHidden/>
    <w:qFormat/>
    <w:uiPriority w:val="9"/>
    <w:rPr>
      <w:rFonts w:asciiTheme="majorHAnsi" w:hAnsiTheme="majorHAnsi" w:eastAsiaTheme="majorEastAsia" w:cstheme="majorBidi"/>
      <w:b/>
      <w:bCs/>
      <w:sz w:val="32"/>
      <w:szCs w:val="32"/>
    </w:rPr>
  </w:style>
  <w:style w:type="character" w:customStyle="1" w:styleId="69">
    <w:name w:val="标题 字符1"/>
    <w:basedOn w:val="18"/>
    <w:link w:val="14"/>
    <w:qFormat/>
    <w:uiPriority w:val="10"/>
    <w:rPr>
      <w:rFonts w:asciiTheme="majorHAnsi" w:hAnsiTheme="majorHAnsi" w:eastAsiaTheme="majorEastAsia" w:cstheme="majorBidi"/>
      <w:b/>
      <w:bCs/>
      <w:sz w:val="32"/>
      <w:szCs w:val="32"/>
    </w:rPr>
  </w:style>
  <w:style w:type="character" w:customStyle="1" w:styleId="70">
    <w:name w:val="标题 4 字符1"/>
    <w:basedOn w:val="18"/>
    <w:link w:val="5"/>
    <w:semiHidden/>
    <w:qFormat/>
    <w:uiPriority w:val="9"/>
    <w:rPr>
      <w:rFonts w:asciiTheme="majorHAnsi" w:hAnsiTheme="majorHAnsi" w:eastAsiaTheme="majorEastAsia" w:cstheme="majorBidi"/>
      <w:b/>
      <w:bCs/>
      <w:sz w:val="28"/>
      <w:szCs w:val="28"/>
    </w:rPr>
  </w:style>
  <w:style w:type="table" w:customStyle="1" w:styleId="71">
    <w:name w:val="Grid Table 5 Dark Accent 1"/>
    <w:basedOn w:val="1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72">
    <w:name w:val="Grid Table 4 Accent 1"/>
    <w:basedOn w:val="16"/>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paragraph" w:customStyle="1" w:styleId="7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3.xml"/><Relationship Id="rId18" Type="http://schemas.openxmlformats.org/officeDocument/2006/relationships/chart" Target="charts/chart2.xml"/><Relationship Id="rId17" Type="http://schemas.openxmlformats.org/officeDocument/2006/relationships/image" Target="media/image8.emf"/><Relationship Id="rId16" Type="http://schemas.openxmlformats.org/officeDocument/2006/relationships/chart" Target="charts/chart1.xml"/><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E:\&#23398;&#26657;\&#21270;&#24037;\&#21270;&#24037;&#35774;&#35745;&#31454;&#36187;\&#21326;&#19996;&#36187;\&#32463;&#27982;&#20998;&#26512;.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E:\&#23398;&#26657;\&#21270;&#24037;\&#21270;&#24037;&#35774;&#35745;&#31454;&#36187;\&#21326;&#19996;&#36187;\&#32463;&#27982;&#20998;&#2651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E:\&#23398;&#26657;\&#21270;&#24037;\&#21270;&#24037;&#35774;&#35745;&#31454;&#36187;\&#21326;&#19996;&#36187;\&#32463;&#27982;&#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财务报表!$C$53:$R$53</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财务报表!$C$67:$R$67</c:f>
              <c:numCache>
                <c:formatCode>General</c:formatCode>
                <c:ptCount val="16"/>
                <c:pt idx="0">
                  <c:v>0</c:v>
                </c:pt>
                <c:pt idx="1">
                  <c:v>-35738.4499504225</c:v>
                </c:pt>
                <c:pt idx="2">
                  <c:v>-5346.11934653697</c:v>
                </c:pt>
                <c:pt idx="3">
                  <c:v>34301.1628584587</c:v>
                </c:pt>
                <c:pt idx="4">
                  <c:v>78575.9208640094</c:v>
                </c:pt>
                <c:pt idx="5">
                  <c:v>122850.67886956</c:v>
                </c:pt>
                <c:pt idx="6">
                  <c:v>167125.436875111</c:v>
                </c:pt>
                <c:pt idx="7">
                  <c:v>211318.820726773</c:v>
                </c:pt>
                <c:pt idx="8">
                  <c:v>257593.578732324</c:v>
                </c:pt>
                <c:pt idx="9">
                  <c:v>303868.336737875</c:v>
                </c:pt>
                <c:pt idx="10">
                  <c:v>350143.094743425</c:v>
                </c:pt>
                <c:pt idx="11">
                  <c:v>396417.852748976</c:v>
                </c:pt>
                <c:pt idx="12">
                  <c:v>442692.610754527</c:v>
                </c:pt>
                <c:pt idx="13">
                  <c:v>488967.368760078</c:v>
                </c:pt>
                <c:pt idx="14">
                  <c:v>535242.126765628</c:v>
                </c:pt>
                <c:pt idx="15">
                  <c:v>581516.884771179</c:v>
                </c:pt>
              </c:numCache>
            </c:numRef>
          </c:yVal>
          <c:smooth val="1"/>
        </c:ser>
        <c:dLbls>
          <c:showLegendKey val="0"/>
          <c:showVal val="0"/>
          <c:showCatName val="0"/>
          <c:showSerName val="0"/>
          <c:showPercent val="0"/>
          <c:showBubbleSize val="0"/>
        </c:dLbls>
        <c:axId val="982032320"/>
        <c:axId val="1169928992"/>
      </c:scatterChart>
      <c:valAx>
        <c:axId val="982032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年份</a:t>
                </a:r>
                <a:endParaRPr lang="en-US" altLang="zh-CN"/>
              </a:p>
            </c:rich>
          </c:tx>
          <c:layout>
            <c:manualLayout>
              <c:xMode val="edge"/>
              <c:yMode val="edge"/>
              <c:x val="0.885610758416356"/>
              <c:y val="0.7331100802889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69928992"/>
        <c:crosses val="autoZero"/>
        <c:crossBetween val="midCat"/>
      </c:valAx>
      <c:valAx>
        <c:axId val="116992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累计折现值（万元）</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20323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盈亏平衡分析</a:t>
            </a:r>
            <a:endParaRPr lang="zh-CN" altLang="en-US"/>
          </a:p>
        </c:rich>
      </c:tx>
      <c:layout/>
      <c:overlay val="0"/>
      <c:spPr>
        <a:noFill/>
        <a:ln>
          <a:noFill/>
        </a:ln>
        <a:effectLst/>
      </c:spPr>
    </c:title>
    <c:autoTitleDeleted val="0"/>
    <c:plotArea>
      <c:layout/>
      <c:scatterChart>
        <c:scatterStyle val="lineMarker"/>
        <c:varyColors val="0"/>
        <c:ser>
          <c:idx val="0"/>
          <c:order val="0"/>
          <c:tx>
            <c:strRef>
              <c:f>销售收入</c:f>
              <c:strCache>
                <c:ptCount val="1"/>
                <c:pt idx="0">
                  <c:v>销售收入</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不确定分析!$B$12:$L$12</c:f>
              <c:numCache>
                <c:formatCode>0_ </c:formatCode>
                <c:ptCount val="11"/>
                <c:pt idx="0">
                  <c:v>0</c:v>
                </c:pt>
                <c:pt idx="1">
                  <c:v>1</c:v>
                </c:pt>
                <c:pt idx="2">
                  <c:v>2</c:v>
                </c:pt>
                <c:pt idx="3">
                  <c:v>3</c:v>
                </c:pt>
                <c:pt idx="4">
                  <c:v>4</c:v>
                </c:pt>
                <c:pt idx="5">
                  <c:v>5</c:v>
                </c:pt>
                <c:pt idx="6">
                  <c:v>6</c:v>
                </c:pt>
                <c:pt idx="7">
                  <c:v>7</c:v>
                </c:pt>
                <c:pt idx="8">
                  <c:v>8</c:v>
                </c:pt>
                <c:pt idx="9">
                  <c:v>9</c:v>
                </c:pt>
                <c:pt idx="10">
                  <c:v>10</c:v>
                </c:pt>
              </c:numCache>
            </c:numRef>
          </c:xVal>
          <c:yVal>
            <c:numRef>
              <c:f>不确定分析!$B$13:$L$13</c:f>
              <c:numCache>
                <c:formatCode>0.00_ </c:formatCode>
                <c:ptCount val="11"/>
                <c:pt idx="0">
                  <c:v>0</c:v>
                </c:pt>
                <c:pt idx="1">
                  <c:v>40049.1921090218</c:v>
                </c:pt>
                <c:pt idx="2">
                  <c:v>80098.3842180435</c:v>
                </c:pt>
                <c:pt idx="3">
                  <c:v>120147.576327065</c:v>
                </c:pt>
                <c:pt idx="4">
                  <c:v>160196.768436087</c:v>
                </c:pt>
                <c:pt idx="5">
                  <c:v>200245.960545109</c:v>
                </c:pt>
                <c:pt idx="6">
                  <c:v>240295.152654131</c:v>
                </c:pt>
                <c:pt idx="7">
                  <c:v>280344.344763152</c:v>
                </c:pt>
                <c:pt idx="8">
                  <c:v>320393.536872174</c:v>
                </c:pt>
                <c:pt idx="9">
                  <c:v>360442.728981196</c:v>
                </c:pt>
                <c:pt idx="10">
                  <c:v>400491.921090218</c:v>
                </c:pt>
              </c:numCache>
            </c:numRef>
          </c:yVal>
          <c:smooth val="0"/>
        </c:ser>
        <c:ser>
          <c:idx val="1"/>
          <c:order val="1"/>
          <c:tx>
            <c:strRef>
              <c:f>总成本</c:f>
              <c:strCache>
                <c:ptCount val="1"/>
                <c:pt idx="0">
                  <c:v>总成本</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不确定分析!$B$12:$L$12</c:f>
              <c:numCache>
                <c:formatCode>0_ </c:formatCode>
                <c:ptCount val="11"/>
                <c:pt idx="0">
                  <c:v>0</c:v>
                </c:pt>
                <c:pt idx="1">
                  <c:v>1</c:v>
                </c:pt>
                <c:pt idx="2">
                  <c:v>2</c:v>
                </c:pt>
                <c:pt idx="3">
                  <c:v>3</c:v>
                </c:pt>
                <c:pt idx="4">
                  <c:v>4</c:v>
                </c:pt>
                <c:pt idx="5">
                  <c:v>5</c:v>
                </c:pt>
                <c:pt idx="6">
                  <c:v>6</c:v>
                </c:pt>
                <c:pt idx="7">
                  <c:v>7</c:v>
                </c:pt>
                <c:pt idx="8">
                  <c:v>8</c:v>
                </c:pt>
                <c:pt idx="9">
                  <c:v>9</c:v>
                </c:pt>
                <c:pt idx="10">
                  <c:v>10</c:v>
                </c:pt>
              </c:numCache>
            </c:numRef>
          </c:xVal>
          <c:yVal>
            <c:numRef>
              <c:f>不确定分析!$B$14:$L$14</c:f>
              <c:numCache>
                <c:formatCode>0.00_ </c:formatCode>
                <c:ptCount val="11"/>
                <c:pt idx="0">
                  <c:v>4317.34159588195</c:v>
                </c:pt>
                <c:pt idx="1">
                  <c:v>38915.0983657275</c:v>
                </c:pt>
                <c:pt idx="2">
                  <c:v>73512.855135573</c:v>
                </c:pt>
                <c:pt idx="3">
                  <c:v>108110.611905419</c:v>
                </c:pt>
                <c:pt idx="4">
                  <c:v>142708.368675264</c:v>
                </c:pt>
                <c:pt idx="5">
                  <c:v>177306.12544511</c:v>
                </c:pt>
                <c:pt idx="6">
                  <c:v>211903.882214955</c:v>
                </c:pt>
                <c:pt idx="7">
                  <c:v>246501.638984801</c:v>
                </c:pt>
                <c:pt idx="8">
                  <c:v>281099.395754646</c:v>
                </c:pt>
                <c:pt idx="9">
                  <c:v>315697.152524492</c:v>
                </c:pt>
                <c:pt idx="10">
                  <c:v>350294.909294337</c:v>
                </c:pt>
              </c:numCache>
            </c:numRef>
          </c:yVal>
          <c:smooth val="0"/>
        </c:ser>
        <c:dLbls>
          <c:showLegendKey val="0"/>
          <c:showVal val="0"/>
          <c:showCatName val="0"/>
          <c:showSerName val="0"/>
          <c:showPercent val="0"/>
          <c:showBubbleSize val="0"/>
        </c:dLbls>
        <c:axId val="1009565728"/>
        <c:axId val="1214912288"/>
      </c:scatterChart>
      <c:valAx>
        <c:axId val="1009565728"/>
        <c:scaling>
          <c:orientation val="minMax"/>
        </c:scaling>
        <c:delete val="0"/>
        <c:axPos val="b"/>
        <c:majorGridlines>
          <c:spPr>
            <a:ln w="9525" cap="flat" cmpd="sng" algn="ctr">
              <a:solidFill>
                <a:schemeClr val="tx1">
                  <a:lumMod val="15000"/>
                  <a:lumOff val="85000"/>
                </a:schemeClr>
              </a:solidFill>
              <a:round/>
            </a:ln>
            <a:effectLst/>
          </c:spPr>
        </c:majorGridlines>
        <c:numFmt formatCode="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14912288"/>
        <c:crosses val="autoZero"/>
        <c:crossBetween val="midCat"/>
      </c:valAx>
      <c:valAx>
        <c:axId val="121491228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9565728"/>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敏感性分析</a:t>
            </a:r>
            <a:endParaRPr lang="zh-CN" altLang="en-US"/>
          </a:p>
        </c:rich>
      </c:tx>
      <c:layout/>
      <c:overlay val="0"/>
      <c:spPr>
        <a:noFill/>
        <a:ln>
          <a:noFill/>
        </a:ln>
        <a:effectLst/>
      </c:spPr>
    </c:title>
    <c:autoTitleDeleted val="0"/>
    <c:plotArea>
      <c:layout/>
      <c:scatterChart>
        <c:scatterStyle val="lineMarker"/>
        <c:varyColors val="0"/>
        <c:ser>
          <c:idx val="0"/>
          <c:order val="0"/>
          <c:tx>
            <c:strRef>
              <c:f>经营成本</c:f>
              <c:strCache>
                <c:ptCount val="1"/>
                <c:pt idx="0">
                  <c:v>经营成本</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不确定分析!$B$18:$F$18</c:f>
              <c:numCache>
                <c:formatCode>0%</c:formatCode>
                <c:ptCount val="5"/>
                <c:pt idx="0">
                  <c:v>-0.1</c:v>
                </c:pt>
                <c:pt idx="1">
                  <c:v>-0.05</c:v>
                </c:pt>
                <c:pt idx="2">
                  <c:v>0</c:v>
                </c:pt>
                <c:pt idx="3">
                  <c:v>0.05</c:v>
                </c:pt>
                <c:pt idx="4">
                  <c:v>0.1</c:v>
                </c:pt>
              </c:numCache>
            </c:numRef>
          </c:xVal>
          <c:yVal>
            <c:numRef>
              <c:f>不确定分析!$B$20:$F$20</c:f>
              <c:numCache>
                <c:formatCode>0.00_ </c:formatCode>
                <c:ptCount val="5"/>
                <c:pt idx="0">
                  <c:v>219748.912507703</c:v>
                </c:pt>
                <c:pt idx="1">
                  <c:v>207791.121550549</c:v>
                </c:pt>
                <c:pt idx="2">
                  <c:v>196029.359953348</c:v>
                </c:pt>
                <c:pt idx="3">
                  <c:v>184267.598356147</c:v>
                </c:pt>
                <c:pt idx="4">
                  <c:v>172113.778039039</c:v>
                </c:pt>
              </c:numCache>
            </c:numRef>
          </c:yVal>
          <c:smooth val="0"/>
        </c:ser>
        <c:ser>
          <c:idx val="1"/>
          <c:order val="1"/>
          <c:tx>
            <c:strRef>
              <c:f>己二腈产量</c:f>
              <c:strCache>
                <c:ptCount val="1"/>
                <c:pt idx="0">
                  <c:v>己二腈产量</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不确定分析!$B$23:$F$23</c:f>
              <c:numCache>
                <c:formatCode>0%</c:formatCode>
                <c:ptCount val="5"/>
                <c:pt idx="0">
                  <c:v>-0.1</c:v>
                </c:pt>
                <c:pt idx="1">
                  <c:v>-0.05</c:v>
                </c:pt>
                <c:pt idx="2">
                  <c:v>0</c:v>
                </c:pt>
                <c:pt idx="3">
                  <c:v>0.05</c:v>
                </c:pt>
                <c:pt idx="4">
                  <c:v>0.1</c:v>
                </c:pt>
              </c:numCache>
            </c:numRef>
          </c:xVal>
          <c:yVal>
            <c:numRef>
              <c:f>不确定分析!$B$25:$F$25</c:f>
              <c:numCache>
                <c:formatCode>0.00_ </c:formatCode>
                <c:ptCount val="5"/>
                <c:pt idx="0">
                  <c:v>173485.983558713</c:v>
                </c:pt>
                <c:pt idx="1">
                  <c:v>185247.745155914</c:v>
                </c:pt>
                <c:pt idx="2">
                  <c:v>196029.359953348</c:v>
                </c:pt>
                <c:pt idx="3">
                  <c:v>206810.974750782</c:v>
                </c:pt>
                <c:pt idx="4">
                  <c:v>218180.677628076</c:v>
                </c:pt>
              </c:numCache>
            </c:numRef>
          </c:yVal>
          <c:smooth val="0"/>
        </c:ser>
        <c:ser>
          <c:idx val="2"/>
          <c:order val="2"/>
          <c:tx>
            <c:strRef>
              <c:f>己二腈价格</c:f>
              <c:strCache>
                <c:ptCount val="1"/>
                <c:pt idx="0">
                  <c:v>己二腈价格</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不确定分析!$B$28:$F$28</c:f>
              <c:numCache>
                <c:formatCode>0%</c:formatCode>
                <c:ptCount val="5"/>
                <c:pt idx="0">
                  <c:v>-0.1</c:v>
                </c:pt>
                <c:pt idx="1">
                  <c:v>-0.05</c:v>
                </c:pt>
                <c:pt idx="2">
                  <c:v>0</c:v>
                </c:pt>
                <c:pt idx="3">
                  <c:v>0.05</c:v>
                </c:pt>
                <c:pt idx="4">
                  <c:v>0.1</c:v>
                </c:pt>
              </c:numCache>
            </c:numRef>
          </c:xVal>
          <c:yVal>
            <c:numRef>
              <c:f>不确定分析!$B$30:$F$30</c:f>
              <c:numCache>
                <c:formatCode>0.00_ </c:formatCode>
                <c:ptCount val="5"/>
                <c:pt idx="0">
                  <c:v>160940.104521699</c:v>
                </c:pt>
                <c:pt idx="1">
                  <c:v>178386.717557547</c:v>
                </c:pt>
                <c:pt idx="2">
                  <c:v>196029.359953348</c:v>
                </c:pt>
                <c:pt idx="3">
                  <c:v>213672.002349149</c:v>
                </c:pt>
                <c:pt idx="4">
                  <c:v>231706.703464857</c:v>
                </c:pt>
              </c:numCache>
            </c:numRef>
          </c:yVal>
          <c:smooth val="0"/>
        </c:ser>
        <c:dLbls>
          <c:showLegendKey val="0"/>
          <c:showVal val="0"/>
          <c:showCatName val="0"/>
          <c:showSerName val="0"/>
          <c:showPercent val="0"/>
          <c:showBubbleSize val="0"/>
        </c:dLbls>
        <c:axId val="215362847"/>
        <c:axId val="645747695"/>
      </c:scatterChart>
      <c:valAx>
        <c:axId val="2153628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变动幅度</a:t>
                </a:r>
                <a:endParaRPr lang="zh-CN" altLang="en-US"/>
              </a:p>
            </c:rich>
          </c:tx>
          <c:layout/>
          <c:overlay val="0"/>
          <c:spPr>
            <a:noFill/>
            <a:ln>
              <a:noFill/>
            </a:ln>
            <a:effectLst/>
          </c:sp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5747695"/>
        <c:crosses val="autoZero"/>
        <c:crossBetween val="midCat"/>
      </c:valAx>
      <c:valAx>
        <c:axId val="645747695"/>
        <c:scaling>
          <c:orientation val="minMax"/>
          <c:min val="1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净现值（万元）</a:t>
                </a:r>
                <a:endParaRPr lang="zh-CN" altLang="en-US"/>
              </a:p>
            </c:rich>
          </c:tx>
          <c:layout/>
          <c:overlay val="0"/>
          <c:spPr>
            <a:noFill/>
            <a:ln>
              <a:noFill/>
            </a:ln>
            <a:effectLst/>
          </c:spPr>
        </c:title>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5362847"/>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0840E4-6F8D-45B9-8504-E82549588B9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3612</Words>
  <Characters>20595</Characters>
  <Lines>171</Lines>
  <Paragraphs>48</Paragraphs>
  <TotalTime>0</TotalTime>
  <ScaleCrop>false</ScaleCrop>
  <LinksUpToDate>false</LinksUpToDate>
  <CharactersWithSpaces>24159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2023-07-30T20:11:00Z</dcterms:created>
  <dc:creator>Administrator</dc:creator>
  <cp:lastModifiedBy>林锕</cp:lastModifiedBy>
  <dcterms:modified xsi:type="dcterms:W3CDTF">2023-07-30T22:17:29Z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5B53CE37F122404585DBB2823D1159AA_12</vt:lpwstr>
  </property>
</Properties>
</file>