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spacing w:before="156" w:after="156"/>
        <w:ind w:left="0" w:leftChars="0" w:firstLine="0" w:firstLineChars="0"/>
        <w:jc w:val="center"/>
        <w:rPr>
          <w:rFonts w:ascii="楷体" w:hAnsi="楷体" w:eastAsia="楷体"/>
          <w:b/>
          <w:sz w:val="36"/>
          <w:szCs w:val="36"/>
        </w:rPr>
      </w:pPr>
      <w:bookmarkStart w:id="0" w:name="_Hlk140661555"/>
      <w:bookmarkEnd w:id="0"/>
      <w:r>
        <w:rPr>
          <w:rFonts w:ascii="楷体" w:hAnsi="楷体" w:eastAsia="楷体"/>
        </w:rPr>
        <w:drawing>
          <wp:anchor distT="0" distB="0" distL="0" distR="0" simplePos="0" relativeHeight="251663360"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2"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lang w:val="en-US" w:eastAsia="zh-CN"/>
        </w:rPr>
        <w:t>华亿股份杯</w:t>
      </w:r>
      <w:r>
        <w:rPr>
          <w:rFonts w:ascii="楷体" w:hAnsi="楷体" w:eastAsia="楷体"/>
          <w:b/>
          <w:sz w:val="36"/>
          <w:szCs w:val="36"/>
        </w:rPr>
        <w:t>”</w:t>
      </w:r>
    </w:p>
    <w:p>
      <w:pPr>
        <w:pStyle w:val="9"/>
        <w:spacing w:before="156" w:after="156"/>
        <w:ind w:left="0" w:leftChars="0" w:firstLine="0" w:firstLineChars="0"/>
        <w:jc w:val="center"/>
        <w:outlineLvl w:val="0"/>
        <w:rPr>
          <w:rFonts w:ascii="楷体" w:hAnsi="楷体" w:eastAsia="楷体"/>
          <w:b/>
          <w:sz w:val="36"/>
          <w:szCs w:val="36"/>
        </w:rPr>
      </w:pPr>
      <w:bookmarkStart w:id="1" w:name="_Toc3755"/>
      <w:bookmarkStart w:id="2" w:name="_Toc17817"/>
      <w:bookmarkStart w:id="3" w:name="_Toc23377"/>
      <w:bookmarkStart w:id="4" w:name="_Toc21352"/>
      <w:r>
        <w:rPr>
          <w:rFonts w:hint="eastAsia" w:ascii="楷体" w:hAnsi="楷体" w:eastAsia="楷体"/>
          <w:b/>
          <w:sz w:val="36"/>
          <w:szCs w:val="36"/>
        </w:rPr>
        <w:t>第十</w:t>
      </w:r>
      <w:r>
        <w:rPr>
          <w:rFonts w:hint="eastAsia" w:ascii="楷体" w:hAnsi="楷体" w:eastAsia="楷体"/>
          <w:b/>
          <w:sz w:val="36"/>
          <w:szCs w:val="36"/>
          <w:lang w:val="en-US" w:eastAsia="zh-CN"/>
        </w:rPr>
        <w:t>七</w:t>
      </w:r>
      <w:r>
        <w:rPr>
          <w:rFonts w:hint="eastAsia" w:ascii="楷体" w:hAnsi="楷体" w:eastAsia="楷体"/>
          <w:b/>
          <w:sz w:val="36"/>
          <w:szCs w:val="36"/>
        </w:rPr>
        <w:t>届</w:t>
      </w:r>
      <w:r>
        <w:rPr>
          <w:rFonts w:hint="eastAsia" w:ascii="楷体" w:hAnsi="楷体" w:eastAsia="楷体"/>
          <w:b/>
          <w:sz w:val="36"/>
          <w:szCs w:val="36"/>
          <w:lang w:val="en-US" w:eastAsia="zh-CN"/>
        </w:rPr>
        <w:t>全国</w:t>
      </w:r>
      <w:r>
        <w:rPr>
          <w:rFonts w:hint="eastAsia" w:ascii="楷体" w:hAnsi="楷体" w:eastAsia="楷体"/>
          <w:b/>
          <w:sz w:val="36"/>
          <w:szCs w:val="36"/>
        </w:rPr>
        <w:t>大学生化工设计竞赛</w:t>
      </w:r>
      <w:bookmarkEnd w:id="1"/>
      <w:bookmarkEnd w:id="2"/>
      <w:bookmarkEnd w:id="3"/>
      <w:bookmarkEnd w:id="4"/>
    </w:p>
    <w:p>
      <w:pPr>
        <w:pStyle w:val="9"/>
        <w:spacing w:before="156" w:after="156"/>
        <w:jc w:val="center"/>
        <w:rPr>
          <w:rFonts w:ascii="宋体" w:hAnsi="宋体"/>
          <w:sz w:val="20"/>
        </w:rPr>
      </w:pPr>
    </w:p>
    <w:p>
      <w:pPr>
        <w:pStyle w:val="9"/>
        <w:spacing w:before="156" w:after="156"/>
        <w:ind w:left="0" w:leftChars="0" w:firstLine="0" w:firstLineChars="0"/>
        <w:jc w:val="center"/>
        <w:outlineLvl w:val="0"/>
        <w:rPr>
          <w:rFonts w:ascii="楷体" w:hAnsi="楷体" w:eastAsia="楷体"/>
          <w:b/>
          <w:sz w:val="48"/>
          <w:szCs w:val="48"/>
        </w:rPr>
      </w:pPr>
      <w:bookmarkStart w:id="5" w:name="_Toc25062"/>
      <w:bookmarkStart w:id="6" w:name="_Toc11633"/>
      <w:r>
        <w:rPr>
          <w:rFonts w:hint="eastAsia" w:ascii="楷体" w:hAnsi="楷体" w:eastAsia="楷体"/>
          <w:b/>
          <w:sz w:val="48"/>
          <w:szCs w:val="48"/>
        </w:rPr>
        <w:t>重庆华峰化工有限公司</w:t>
      </w:r>
      <w:bookmarkEnd w:id="5"/>
      <w:bookmarkEnd w:id="6"/>
    </w:p>
    <w:p>
      <w:pPr>
        <w:pStyle w:val="9"/>
        <w:spacing w:before="156" w:after="156"/>
        <w:ind w:left="0" w:leftChars="0" w:firstLine="0" w:firstLineChars="0"/>
        <w:jc w:val="center"/>
        <w:outlineLvl w:val="0"/>
        <w:rPr>
          <w:rFonts w:ascii="楷体" w:hAnsi="楷体" w:eastAsia="楷体"/>
          <w:b/>
          <w:sz w:val="48"/>
          <w:szCs w:val="48"/>
        </w:rPr>
      </w:pPr>
      <w:bookmarkStart w:id="7" w:name="_Toc10427"/>
      <w:bookmarkStart w:id="8" w:name="_Toc2331"/>
      <w:r>
        <w:rPr>
          <w:rFonts w:hint="eastAsia" w:ascii="楷体" w:hAnsi="楷体" w:eastAsia="楷体"/>
          <w:b/>
          <w:sz w:val="48"/>
          <w:szCs w:val="48"/>
          <w:lang w:val="en-US" w:eastAsia="zh-CN"/>
        </w:rPr>
        <w:t>10</w:t>
      </w:r>
      <w:r>
        <w:rPr>
          <w:rFonts w:ascii="楷体" w:hAnsi="楷体" w:eastAsia="楷体"/>
          <w:b/>
          <w:sz w:val="48"/>
          <w:szCs w:val="48"/>
        </w:rPr>
        <w:t>.5</w:t>
      </w:r>
      <w:r>
        <w:rPr>
          <w:rFonts w:hint="eastAsia" w:ascii="楷体" w:hAnsi="楷体" w:eastAsia="楷体"/>
          <w:b/>
          <w:sz w:val="48"/>
          <w:szCs w:val="48"/>
        </w:rPr>
        <w:t>万吨/年</w:t>
      </w:r>
      <w:r>
        <w:rPr>
          <w:rFonts w:hint="eastAsia" w:ascii="楷体" w:hAnsi="楷体" w:eastAsia="楷体"/>
          <w:b/>
          <w:sz w:val="48"/>
          <w:szCs w:val="48"/>
          <w:lang w:val="en-US" w:eastAsia="zh-CN"/>
        </w:rPr>
        <w:t>99.99wt%</w:t>
      </w:r>
      <w:r>
        <w:rPr>
          <w:rFonts w:hint="eastAsia" w:ascii="楷体" w:hAnsi="楷体" w:eastAsia="楷体"/>
          <w:b/>
          <w:sz w:val="48"/>
          <w:szCs w:val="48"/>
        </w:rPr>
        <w:t>己二腈生产项目</w:t>
      </w:r>
      <w:bookmarkEnd w:id="7"/>
      <w:bookmarkEnd w:id="8"/>
    </w:p>
    <w:p>
      <w:pPr>
        <w:pStyle w:val="9"/>
        <w:spacing w:before="156" w:after="156"/>
        <w:ind w:left="0" w:leftChars="0" w:firstLine="0" w:firstLineChars="0"/>
        <w:jc w:val="center"/>
        <w:rPr>
          <w:rFonts w:ascii="楷体" w:hAnsi="楷体" w:eastAsia="楷体"/>
          <w:b/>
          <w:sz w:val="72"/>
          <w:szCs w:val="72"/>
        </w:rPr>
      </w:pPr>
      <w:r>
        <w:rPr>
          <w:rFonts w:ascii="楷体" w:hAnsi="楷体" w:eastAsia="楷体"/>
          <w:b/>
          <w:sz w:val="48"/>
          <w:szCs w:val="48"/>
        </w:rPr>
        <w:drawing>
          <wp:anchor distT="0" distB="0" distL="0" distR="0" simplePos="0" relativeHeight="251660288" behindDoc="0" locked="0" layoutInCell="1" allowOverlap="1">
            <wp:simplePos x="0" y="0"/>
            <wp:positionH relativeFrom="page">
              <wp:align>right</wp:align>
            </wp:positionH>
            <wp:positionV relativeFrom="paragraph">
              <wp:posOffset>610870</wp:posOffset>
            </wp:positionV>
            <wp:extent cx="7559040" cy="4065270"/>
            <wp:effectExtent l="0" t="0" r="10160" b="1143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3" cstate="print"/>
                    <a:stretch>
                      <a:fillRect/>
                    </a:stretch>
                  </pic:blipFill>
                  <pic:spPr>
                    <a:xfrm>
                      <a:off x="0" y="0"/>
                      <a:ext cx="7573527" cy="4072664"/>
                    </a:xfrm>
                    <a:prstGeom prst="rect">
                      <a:avLst/>
                    </a:prstGeom>
                  </pic:spPr>
                </pic:pic>
              </a:graphicData>
            </a:graphic>
          </wp:anchor>
        </w:drawing>
      </w:r>
      <w:bookmarkStart w:id="235" w:name="_GoBack"/>
      <w:bookmarkEnd w:id="235"/>
      <w:r>
        <w:rPr>
          <w:rFonts w:hint="eastAsia" w:ascii="楷体" w:hAnsi="楷体" w:eastAsia="楷体"/>
          <w:b/>
          <w:sz w:val="72"/>
          <w:szCs w:val="72"/>
          <w:lang w:val="en-US" w:eastAsia="zh-CN"/>
        </w:rPr>
        <w:t>安全预评价</w:t>
      </w:r>
    </w:p>
    <w:p>
      <w:pPr>
        <w:spacing w:before="156" w:after="156"/>
        <w:ind w:left="0" w:leftChars="0" w:right="1340" w:firstLine="0" w:firstLineChars="0"/>
        <w:rPr>
          <w:rFonts w:ascii="宋体" w:hAnsi="宋体"/>
          <w:sz w:val="44"/>
        </w:rPr>
      </w:pPr>
    </w:p>
    <w:p>
      <w:pPr>
        <w:spacing w:before="156" w:after="156"/>
        <w:ind w:left="0" w:leftChars="0" w:firstLine="0" w:firstLineChars="0"/>
        <w:rPr>
          <w:rFonts w:ascii="宋体" w:hAnsi="宋体"/>
        </w:rPr>
      </w:pPr>
    </w:p>
    <w:p>
      <w:pPr>
        <w:widowControl/>
        <w:autoSpaceDE/>
        <w:autoSpaceDN/>
        <w:spacing w:before="156" w:after="156"/>
        <w:ind w:left="0" w:leftChars="0" w:firstLine="0" w:firstLineChars="0"/>
        <w:rPr>
          <w:rFonts w:ascii="宋体" w:hAnsi="宋体"/>
        </w:rPr>
      </w:pPr>
      <w:r>
        <w:rPr>
          <w:rFonts w:ascii="宋体" w:hAnsi="宋体"/>
        </w:rPr>
        <mc:AlternateContent>
          <mc:Choice Requires="wps">
            <w:drawing>
              <wp:anchor distT="45720" distB="45720" distL="114300" distR="114300" simplePos="0" relativeHeight="251661312" behindDoc="0" locked="0" layoutInCell="1" allowOverlap="1">
                <wp:simplePos x="0" y="0"/>
                <wp:positionH relativeFrom="margin">
                  <wp:posOffset>-922655</wp:posOffset>
                </wp:positionH>
                <wp:positionV relativeFrom="paragraph">
                  <wp:posOffset>3095625</wp:posOffset>
                </wp:positionV>
                <wp:extent cx="7004685" cy="167767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004685" cy="1677670"/>
                        </a:xfrm>
                        <a:prstGeom prst="rect">
                          <a:avLst/>
                        </a:prstGeom>
                        <a:noFill/>
                        <a:ln w="9525">
                          <a:noFill/>
                          <a:miter lim="800000"/>
                        </a:ln>
                      </wps:spPr>
                      <wps:txb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72.65pt;margin-top:243.75pt;height:132.1pt;width:551.55pt;mso-position-horizontal-relative:margin;mso-wrap-distance-bottom:3.6pt;mso-wrap-distance-left:9pt;mso-wrap-distance-right:9pt;mso-wrap-distance-top:3.6pt;z-index:251661312;mso-width-relative:page;mso-height-relative:page;" filled="f" stroked="f" coordsize="21600,21600" o:gfxdata="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jckbyNkAAAAMAQAADwAAAAAAAAABACAAAAAiAAAAZHJzL2Rvd25yZXYueG1sUEsBAhQAFAAA&#10;AAgAh07iQDk+Dy0nAgAALAQAAA4AAAAAAAAAAQAgAAAAKAEAAGRycy9lMm9Eb2MueG1sUEsFBgAA&#10;AAAGAAYAWQEAAMEFAAAAAA==&#10;">
                <v:fill on="f" focussize="0,0"/>
                <v:stroke on="f" miterlimit="8" joinstyle="miter"/>
                <v:imagedata o:title=""/>
                <o:lock v:ext="edit" aspectratio="f"/>
                <v:textbo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3071495</wp:posOffset>
                </wp:positionV>
                <wp:extent cx="739775" cy="1163320"/>
                <wp:effectExtent l="0" t="0" r="9525" b="508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5926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br w:type="page"/>
      </w:r>
    </w:p>
    <w:sdt>
      <w:sdtPr>
        <w:rPr>
          <w:rFonts w:ascii="仿宋" w:hAnsi="仿宋" w:eastAsia="宋体" w:cs="仿宋"/>
          <w:color w:val="auto"/>
          <w:sz w:val="21"/>
          <w:szCs w:val="22"/>
          <w:lang w:val="zh-CN"/>
        </w:rPr>
        <w:id w:val="916136124"/>
        <w:docPartObj>
          <w:docPartGallery w:val="Table of Contents"/>
          <w:docPartUnique/>
        </w:docPartObj>
      </w:sdtPr>
      <w:sdtEndPr>
        <w:rPr>
          <w:rFonts w:ascii="仿宋" w:hAnsi="仿宋" w:eastAsia="宋体" w:cs="仿宋"/>
          <w:b/>
          <w:bCs/>
          <w:color w:val="auto"/>
          <w:sz w:val="21"/>
          <w:szCs w:val="22"/>
          <w:lang w:val="zh-CN"/>
        </w:rPr>
      </w:sdtEndPr>
      <w:sdtContent>
        <w:p>
          <w:pPr>
            <w:pStyle w:val="41"/>
            <w:spacing w:before="156" w:after="156"/>
            <w:ind w:firstLine="420"/>
            <w:jc w:val="center"/>
            <w:rPr>
              <w:rStyle w:val="25"/>
              <w:b/>
              <w:bCs/>
            </w:rPr>
          </w:pPr>
          <w:r>
            <w:rPr>
              <w:rStyle w:val="25"/>
              <w:b/>
              <w:bCs/>
            </w:rPr>
            <w:t>目录</w:t>
          </w:r>
        </w:p>
        <w:p>
          <w:pPr>
            <w:pStyle w:val="15"/>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TOC \o "1-3" \h \z \u </w:instrText>
          </w:r>
          <w:r>
            <w:fldChar w:fldCharType="separate"/>
          </w:r>
          <w:r>
            <w:fldChar w:fldCharType="begin"/>
          </w:r>
          <w:r>
            <w:instrText xml:space="preserve"> HYPERLINK \l "_Toc141203869" </w:instrText>
          </w:r>
          <w:r>
            <w:fldChar w:fldCharType="separate"/>
          </w:r>
          <w:r>
            <w:rPr>
              <w:rStyle w:val="24"/>
            </w:rPr>
            <w:t>前言</w:t>
          </w:r>
          <w:r>
            <w:tab/>
          </w:r>
          <w:r>
            <w:fldChar w:fldCharType="begin"/>
          </w:r>
          <w:r>
            <w:instrText xml:space="preserve"> PAGEREF _Toc141203869 \h </w:instrText>
          </w:r>
          <w:r>
            <w:fldChar w:fldCharType="separate"/>
          </w:r>
          <w:r>
            <w:t>8</w:t>
          </w:r>
          <w:r>
            <w:fldChar w:fldCharType="end"/>
          </w:r>
          <w:r>
            <w:fldChar w:fldCharType="end"/>
          </w:r>
        </w:p>
        <w:p>
          <w:pPr>
            <w:pStyle w:val="15"/>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"_Toc141203870" </w:instrText>
          </w:r>
          <w:r>
            <w:fldChar w:fldCharType="separate"/>
          </w:r>
          <w:r>
            <w:rPr>
              <w:rStyle w:val="24"/>
            </w:rPr>
            <w:t>第一章 安全评价概述</w:t>
          </w:r>
          <w:r>
            <w:tab/>
          </w:r>
          <w:r>
            <w:fldChar w:fldCharType="begin"/>
          </w:r>
          <w:r>
            <w:instrText xml:space="preserve"> PAGEREF _Toc141203870 \h </w:instrText>
          </w:r>
          <w:r>
            <w:fldChar w:fldCharType="separate"/>
          </w:r>
          <w:r>
            <w:t>9</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"_Toc141203871" </w:instrText>
          </w:r>
          <w:r>
            <w:fldChar w:fldCharType="separate"/>
          </w:r>
          <w:r>
            <w:rPr>
              <w:rStyle w:val="24"/>
            </w:rPr>
            <w:t>1.1安全预评价的目的、范围、工作程序及重点</w:t>
          </w:r>
          <w:r>
            <w:tab/>
          </w:r>
          <w:r>
            <w:fldChar w:fldCharType="begin"/>
          </w:r>
          <w:r>
            <w:instrText xml:space="preserve"> PAGEREF _Toc141203871 \h </w:instrText>
          </w:r>
          <w:r>
            <w:fldChar w:fldCharType="separate"/>
          </w:r>
          <w:r>
            <w:t>9</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"_Toc141203872" </w:instrText>
          </w:r>
          <w:r>
            <w:fldChar w:fldCharType="separate"/>
          </w:r>
          <w:r>
            <w:rPr>
              <w:rStyle w:val="24"/>
            </w:rPr>
            <w:t>1.1.1安全预评价的目的</w:t>
          </w:r>
          <w:r>
            <w:tab/>
          </w:r>
          <w:r>
            <w:fldChar w:fldCharType="begin"/>
          </w:r>
          <w:r>
            <w:instrText xml:space="preserve"> PAGEREF _Toc141203872 \h </w:instrText>
          </w:r>
          <w:r>
            <w:fldChar w:fldCharType="separate"/>
          </w:r>
          <w:r>
            <w:t>9</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"_Toc141203873" </w:instrText>
          </w:r>
          <w:r>
            <w:fldChar w:fldCharType="separate"/>
          </w:r>
          <w:r>
            <w:rPr>
              <w:rStyle w:val="24"/>
            </w:rPr>
            <w:t>1.1.2安全预评价范围</w:t>
          </w:r>
          <w:r>
            <w:tab/>
          </w:r>
          <w:r>
            <w:fldChar w:fldCharType="begin"/>
          </w:r>
          <w:r>
            <w:instrText xml:space="preserve"> PAGEREF _Toc141203873 \h </w:instrText>
          </w:r>
          <w:r>
            <w:fldChar w:fldCharType="separate"/>
          </w:r>
          <w:r>
            <w:t>9</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"_Toc141203874" </w:instrText>
          </w:r>
          <w:r>
            <w:fldChar w:fldCharType="separate"/>
          </w:r>
          <w:r>
            <w:rPr>
              <w:rStyle w:val="24"/>
            </w:rPr>
            <w:t>1.1.3安全预评价工作程序及重点</w:t>
          </w:r>
          <w:r>
            <w:tab/>
          </w:r>
          <w:r>
            <w:fldChar w:fldCharType="begin"/>
          </w:r>
          <w:r>
            <w:instrText xml:space="preserve"> PAGEREF _Toc141203874 \h </w:instrText>
          </w:r>
          <w:r>
            <w:fldChar w:fldCharType="separate"/>
          </w:r>
          <w:r>
            <w:t>10</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"_Toc141203875" </w:instrText>
          </w:r>
          <w:r>
            <w:fldChar w:fldCharType="separate"/>
          </w:r>
          <w:r>
            <w:rPr>
              <w:rStyle w:val="24"/>
            </w:rPr>
            <w:t>1.2安全预评价</w:t>
          </w:r>
          <w:r>
            <w:tab/>
          </w:r>
          <w:r>
            <w:fldChar w:fldCharType="begin"/>
          </w:r>
          <w:r>
            <w:instrText xml:space="preserve"> PAGEREF _Toc141203875 \h </w:instrText>
          </w:r>
          <w:r>
            <w:fldChar w:fldCharType="separate"/>
          </w:r>
          <w:r>
            <w:t>10</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"_Toc141203876" </w:instrText>
          </w:r>
          <w:r>
            <w:fldChar w:fldCharType="separate"/>
          </w:r>
          <w:r>
            <w:rPr>
              <w:rStyle w:val="24"/>
            </w:rPr>
            <w:t>1.2.1法律法规</w:t>
          </w:r>
          <w:r>
            <w:tab/>
          </w:r>
          <w:r>
            <w:fldChar w:fldCharType="begin"/>
          </w:r>
          <w:r>
            <w:instrText xml:space="preserve"> PAGEREF _Toc141203876 \h </w:instrText>
          </w:r>
          <w:r>
            <w:fldChar w:fldCharType="separate"/>
          </w:r>
          <w:r>
            <w:t>10</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"_Toc141203877" </w:instrText>
          </w:r>
          <w:r>
            <w:fldChar w:fldCharType="separate"/>
          </w:r>
          <w:r>
            <w:rPr>
              <w:rStyle w:val="24"/>
            </w:rPr>
            <w:t>1.2.2主要标准及规范</w:t>
          </w:r>
          <w:r>
            <w:tab/>
          </w:r>
          <w:r>
            <w:fldChar w:fldCharType="begin"/>
          </w:r>
          <w:r>
            <w:instrText xml:space="preserve"> PAGEREF _Toc141203877 \h </w:instrText>
          </w:r>
          <w:r>
            <w:fldChar w:fldCharType="separate"/>
          </w:r>
          <w:r>
            <w:t>12</w:t>
          </w:r>
          <w:r>
            <w:fldChar w:fldCharType="end"/>
          </w:r>
          <w:r>
            <w:fldChar w:fldCharType="end"/>
          </w:r>
        </w:p>
        <w:p>
          <w:pPr>
            <w:pStyle w:val="15"/>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"_Toc141203878" </w:instrText>
          </w:r>
          <w:r>
            <w:fldChar w:fldCharType="separate"/>
          </w:r>
          <w:r>
            <w:rPr>
              <w:rStyle w:val="24"/>
            </w:rPr>
            <w:t>第二章 项目概况</w:t>
          </w:r>
          <w:r>
            <w:tab/>
          </w:r>
          <w:r>
            <w:fldChar w:fldCharType="begin"/>
          </w:r>
          <w:r>
            <w:instrText xml:space="preserve"> PAGEREF _Toc141203878 \h </w:instrText>
          </w:r>
          <w:r>
            <w:fldChar w:fldCharType="separate"/>
          </w:r>
          <w:r>
            <w:t>15</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"_Toc141203879" </w:instrText>
          </w:r>
          <w:r>
            <w:fldChar w:fldCharType="separate"/>
          </w:r>
          <w:r>
            <w:rPr>
              <w:rStyle w:val="24"/>
            </w:rPr>
            <w:t>2.1总图及平面布置</w:t>
          </w:r>
          <w:r>
            <w:tab/>
          </w:r>
          <w:r>
            <w:fldChar w:fldCharType="begin"/>
          </w:r>
          <w:r>
            <w:instrText xml:space="preserve"> PAGEREF _Toc141203879 \h </w:instrText>
          </w:r>
          <w:r>
            <w:fldChar w:fldCharType="separate"/>
          </w:r>
          <w:r>
            <w:t>15</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"_Toc141203880" </w:instrText>
          </w:r>
          <w:r>
            <w:fldChar w:fldCharType="separate"/>
          </w:r>
          <w:r>
            <w:rPr>
              <w:rStyle w:val="24"/>
            </w:rPr>
            <w:t>2.2自然环境概况</w:t>
          </w:r>
          <w:r>
            <w:tab/>
          </w:r>
          <w:r>
            <w:fldChar w:fldCharType="begin"/>
          </w:r>
          <w:r>
            <w:instrText xml:space="preserve"> PAGEREF _Toc141203880 \h </w:instrText>
          </w:r>
          <w:r>
            <w:fldChar w:fldCharType="separate"/>
          </w:r>
          <w:r>
            <w:t>15</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"_Toc141203881" </w:instrText>
          </w:r>
          <w:r>
            <w:fldChar w:fldCharType="separate"/>
          </w:r>
          <w:r>
            <w:rPr>
              <w:rStyle w:val="24"/>
            </w:rPr>
            <w:t>2.2.1地理位置</w:t>
          </w:r>
          <w:r>
            <w:tab/>
          </w:r>
          <w:r>
            <w:fldChar w:fldCharType="begin"/>
          </w:r>
          <w:r>
            <w:instrText xml:space="preserve"> PAGEREF _Toc141203881 \h </w:instrText>
          </w:r>
          <w:r>
            <w:fldChar w:fldCharType="separate"/>
          </w:r>
          <w:r>
            <w:t>15</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"_Toc141203882" </w:instrText>
          </w:r>
          <w:r>
            <w:fldChar w:fldCharType="separate"/>
          </w:r>
          <w:r>
            <w:rPr>
              <w:rStyle w:val="24"/>
            </w:rPr>
            <w:t>2.2.2地形地貌</w:t>
          </w:r>
          <w:r>
            <w:tab/>
          </w:r>
          <w:r>
            <w:fldChar w:fldCharType="begin"/>
          </w:r>
          <w:r>
            <w:instrText xml:space="preserve"> PAGEREF _Toc141203882 \h </w:instrText>
          </w:r>
          <w:r>
            <w:fldChar w:fldCharType="separate"/>
          </w:r>
          <w:r>
            <w:t>16</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"_Toc141203883" </w:instrText>
          </w:r>
          <w:r>
            <w:fldChar w:fldCharType="separate"/>
          </w:r>
          <w:r>
            <w:rPr>
              <w:rStyle w:val="24"/>
            </w:rPr>
            <w:t>2.2.3水文地质</w:t>
          </w:r>
          <w:r>
            <w:tab/>
          </w:r>
          <w:r>
            <w:fldChar w:fldCharType="begin"/>
          </w:r>
          <w:r>
            <w:instrText xml:space="preserve"> PAGEREF _Toc141203883 \h </w:instrText>
          </w:r>
          <w:r>
            <w:fldChar w:fldCharType="separate"/>
          </w:r>
          <w:r>
            <w:t>16</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"_Toc141203884" </w:instrText>
          </w:r>
          <w:r>
            <w:fldChar w:fldCharType="separate"/>
          </w:r>
          <w:r>
            <w:rPr>
              <w:rStyle w:val="24"/>
            </w:rPr>
            <w:t>2.2.4气候条件</w:t>
          </w:r>
          <w:r>
            <w:tab/>
          </w:r>
          <w:r>
            <w:fldChar w:fldCharType="begin"/>
          </w:r>
          <w:r>
            <w:instrText xml:space="preserve"> PAGEREF _Toc141203884 \h </w:instrText>
          </w:r>
          <w:r>
            <w:fldChar w:fldCharType="separate"/>
          </w:r>
          <w:r>
            <w:t>17</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"_Toc141203885" </w:instrText>
          </w:r>
          <w:r>
            <w:fldChar w:fldCharType="separate"/>
          </w:r>
          <w:r>
            <w:rPr>
              <w:rStyle w:val="24"/>
            </w:rPr>
            <w:t>2.3社会环境概况</w:t>
          </w:r>
          <w:r>
            <w:tab/>
          </w:r>
          <w:r>
            <w:fldChar w:fldCharType="begin"/>
          </w:r>
          <w:r>
            <w:instrText xml:space="preserve"> PAGEREF _Toc141203885 \h </w:instrText>
          </w:r>
          <w:r>
            <w:fldChar w:fldCharType="separate"/>
          </w:r>
          <w:r>
            <w:t>17</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"_Toc141203886" </w:instrText>
          </w:r>
          <w:r>
            <w:fldChar w:fldCharType="separate"/>
          </w:r>
          <w:r>
            <w:rPr>
              <w:rStyle w:val="24"/>
            </w:rPr>
            <w:t>2.3.1经济概况</w:t>
          </w:r>
          <w:r>
            <w:tab/>
          </w:r>
          <w:r>
            <w:fldChar w:fldCharType="begin"/>
          </w:r>
          <w:r>
            <w:instrText xml:space="preserve"> PAGEREF _Toc141203886 \h </w:instrText>
          </w:r>
          <w:r>
            <w:fldChar w:fldCharType="separate"/>
          </w:r>
          <w:r>
            <w:t>17</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"_Toc141203887" </w:instrText>
          </w:r>
          <w:r>
            <w:fldChar w:fldCharType="separate"/>
          </w:r>
          <w:r>
            <w:rPr>
              <w:rStyle w:val="24"/>
            </w:rPr>
            <w:t>2.3.2交通条件</w:t>
          </w:r>
          <w:r>
            <w:tab/>
          </w:r>
          <w:r>
            <w:fldChar w:fldCharType="begin"/>
          </w:r>
          <w:r>
            <w:instrText xml:space="preserve"> PAGEREF _Toc141203887 \h </w:instrText>
          </w:r>
          <w:r>
            <w:fldChar w:fldCharType="separate"/>
          </w:r>
          <w:r>
            <w:t>18</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"_Toc141203888" </w:instrText>
          </w:r>
          <w:r>
            <w:fldChar w:fldCharType="separate"/>
          </w:r>
          <w:r>
            <w:rPr>
              <w:rStyle w:val="24"/>
            </w:rPr>
            <w:t>2.4项目设计的原料及产品</w:t>
          </w:r>
          <w:r>
            <w:tab/>
          </w:r>
          <w:r>
            <w:fldChar w:fldCharType="begin"/>
          </w:r>
          <w:r>
            <w:instrText xml:space="preserve"> PAGEREF _Toc141203888 \h </w:instrText>
          </w:r>
          <w:r>
            <w:fldChar w:fldCharType="separate"/>
          </w:r>
          <w:r>
            <w:t>20</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"_Toc141203889" </w:instrText>
          </w:r>
          <w:r>
            <w:fldChar w:fldCharType="separate"/>
          </w:r>
          <w:r>
            <w:rPr>
              <w:rStyle w:val="24"/>
            </w:rPr>
            <w:t>2.5工艺流程</w:t>
          </w:r>
          <w:r>
            <w:tab/>
          </w:r>
          <w:r>
            <w:fldChar w:fldCharType="begin"/>
          </w:r>
          <w:r>
            <w:instrText xml:space="preserve"> PAGEREF _Toc141203889 \h </w:instrText>
          </w:r>
          <w:r>
            <w:fldChar w:fldCharType="separate"/>
          </w:r>
          <w:r>
            <w:t>21</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"_Toc141203890" </w:instrText>
          </w:r>
          <w:r>
            <w:fldChar w:fldCharType="separate"/>
          </w:r>
          <w:r>
            <w:rPr>
              <w:rStyle w:val="24"/>
            </w:rPr>
            <w:t>2.6主要设备</w:t>
          </w:r>
          <w:r>
            <w:tab/>
          </w:r>
          <w:r>
            <w:fldChar w:fldCharType="begin"/>
          </w:r>
          <w:r>
            <w:instrText xml:space="preserve"> PAGEREF _Toc141203890 \h </w:instrText>
          </w:r>
          <w:r>
            <w:fldChar w:fldCharType="separate"/>
          </w:r>
          <w:r>
            <w:t>21</w:t>
          </w:r>
          <w:r>
            <w:fldChar w:fldCharType="end"/>
          </w:r>
          <w:r>
            <w:fldChar w:fldCharType="end"/>
          </w:r>
        </w:p>
        <w:p>
          <w:pPr>
            <w:pStyle w:val="15"/>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"_Toc141203891" </w:instrText>
          </w:r>
          <w:r>
            <w:fldChar w:fldCharType="separate"/>
          </w:r>
          <w:r>
            <w:rPr>
              <w:rStyle w:val="24"/>
            </w:rPr>
            <w:t>第三章 主要危险、有害因素分析</w:t>
          </w:r>
          <w:r>
            <w:tab/>
          </w:r>
          <w:r>
            <w:fldChar w:fldCharType="begin"/>
          </w:r>
          <w:r>
            <w:instrText xml:space="preserve"> PAGEREF _Toc141203891 \h </w:instrText>
          </w:r>
          <w:r>
            <w:fldChar w:fldCharType="separate"/>
          </w:r>
          <w:r>
            <w:t>22</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"_Toc141203892" </w:instrText>
          </w:r>
          <w:r>
            <w:fldChar w:fldCharType="separate"/>
          </w:r>
          <w:r>
            <w:rPr>
              <w:rStyle w:val="24"/>
            </w:rPr>
            <w:t>3.1主要危险、有害物质固有危险性分析</w:t>
          </w:r>
          <w:r>
            <w:tab/>
          </w:r>
          <w:r>
            <w:fldChar w:fldCharType="begin"/>
          </w:r>
          <w:r>
            <w:instrText xml:space="preserve"> PAGEREF _Toc141203892 \h </w:instrText>
          </w:r>
          <w:r>
            <w:fldChar w:fldCharType="separate"/>
          </w:r>
          <w:r>
            <w:t>22</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"_Toc141203893" </w:instrText>
          </w:r>
          <w:r>
            <w:fldChar w:fldCharType="separate"/>
          </w:r>
          <w:r>
            <w:rPr>
              <w:rStyle w:val="24"/>
            </w:rPr>
            <w:t>3.2工艺与生产过程危险因素</w:t>
          </w:r>
          <w:r>
            <w:tab/>
          </w:r>
          <w:r>
            <w:fldChar w:fldCharType="begin"/>
          </w:r>
          <w:r>
            <w:instrText xml:space="preserve"> PAGEREF _Toc141203893 \h </w:instrText>
          </w:r>
          <w:r>
            <w:fldChar w:fldCharType="separate"/>
          </w:r>
          <w:r>
            <w:t>22</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"_Toc141203894" </w:instrText>
          </w:r>
          <w:r>
            <w:fldChar w:fldCharType="separate"/>
          </w:r>
          <w:r>
            <w:rPr>
              <w:rStyle w:val="24"/>
            </w:rPr>
            <w:t>3.3生产过程中的主要危险、有害因素预测结果</w:t>
          </w:r>
          <w:r>
            <w:tab/>
          </w:r>
          <w:r>
            <w:fldChar w:fldCharType="begin"/>
          </w:r>
          <w:r>
            <w:instrText xml:space="preserve"> PAGEREF _Toc141203894 \h </w:instrText>
          </w:r>
          <w:r>
            <w:fldChar w:fldCharType="separate"/>
          </w:r>
          <w:r>
            <w:t>23</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"_Toc141203895" </w:instrText>
          </w:r>
          <w:r>
            <w:fldChar w:fldCharType="separate"/>
          </w:r>
          <w:r>
            <w:rPr>
              <w:rStyle w:val="24"/>
            </w:rPr>
            <w:t>3.3.1火灾、化学性爆炸危险性分析</w:t>
          </w:r>
          <w:r>
            <w:tab/>
          </w:r>
          <w:r>
            <w:fldChar w:fldCharType="begin"/>
          </w:r>
          <w:r>
            <w:instrText xml:space="preserve"> PAGEREF _Toc141203895 \h </w:instrText>
          </w:r>
          <w:r>
            <w:fldChar w:fldCharType="separate"/>
          </w:r>
          <w:r>
            <w:t>23</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"_Toc141203896" </w:instrText>
          </w:r>
          <w:r>
            <w:fldChar w:fldCharType="separate"/>
          </w:r>
          <w:r>
            <w:rPr>
              <w:rStyle w:val="24"/>
            </w:rPr>
            <w:t>3.3.2物理爆炸（容器爆炸）危险性分析</w:t>
          </w:r>
          <w:r>
            <w:tab/>
          </w:r>
          <w:r>
            <w:fldChar w:fldCharType="begin"/>
          </w:r>
          <w:r>
            <w:instrText xml:space="preserve"> PAGEREF _Toc141203896 \h </w:instrText>
          </w:r>
          <w:r>
            <w:fldChar w:fldCharType="separate"/>
          </w:r>
          <w:r>
            <w:t>25</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"_Toc141203897" </w:instrText>
          </w:r>
          <w:r>
            <w:fldChar w:fldCharType="separate"/>
          </w:r>
          <w:r>
            <w:rPr>
              <w:rStyle w:val="24"/>
            </w:rPr>
            <w:t>3.3.3中毒及窒息危险性分析</w:t>
          </w:r>
          <w:r>
            <w:tab/>
          </w:r>
          <w:r>
            <w:fldChar w:fldCharType="begin"/>
          </w:r>
          <w:r>
            <w:instrText xml:space="preserve"> PAGEREF _Toc141203897 \h </w:instrText>
          </w:r>
          <w:r>
            <w:fldChar w:fldCharType="separate"/>
          </w:r>
          <w:r>
            <w:t>25</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"_Toc141203898" </w:instrText>
          </w:r>
          <w:r>
            <w:fldChar w:fldCharType="separate"/>
          </w:r>
          <w:r>
            <w:rPr>
              <w:rStyle w:val="24"/>
            </w:rPr>
            <w:t>3.3.4灼烫危险性分析</w:t>
          </w:r>
          <w:r>
            <w:tab/>
          </w:r>
          <w:r>
            <w:fldChar w:fldCharType="begin"/>
          </w:r>
          <w:r>
            <w:instrText xml:space="preserve"> PAGEREF _Toc141203898 \h </w:instrText>
          </w:r>
          <w:r>
            <w:fldChar w:fldCharType="separate"/>
          </w:r>
          <w:r>
            <w:t>26</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"_Toc141203899" </w:instrText>
          </w:r>
          <w:r>
            <w:fldChar w:fldCharType="separate"/>
          </w:r>
          <w:r>
            <w:rPr>
              <w:rStyle w:val="24"/>
            </w:rPr>
            <w:t>3.3.5高处坠落危险性分析</w:t>
          </w:r>
          <w:r>
            <w:tab/>
          </w:r>
          <w:r>
            <w:fldChar w:fldCharType="begin"/>
          </w:r>
          <w:r>
            <w:instrText xml:space="preserve"> PAGEREF _Toc141203899 \h </w:instrText>
          </w:r>
          <w:r>
            <w:fldChar w:fldCharType="separate"/>
          </w:r>
          <w:r>
            <w:t>27</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"_Toc141203900" </w:instrText>
          </w:r>
          <w:r>
            <w:fldChar w:fldCharType="separate"/>
          </w:r>
          <w:r>
            <w:rPr>
              <w:rStyle w:val="24"/>
            </w:rPr>
            <w:t>3.3.6机械伤害（机泵）危险性分析</w:t>
          </w:r>
          <w:r>
            <w:tab/>
          </w:r>
          <w:r>
            <w:fldChar w:fldCharType="begin"/>
          </w:r>
          <w:r>
            <w:instrText xml:space="preserve"> PAGEREF _Toc141203900 \h </w:instrText>
          </w:r>
          <w:r>
            <w:fldChar w:fldCharType="separate"/>
          </w:r>
          <w:r>
            <w:t>27</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"_Toc141203901" </w:instrText>
          </w:r>
          <w:r>
            <w:fldChar w:fldCharType="separate"/>
          </w:r>
          <w:r>
            <w:rPr>
              <w:rStyle w:val="24"/>
            </w:rPr>
            <w:t>3.3.7开停车、检维修危险性分析</w:t>
          </w:r>
          <w:r>
            <w:tab/>
          </w:r>
          <w:r>
            <w:fldChar w:fldCharType="begin"/>
          </w:r>
          <w:r>
            <w:instrText xml:space="preserve"> PAGEREF _Toc141203901 \h </w:instrText>
          </w:r>
          <w:r>
            <w:fldChar w:fldCharType="separate"/>
          </w:r>
          <w:r>
            <w:t>28</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"_Toc141203902" </w:instrText>
          </w:r>
          <w:r>
            <w:fldChar w:fldCharType="separate"/>
          </w:r>
          <w:r>
            <w:rPr>
              <w:rStyle w:val="24"/>
            </w:rPr>
            <w:t>3.3.8其他伤害—噪音伤害</w:t>
          </w:r>
          <w:r>
            <w:tab/>
          </w:r>
          <w:r>
            <w:fldChar w:fldCharType="begin"/>
          </w:r>
          <w:r>
            <w:instrText xml:space="preserve"> PAGEREF _Toc141203902 \h </w:instrText>
          </w:r>
          <w:r>
            <w:fldChar w:fldCharType="separate"/>
          </w:r>
          <w:r>
            <w:t>29</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"_Toc141203903" </w:instrText>
          </w:r>
          <w:r>
            <w:fldChar w:fldCharType="separate"/>
          </w:r>
          <w:r>
            <w:rPr>
              <w:rStyle w:val="24"/>
            </w:rPr>
            <w:t>3.4工艺过程中的危险、有害因素分析</w:t>
          </w:r>
          <w:r>
            <w:tab/>
          </w:r>
          <w:r>
            <w:fldChar w:fldCharType="begin"/>
          </w:r>
          <w:r>
            <w:instrText xml:space="preserve"> PAGEREF _Toc141203903 \h </w:instrText>
          </w:r>
          <w:r>
            <w:fldChar w:fldCharType="separate"/>
          </w:r>
          <w:r>
            <w:t>29</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"_Toc141203904" </w:instrText>
          </w:r>
          <w:r>
            <w:fldChar w:fldCharType="separate"/>
          </w:r>
          <w:r>
            <w:rPr>
              <w:rStyle w:val="24"/>
            </w:rPr>
            <w:t>3.4.1温度失控</w:t>
          </w:r>
          <w:r>
            <w:tab/>
          </w:r>
          <w:r>
            <w:fldChar w:fldCharType="begin"/>
          </w:r>
          <w:r>
            <w:instrText xml:space="preserve"> PAGEREF _Toc141203904 \h </w:instrText>
          </w:r>
          <w:r>
            <w:fldChar w:fldCharType="separate"/>
          </w:r>
          <w:r>
            <w:t>29</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"_Toc141203905" </w:instrText>
          </w:r>
          <w:r>
            <w:fldChar w:fldCharType="separate"/>
          </w:r>
          <w:r>
            <w:rPr>
              <w:rStyle w:val="24"/>
            </w:rPr>
            <w:t>3.4.2压力失控</w:t>
          </w:r>
          <w:r>
            <w:tab/>
          </w:r>
          <w:r>
            <w:fldChar w:fldCharType="begin"/>
          </w:r>
          <w:r>
            <w:instrText xml:space="preserve"> PAGEREF _Toc141203905 \h </w:instrText>
          </w:r>
          <w:r>
            <w:fldChar w:fldCharType="separate"/>
          </w:r>
          <w:r>
            <w:t>31</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"_Toc141203906" </w:instrText>
          </w:r>
          <w:r>
            <w:fldChar w:fldCharType="separate"/>
          </w:r>
          <w:r>
            <w:rPr>
              <w:rStyle w:val="24"/>
            </w:rPr>
            <w:t>3.4.3流量失控</w:t>
          </w:r>
          <w:r>
            <w:tab/>
          </w:r>
          <w:r>
            <w:fldChar w:fldCharType="begin"/>
          </w:r>
          <w:r>
            <w:instrText xml:space="preserve"> PAGEREF _Toc141203906 \h </w:instrText>
          </w:r>
          <w:r>
            <w:fldChar w:fldCharType="separate"/>
          </w:r>
          <w:r>
            <w:t>32</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"_Toc141203907" </w:instrText>
          </w:r>
          <w:r>
            <w:fldChar w:fldCharType="separate"/>
          </w:r>
          <w:r>
            <w:rPr>
              <w:rStyle w:val="24"/>
            </w:rPr>
            <w:t>3.4.4液位失控</w:t>
          </w:r>
          <w:r>
            <w:tab/>
          </w:r>
          <w:r>
            <w:fldChar w:fldCharType="begin"/>
          </w:r>
          <w:r>
            <w:instrText xml:space="preserve"> PAGEREF _Toc141203907 \h </w:instrText>
          </w:r>
          <w:r>
            <w:fldChar w:fldCharType="separate"/>
          </w:r>
          <w:r>
            <w:t>32</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"_Toc141203908" </w:instrText>
          </w:r>
          <w:r>
            <w:fldChar w:fldCharType="separate"/>
          </w:r>
          <w:r>
            <w:rPr>
              <w:rStyle w:val="24"/>
            </w:rPr>
            <w:t>3.5其他危险、有害因素分析</w:t>
          </w:r>
          <w:r>
            <w:tab/>
          </w:r>
          <w:r>
            <w:fldChar w:fldCharType="begin"/>
          </w:r>
          <w:r>
            <w:instrText xml:space="preserve"> PAGEREF _Toc141203908 \h </w:instrText>
          </w:r>
          <w:r>
            <w:fldChar w:fldCharType="separate"/>
          </w:r>
          <w:r>
            <w:t>33</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"_Toc141203909" </w:instrText>
          </w:r>
          <w:r>
            <w:fldChar w:fldCharType="separate"/>
          </w:r>
          <w:r>
            <w:rPr>
              <w:rStyle w:val="24"/>
            </w:rPr>
            <w:t>3.5.1公用工程</w:t>
          </w:r>
          <w:r>
            <w:tab/>
          </w:r>
          <w:r>
            <w:fldChar w:fldCharType="begin"/>
          </w:r>
          <w:r>
            <w:instrText xml:space="preserve"> PAGEREF _Toc141203909 \h </w:instrText>
          </w:r>
          <w:r>
            <w:fldChar w:fldCharType="separate"/>
          </w:r>
          <w:r>
            <w:t>33</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"_Toc141203910" </w:instrText>
          </w:r>
          <w:r>
            <w:fldChar w:fldCharType="separate"/>
          </w:r>
          <w:r>
            <w:rPr>
              <w:rStyle w:val="24"/>
            </w:rPr>
            <w:t>3.5.2周边设施</w:t>
          </w:r>
          <w:r>
            <w:tab/>
          </w:r>
          <w:r>
            <w:fldChar w:fldCharType="begin"/>
          </w:r>
          <w:r>
            <w:instrText xml:space="preserve"> PAGEREF _Toc141203910 \h </w:instrText>
          </w:r>
          <w:r>
            <w:fldChar w:fldCharType="separate"/>
          </w:r>
          <w:r>
            <w:t>35</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"_Toc141203911" </w:instrText>
          </w:r>
          <w:r>
            <w:fldChar w:fldCharType="separate"/>
          </w:r>
          <w:r>
            <w:rPr>
              <w:rStyle w:val="24"/>
            </w:rPr>
            <w:t>3.5.3设施布置</w:t>
          </w:r>
          <w:r>
            <w:tab/>
          </w:r>
          <w:r>
            <w:fldChar w:fldCharType="begin"/>
          </w:r>
          <w:r>
            <w:instrText xml:space="preserve"> PAGEREF _Toc141203911 \h </w:instrText>
          </w:r>
          <w:r>
            <w:fldChar w:fldCharType="separate"/>
          </w:r>
          <w:r>
            <w:t>35</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"_Toc141203912" </w:instrText>
          </w:r>
          <w:r>
            <w:fldChar w:fldCharType="separate"/>
          </w:r>
          <w:r>
            <w:rPr>
              <w:rStyle w:val="24"/>
            </w:rPr>
            <w:t>3.5.4自动控制系统故障</w:t>
          </w:r>
          <w:r>
            <w:tab/>
          </w:r>
          <w:r>
            <w:fldChar w:fldCharType="begin"/>
          </w:r>
          <w:r>
            <w:instrText xml:space="preserve"> PAGEREF _Toc141203912 \h </w:instrText>
          </w:r>
          <w:r>
            <w:fldChar w:fldCharType="separate"/>
          </w:r>
          <w:r>
            <w:t>36</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"_Toc141203913" </w:instrText>
          </w:r>
          <w:r>
            <w:fldChar w:fldCharType="separate"/>
          </w:r>
          <w:r>
            <w:rPr>
              <w:rStyle w:val="24"/>
            </w:rPr>
            <w:t>3.5.5人员及管理</w:t>
          </w:r>
          <w:r>
            <w:tab/>
          </w:r>
          <w:r>
            <w:fldChar w:fldCharType="begin"/>
          </w:r>
          <w:r>
            <w:instrText xml:space="preserve"> PAGEREF _Toc141203913 \h </w:instrText>
          </w:r>
          <w:r>
            <w:fldChar w:fldCharType="separate"/>
          </w:r>
          <w:r>
            <w:t>36</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"_Toc141203914" </w:instrText>
          </w:r>
          <w:r>
            <w:fldChar w:fldCharType="separate"/>
          </w:r>
          <w:r>
            <w:rPr>
              <w:rStyle w:val="24"/>
            </w:rPr>
            <w:t>3.6自然灾害危险性分析</w:t>
          </w:r>
          <w:r>
            <w:tab/>
          </w:r>
          <w:r>
            <w:fldChar w:fldCharType="begin"/>
          </w:r>
          <w:r>
            <w:instrText xml:space="preserve"> PAGEREF _Toc141203914 \h </w:instrText>
          </w:r>
          <w:r>
            <w:fldChar w:fldCharType="separate"/>
          </w:r>
          <w:r>
            <w:t>36</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"_Toc141203915" </w:instrText>
          </w:r>
          <w:r>
            <w:fldChar w:fldCharType="separate"/>
          </w:r>
          <w:r>
            <w:rPr>
              <w:rStyle w:val="24"/>
            </w:rPr>
            <w:t>3.6.1地质及地震</w:t>
          </w:r>
          <w:r>
            <w:tab/>
          </w:r>
          <w:r>
            <w:fldChar w:fldCharType="begin"/>
          </w:r>
          <w:r>
            <w:instrText xml:space="preserve"> PAGEREF _Toc141203915 \h </w:instrText>
          </w:r>
          <w:r>
            <w:fldChar w:fldCharType="separate"/>
          </w:r>
          <w:r>
            <w:t>36</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"_Toc141203916" </w:instrText>
          </w:r>
          <w:r>
            <w:fldChar w:fldCharType="separate"/>
          </w:r>
          <w:r>
            <w:rPr>
              <w:rStyle w:val="24"/>
            </w:rPr>
            <w:t>3.6.2雷电</w:t>
          </w:r>
          <w:r>
            <w:tab/>
          </w:r>
          <w:r>
            <w:fldChar w:fldCharType="begin"/>
          </w:r>
          <w:r>
            <w:instrText xml:space="preserve"> PAGEREF _Toc141203916 \h </w:instrText>
          </w:r>
          <w:r>
            <w:fldChar w:fldCharType="separate"/>
          </w:r>
          <w:r>
            <w:t>37</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"_Toc141203917" </w:instrText>
          </w:r>
          <w:r>
            <w:fldChar w:fldCharType="separate"/>
          </w:r>
          <w:r>
            <w:rPr>
              <w:rStyle w:val="24"/>
            </w:rPr>
            <w:t>3.6.3温度</w:t>
          </w:r>
          <w:r>
            <w:tab/>
          </w:r>
          <w:r>
            <w:fldChar w:fldCharType="begin"/>
          </w:r>
          <w:r>
            <w:instrText xml:space="preserve"> PAGEREF _Toc141203917 \h </w:instrText>
          </w:r>
          <w:r>
            <w:fldChar w:fldCharType="separate"/>
          </w:r>
          <w:r>
            <w:t>37</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"_Toc141203918" </w:instrText>
          </w:r>
          <w:r>
            <w:fldChar w:fldCharType="separate"/>
          </w:r>
          <w:r>
            <w:rPr>
              <w:rStyle w:val="24"/>
            </w:rPr>
            <w:t>3.6.4降雨</w:t>
          </w:r>
          <w:r>
            <w:tab/>
          </w:r>
          <w:r>
            <w:fldChar w:fldCharType="begin"/>
          </w:r>
          <w:r>
            <w:instrText xml:space="preserve"> PAGEREF _Toc141203918 \h </w:instrText>
          </w:r>
          <w:r>
            <w:fldChar w:fldCharType="separate"/>
          </w:r>
          <w:r>
            <w:t>37</w:t>
          </w:r>
          <w:r>
            <w:fldChar w:fldCharType="end"/>
          </w:r>
          <w:r>
            <w:fldChar w:fldCharType="end"/>
          </w:r>
        </w:p>
        <w:p>
          <w:pPr>
            <w:pStyle w:val="15"/>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"_Toc141203919" </w:instrText>
          </w:r>
          <w:r>
            <w:fldChar w:fldCharType="separate"/>
          </w:r>
          <w:r>
            <w:rPr>
              <w:rStyle w:val="24"/>
            </w:rPr>
            <w:t>第四章 重大危险源辨识</w:t>
          </w:r>
          <w:r>
            <w:tab/>
          </w:r>
          <w:r>
            <w:fldChar w:fldCharType="begin"/>
          </w:r>
          <w:r>
            <w:instrText xml:space="preserve"> PAGEREF _Toc141203919 \h </w:instrText>
          </w:r>
          <w:r>
            <w:fldChar w:fldCharType="separate"/>
          </w:r>
          <w:r>
            <w:t>38</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"_Toc141203920" </w:instrText>
          </w:r>
          <w:r>
            <w:fldChar w:fldCharType="separate"/>
          </w:r>
          <w:r>
            <w:rPr>
              <w:rStyle w:val="24"/>
            </w:rPr>
            <w:t>4.1重大危险源辨识分析</w:t>
          </w:r>
          <w:r>
            <w:tab/>
          </w:r>
          <w:r>
            <w:fldChar w:fldCharType="begin"/>
          </w:r>
          <w:r>
            <w:instrText xml:space="preserve"> PAGEREF _Toc141203920 \h </w:instrText>
          </w:r>
          <w:r>
            <w:fldChar w:fldCharType="separate"/>
          </w:r>
          <w:r>
            <w:t>38</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"_Toc141203921" </w:instrText>
          </w:r>
          <w:r>
            <w:fldChar w:fldCharType="separate"/>
          </w:r>
          <w:r>
            <w:rPr>
              <w:rStyle w:val="24"/>
            </w:rPr>
            <w:t>4.1.1重大危险源辨识依据</w:t>
          </w:r>
          <w:r>
            <w:tab/>
          </w:r>
          <w:r>
            <w:fldChar w:fldCharType="begin"/>
          </w:r>
          <w:r>
            <w:instrText xml:space="preserve"> PAGEREF _Toc141203921 \h </w:instrText>
          </w:r>
          <w:r>
            <w:fldChar w:fldCharType="separate"/>
          </w:r>
          <w:r>
            <w:t>38</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"_Toc141203922" </w:instrText>
          </w:r>
          <w:r>
            <w:fldChar w:fldCharType="separate"/>
          </w:r>
          <w:r>
            <w:rPr>
              <w:rStyle w:val="24"/>
            </w:rPr>
            <w:t>4.1.2重大危险源辨识简介</w:t>
          </w:r>
          <w:r>
            <w:tab/>
          </w:r>
          <w:r>
            <w:fldChar w:fldCharType="begin"/>
          </w:r>
          <w:r>
            <w:instrText xml:space="preserve"> PAGEREF _Toc141203922 \h </w:instrText>
          </w:r>
          <w:r>
            <w:fldChar w:fldCharType="separate"/>
          </w:r>
          <w:r>
            <w:t>38</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"_Toc141203923" </w:instrText>
          </w:r>
          <w:r>
            <w:fldChar w:fldCharType="separate"/>
          </w:r>
          <w:r>
            <w:rPr>
              <w:rStyle w:val="24"/>
            </w:rPr>
            <w:t>4.1.3重大危险源辨识术语</w:t>
          </w:r>
          <w:r>
            <w:tab/>
          </w:r>
          <w:r>
            <w:fldChar w:fldCharType="begin"/>
          </w:r>
          <w:r>
            <w:instrText xml:space="preserve"> PAGEREF _Toc141203923 \h </w:instrText>
          </w:r>
          <w:r>
            <w:fldChar w:fldCharType="separate"/>
          </w:r>
          <w:r>
            <w:t>39</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"_Toc141203924" </w:instrText>
          </w:r>
          <w:r>
            <w:fldChar w:fldCharType="separate"/>
          </w:r>
          <w:r>
            <w:rPr>
              <w:rStyle w:val="24"/>
            </w:rPr>
            <w:t>4.1.4项目涉及的危险物质</w:t>
          </w:r>
          <w:r>
            <w:tab/>
          </w:r>
          <w:r>
            <w:fldChar w:fldCharType="begin"/>
          </w:r>
          <w:r>
            <w:instrText xml:space="preserve"> PAGEREF _Toc141203924 \h </w:instrText>
          </w:r>
          <w:r>
            <w:fldChar w:fldCharType="separate"/>
          </w:r>
          <w:r>
            <w:t>40</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"_Toc141203925" </w:instrText>
          </w:r>
          <w:r>
            <w:fldChar w:fldCharType="separate"/>
          </w:r>
          <w:r>
            <w:rPr>
              <w:rStyle w:val="24"/>
            </w:rPr>
            <w:t>.1.5有毒物质识别</w:t>
          </w:r>
          <w:r>
            <w:tab/>
          </w:r>
          <w:r>
            <w:fldChar w:fldCharType="begin"/>
          </w:r>
          <w:r>
            <w:instrText xml:space="preserve"> PAGEREF _Toc141203925 \h </w:instrText>
          </w:r>
          <w:r>
            <w:fldChar w:fldCharType="separate"/>
          </w:r>
          <w:r>
            <w:t>40</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"_Toc141203926" </w:instrText>
          </w:r>
          <w:r>
            <w:fldChar w:fldCharType="separate"/>
          </w:r>
          <w:r>
            <w:rPr>
              <w:rStyle w:val="24"/>
            </w:rPr>
            <w:t>4.1.6火灾、爆炸危险物质识别</w:t>
          </w:r>
          <w:r>
            <w:tab/>
          </w:r>
          <w:r>
            <w:fldChar w:fldCharType="begin"/>
          </w:r>
          <w:r>
            <w:instrText xml:space="preserve"> PAGEREF _Toc141203926 \h </w:instrText>
          </w:r>
          <w:r>
            <w:fldChar w:fldCharType="separate"/>
          </w:r>
          <w:r>
            <w:t>40</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"_Toc141203927" </w:instrText>
          </w:r>
          <w:r>
            <w:fldChar w:fldCharType="separate"/>
          </w:r>
          <w:r>
            <w:rPr>
              <w:rStyle w:val="24"/>
            </w:rPr>
            <w:t>4.1.7重大危险源辨识</w:t>
          </w:r>
          <w:r>
            <w:tab/>
          </w:r>
          <w:r>
            <w:fldChar w:fldCharType="begin"/>
          </w:r>
          <w:r>
            <w:instrText xml:space="preserve"> PAGEREF _Toc141203927 \h </w:instrText>
          </w:r>
          <w:r>
            <w:fldChar w:fldCharType="separate"/>
          </w:r>
          <w:r>
            <w:t>41</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"_Toc141203928" </w:instrText>
          </w:r>
          <w:r>
            <w:fldChar w:fldCharType="separate"/>
          </w:r>
          <w:r>
            <w:rPr>
              <w:rStyle w:val="24"/>
            </w:rPr>
            <w:t>4.2评价等级和评价内容</w:t>
          </w:r>
          <w:r>
            <w:tab/>
          </w:r>
          <w:r>
            <w:fldChar w:fldCharType="begin"/>
          </w:r>
          <w:r>
            <w:instrText xml:space="preserve"> PAGEREF _Toc141203928 \h </w:instrText>
          </w:r>
          <w:r>
            <w:fldChar w:fldCharType="separate"/>
          </w:r>
          <w:r>
            <w:t>42</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"_Toc141203929" </w:instrText>
          </w:r>
          <w:r>
            <w:fldChar w:fldCharType="separate"/>
          </w:r>
          <w:r>
            <w:rPr>
              <w:rStyle w:val="24"/>
            </w:rPr>
            <w:t>4.2.1重大危险源分类标准</w:t>
          </w:r>
          <w:r>
            <w:tab/>
          </w:r>
          <w:r>
            <w:fldChar w:fldCharType="begin"/>
          </w:r>
          <w:r>
            <w:instrText xml:space="preserve"> PAGEREF _Toc141203929 \h </w:instrText>
          </w:r>
          <w:r>
            <w:fldChar w:fldCharType="separate"/>
          </w:r>
          <w:r>
            <w:t>42</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"_Toc141203930" </w:instrText>
          </w:r>
          <w:r>
            <w:fldChar w:fldCharType="separate"/>
          </w:r>
          <w:r>
            <w:rPr>
              <w:rStyle w:val="24"/>
            </w:rPr>
            <w:t>4.2.2重大危险源等级确定</w:t>
          </w:r>
          <w:r>
            <w:tab/>
          </w:r>
          <w:r>
            <w:fldChar w:fldCharType="begin"/>
          </w:r>
          <w:r>
            <w:instrText xml:space="preserve"> PAGEREF _Toc141203930 \h </w:instrText>
          </w:r>
          <w:r>
            <w:fldChar w:fldCharType="separate"/>
          </w:r>
          <w:r>
            <w:t>44</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"_Toc141203931" </w:instrText>
          </w:r>
          <w:r>
            <w:fldChar w:fldCharType="separate"/>
          </w:r>
          <w:r>
            <w:rPr>
              <w:rStyle w:val="24"/>
            </w:rPr>
            <w:t>4.3重大危险源辨识结果</w:t>
          </w:r>
          <w:r>
            <w:tab/>
          </w:r>
          <w:r>
            <w:fldChar w:fldCharType="begin"/>
          </w:r>
          <w:r>
            <w:instrText xml:space="preserve"> PAGEREF _Toc141203931 \h </w:instrText>
          </w:r>
          <w:r>
            <w:fldChar w:fldCharType="separate"/>
          </w:r>
          <w:r>
            <w:t>45</w:t>
          </w:r>
          <w:r>
            <w:fldChar w:fldCharType="end"/>
          </w:r>
          <w:r>
            <w:fldChar w:fldCharType="end"/>
          </w:r>
        </w:p>
        <w:p>
          <w:pPr>
            <w:pStyle w:val="15"/>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"_Toc141203932" </w:instrText>
          </w:r>
          <w:r>
            <w:fldChar w:fldCharType="separate"/>
          </w:r>
          <w:r>
            <w:rPr>
              <w:rStyle w:val="24"/>
            </w:rPr>
            <w:t>第五章 安全设备清单</w:t>
          </w:r>
          <w:r>
            <w:tab/>
          </w:r>
          <w:r>
            <w:fldChar w:fldCharType="begin"/>
          </w:r>
          <w:r>
            <w:instrText xml:space="preserve"> PAGEREF _Toc141203932 \h </w:instrText>
          </w:r>
          <w:r>
            <w:fldChar w:fldCharType="separate"/>
          </w:r>
          <w:r>
            <w:t>46</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"_Toc141203933" </w:instrText>
          </w:r>
          <w:r>
            <w:fldChar w:fldCharType="separate"/>
          </w:r>
          <w:r>
            <w:rPr>
              <w:rStyle w:val="24"/>
            </w:rPr>
            <w:t>5.1预防事故安全设备</w:t>
          </w:r>
          <w:r>
            <w:tab/>
          </w:r>
          <w:r>
            <w:fldChar w:fldCharType="begin"/>
          </w:r>
          <w:r>
            <w:instrText xml:space="preserve"> PAGEREF _Toc141203933 \h </w:instrText>
          </w:r>
          <w:r>
            <w:fldChar w:fldCharType="separate"/>
          </w:r>
          <w:r>
            <w:t>46</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"_Toc141203934" </w:instrText>
          </w:r>
          <w:r>
            <w:fldChar w:fldCharType="separate"/>
          </w:r>
          <w:r>
            <w:rPr>
              <w:rStyle w:val="24"/>
            </w:rPr>
            <w:t>5.1.1检测报警设施</w:t>
          </w:r>
          <w:r>
            <w:tab/>
          </w:r>
          <w:r>
            <w:fldChar w:fldCharType="begin"/>
          </w:r>
          <w:r>
            <w:instrText xml:space="preserve"> PAGEREF _Toc141203934 \h </w:instrText>
          </w:r>
          <w:r>
            <w:fldChar w:fldCharType="separate"/>
          </w:r>
          <w:r>
            <w:t>46</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"_Toc141203935" </w:instrText>
          </w:r>
          <w:r>
            <w:fldChar w:fldCharType="separate"/>
          </w:r>
          <w:r>
            <w:rPr>
              <w:rStyle w:val="24"/>
            </w:rPr>
            <w:t>5.1.2设备安全防护措施</w:t>
          </w:r>
          <w:r>
            <w:tab/>
          </w:r>
          <w:r>
            <w:fldChar w:fldCharType="begin"/>
          </w:r>
          <w:r>
            <w:instrText xml:space="preserve"> PAGEREF _Toc141203935 \h </w:instrText>
          </w:r>
          <w:r>
            <w:fldChar w:fldCharType="separate"/>
          </w:r>
          <w:r>
            <w:t>51</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"_Toc141203936" </w:instrText>
          </w:r>
          <w:r>
            <w:fldChar w:fldCharType="separate"/>
          </w:r>
          <w:r>
            <w:rPr>
              <w:rStyle w:val="24"/>
            </w:rPr>
            <w:t>5.1.3防爆设施</w:t>
          </w:r>
          <w:r>
            <w:tab/>
          </w:r>
          <w:r>
            <w:fldChar w:fldCharType="begin"/>
          </w:r>
          <w:r>
            <w:instrText xml:space="preserve"> PAGEREF _Toc141203936 \h </w:instrText>
          </w:r>
          <w:r>
            <w:fldChar w:fldCharType="separate"/>
          </w:r>
          <w:r>
            <w:t>55</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"_Toc141203937" </w:instrText>
          </w:r>
          <w:r>
            <w:fldChar w:fldCharType="separate"/>
          </w:r>
          <w:r>
            <w:rPr>
              <w:rStyle w:val="24"/>
            </w:rPr>
            <w:t>5.1.4作业场所防护设施</w:t>
          </w:r>
          <w:r>
            <w:tab/>
          </w:r>
          <w:r>
            <w:fldChar w:fldCharType="begin"/>
          </w:r>
          <w:r>
            <w:instrText xml:space="preserve"> PAGEREF _Toc141203937 \h </w:instrText>
          </w:r>
          <w:r>
            <w:fldChar w:fldCharType="separate"/>
          </w:r>
          <w:r>
            <w:t>57</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"_Toc141203938" </w:instrText>
          </w:r>
          <w:r>
            <w:fldChar w:fldCharType="separate"/>
          </w:r>
          <w:r>
            <w:rPr>
              <w:rStyle w:val="24"/>
            </w:rPr>
            <w:t>5.1.5安全警示标志</w:t>
          </w:r>
          <w:r>
            <w:tab/>
          </w:r>
          <w:r>
            <w:fldChar w:fldCharType="begin"/>
          </w:r>
          <w:r>
            <w:instrText xml:space="preserve"> PAGEREF _Toc141203938 \h </w:instrText>
          </w:r>
          <w:r>
            <w:fldChar w:fldCharType="separate"/>
          </w:r>
          <w:r>
            <w:t>59</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"_Toc141203939" </w:instrText>
          </w:r>
          <w:r>
            <w:fldChar w:fldCharType="separate"/>
          </w:r>
          <w:r>
            <w:rPr>
              <w:rStyle w:val="24"/>
            </w:rPr>
            <w:t>5.2控制事故安全设备</w:t>
          </w:r>
          <w:r>
            <w:tab/>
          </w:r>
          <w:r>
            <w:fldChar w:fldCharType="begin"/>
          </w:r>
          <w:r>
            <w:instrText xml:space="preserve"> PAGEREF _Toc141203939 \h </w:instrText>
          </w:r>
          <w:r>
            <w:fldChar w:fldCharType="separate"/>
          </w:r>
          <w:r>
            <w:t>61</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"_Toc141203940" </w:instrText>
          </w:r>
          <w:r>
            <w:fldChar w:fldCharType="separate"/>
          </w:r>
          <w:r>
            <w:rPr>
              <w:rStyle w:val="24"/>
            </w:rPr>
            <w:t>5.2.1泄压和止逆设施</w:t>
          </w:r>
          <w:r>
            <w:tab/>
          </w:r>
          <w:r>
            <w:fldChar w:fldCharType="begin"/>
          </w:r>
          <w:r>
            <w:instrText xml:space="preserve"> PAGEREF _Toc141203940 \h </w:instrText>
          </w:r>
          <w:r>
            <w:fldChar w:fldCharType="separate"/>
          </w:r>
          <w:r>
            <w:t>61</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"_Toc141203941" </w:instrText>
          </w:r>
          <w:r>
            <w:fldChar w:fldCharType="separate"/>
          </w:r>
          <w:r>
            <w:rPr>
              <w:rStyle w:val="24"/>
            </w:rPr>
            <w:t>5.2.2紧急处理设施</w:t>
          </w:r>
          <w:r>
            <w:tab/>
          </w:r>
          <w:r>
            <w:fldChar w:fldCharType="begin"/>
          </w:r>
          <w:r>
            <w:instrText xml:space="preserve"> PAGEREF _Toc141203941 \h </w:instrText>
          </w:r>
          <w:r>
            <w:fldChar w:fldCharType="separate"/>
          </w:r>
          <w:r>
            <w:t>64</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"_Toc141203942" </w:instrText>
          </w:r>
          <w:r>
            <w:fldChar w:fldCharType="separate"/>
          </w:r>
          <w:r>
            <w:rPr>
              <w:rStyle w:val="24"/>
            </w:rPr>
            <w:t>5.3减少与消除事故影响安全设备</w:t>
          </w:r>
          <w:r>
            <w:tab/>
          </w:r>
          <w:r>
            <w:fldChar w:fldCharType="begin"/>
          </w:r>
          <w:r>
            <w:instrText xml:space="preserve"> PAGEREF _Toc141203942 \h </w:instrText>
          </w:r>
          <w:r>
            <w:fldChar w:fldCharType="separate"/>
          </w:r>
          <w:r>
            <w:t>67</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"_Toc141203943" </w:instrText>
          </w:r>
          <w:r>
            <w:fldChar w:fldCharType="separate"/>
          </w:r>
          <w:r>
            <w:rPr>
              <w:rStyle w:val="24"/>
            </w:rPr>
            <w:t>5.3.1防止火灾蔓延设施</w:t>
          </w:r>
          <w:r>
            <w:tab/>
          </w:r>
          <w:r>
            <w:fldChar w:fldCharType="begin"/>
          </w:r>
          <w:r>
            <w:instrText xml:space="preserve"> PAGEREF _Toc141203943 \h </w:instrText>
          </w:r>
          <w:r>
            <w:fldChar w:fldCharType="separate"/>
          </w:r>
          <w:r>
            <w:t>67</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"_Toc141203944" </w:instrText>
          </w:r>
          <w:r>
            <w:fldChar w:fldCharType="separate"/>
          </w:r>
          <w:r>
            <w:rPr>
              <w:rStyle w:val="24"/>
            </w:rPr>
            <w:t>5.3.2应急救援设施</w:t>
          </w:r>
          <w:r>
            <w:tab/>
          </w:r>
          <w:r>
            <w:fldChar w:fldCharType="begin"/>
          </w:r>
          <w:r>
            <w:instrText xml:space="preserve"> PAGEREF _Toc141203944 \h </w:instrText>
          </w:r>
          <w:r>
            <w:fldChar w:fldCharType="separate"/>
          </w:r>
          <w:r>
            <w:t>71</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"_Toc141203945" </w:instrText>
          </w:r>
          <w:r>
            <w:fldChar w:fldCharType="separate"/>
          </w:r>
          <w:r>
            <w:rPr>
              <w:rStyle w:val="24"/>
            </w:rPr>
            <w:t>5.3.3逃生避难设施</w:t>
          </w:r>
          <w:r>
            <w:tab/>
          </w:r>
          <w:r>
            <w:fldChar w:fldCharType="begin"/>
          </w:r>
          <w:r>
            <w:instrText xml:space="preserve"> PAGEREF _Toc141203945 \h </w:instrText>
          </w:r>
          <w:r>
            <w:fldChar w:fldCharType="separate"/>
          </w:r>
          <w:r>
            <w:t>72</w:t>
          </w:r>
          <w:r>
            <w:fldChar w:fldCharType="end"/>
          </w:r>
          <w:r>
            <w:fldChar w:fldCharType="end"/>
          </w:r>
        </w:p>
        <w:p>
          <w:pPr>
            <w:pStyle w:val="15"/>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"_Toc141203946" </w:instrText>
          </w:r>
          <w:r>
            <w:fldChar w:fldCharType="separate"/>
          </w:r>
          <w:r>
            <w:rPr>
              <w:rStyle w:val="24"/>
            </w:rPr>
            <w:t>第六章安全预评价方法和评价单元</w:t>
          </w:r>
          <w:r>
            <w:tab/>
          </w:r>
          <w:r>
            <w:fldChar w:fldCharType="begin"/>
          </w:r>
          <w:r>
            <w:instrText xml:space="preserve"> PAGEREF _Toc141203946 \h </w:instrText>
          </w:r>
          <w:r>
            <w:fldChar w:fldCharType="separate"/>
          </w:r>
          <w:r>
            <w:t>75</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"_Toc141203947" </w:instrText>
          </w:r>
          <w:r>
            <w:fldChar w:fldCharType="separate"/>
          </w:r>
          <w:r>
            <w:rPr>
              <w:rStyle w:val="24"/>
            </w:rPr>
            <w:t>6.1安全预评价方法简介</w:t>
          </w:r>
          <w:r>
            <w:tab/>
          </w:r>
          <w:r>
            <w:fldChar w:fldCharType="begin"/>
          </w:r>
          <w:r>
            <w:instrText xml:space="preserve"> PAGEREF _Toc141203947 \h </w:instrText>
          </w:r>
          <w:r>
            <w:fldChar w:fldCharType="separate"/>
          </w:r>
          <w:r>
            <w:t>75</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"_Toc141203948" </w:instrText>
          </w:r>
          <w:r>
            <w:fldChar w:fldCharType="separate"/>
          </w:r>
          <w:r>
            <w:rPr>
              <w:rStyle w:val="24"/>
            </w:rPr>
            <w:t>6.1.1预先危险性分析方法（PHA）</w:t>
          </w:r>
          <w:r>
            <w:tab/>
          </w:r>
          <w:r>
            <w:fldChar w:fldCharType="begin"/>
          </w:r>
          <w:r>
            <w:instrText xml:space="preserve"> PAGEREF _Toc141203948 \h </w:instrText>
          </w:r>
          <w:r>
            <w:fldChar w:fldCharType="separate"/>
          </w:r>
          <w:r>
            <w:t>75</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"_Toc141203949" </w:instrText>
          </w:r>
          <w:r>
            <w:fldChar w:fldCharType="separate"/>
          </w:r>
          <w:r>
            <w:rPr>
              <w:rStyle w:val="24"/>
            </w:rPr>
            <w:t>6.1.2危险度评价法</w:t>
          </w:r>
          <w:r>
            <w:tab/>
          </w:r>
          <w:r>
            <w:fldChar w:fldCharType="begin"/>
          </w:r>
          <w:r>
            <w:instrText xml:space="preserve"> PAGEREF _Toc141203949 \h </w:instrText>
          </w:r>
          <w:r>
            <w:fldChar w:fldCharType="separate"/>
          </w:r>
          <w:r>
            <w:t>77</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"_Toc141203950" </w:instrText>
          </w:r>
          <w:r>
            <w:fldChar w:fldCharType="separate"/>
          </w:r>
          <w:r>
            <w:rPr>
              <w:rStyle w:val="24"/>
            </w:rPr>
            <w:t>6.1.3道化学（DOW）公司火灾、爆炸危险指数评价法</w:t>
          </w:r>
          <w:r>
            <w:tab/>
          </w:r>
          <w:r>
            <w:fldChar w:fldCharType="begin"/>
          </w:r>
          <w:r>
            <w:instrText xml:space="preserve"> PAGEREF _Toc141203950 \h </w:instrText>
          </w:r>
          <w:r>
            <w:fldChar w:fldCharType="separate"/>
          </w:r>
          <w:r>
            <w:t>78</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"_Toc141203951" </w:instrText>
          </w:r>
          <w:r>
            <w:fldChar w:fldCharType="separate"/>
          </w:r>
          <w:r>
            <w:rPr>
              <w:rStyle w:val="24"/>
            </w:rPr>
            <w:t>6.2评价单元的划分</w:t>
          </w:r>
          <w:r>
            <w:tab/>
          </w:r>
          <w:r>
            <w:fldChar w:fldCharType="begin"/>
          </w:r>
          <w:r>
            <w:instrText xml:space="preserve"> PAGEREF _Toc141203951 \h </w:instrText>
          </w:r>
          <w:r>
            <w:fldChar w:fldCharType="separate"/>
          </w:r>
          <w:r>
            <w:t>80</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"_Toc141203952" </w:instrText>
          </w:r>
          <w:r>
            <w:fldChar w:fldCharType="separate"/>
          </w:r>
          <w:r>
            <w:rPr>
              <w:rStyle w:val="24"/>
            </w:rPr>
            <w:t>6.2.1评价单元划分原则</w:t>
          </w:r>
          <w:r>
            <w:tab/>
          </w:r>
          <w:r>
            <w:fldChar w:fldCharType="begin"/>
          </w:r>
          <w:r>
            <w:instrText xml:space="preserve"> PAGEREF _Toc141203952 \h </w:instrText>
          </w:r>
          <w:r>
            <w:fldChar w:fldCharType="separate"/>
          </w:r>
          <w:r>
            <w:t>80</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"_Toc141203953" </w:instrText>
          </w:r>
          <w:r>
            <w:fldChar w:fldCharType="separate"/>
          </w:r>
          <w:r>
            <w:rPr>
              <w:rStyle w:val="24"/>
            </w:rPr>
            <w:t>6.2.2评价单元划分</w:t>
          </w:r>
          <w:r>
            <w:tab/>
          </w:r>
          <w:r>
            <w:fldChar w:fldCharType="begin"/>
          </w:r>
          <w:r>
            <w:instrText xml:space="preserve"> PAGEREF _Toc141203953 \h </w:instrText>
          </w:r>
          <w:r>
            <w:fldChar w:fldCharType="separate"/>
          </w:r>
          <w:r>
            <w:t>80</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"_Toc141203954" </w:instrText>
          </w:r>
          <w:r>
            <w:fldChar w:fldCharType="separate"/>
          </w:r>
          <w:r>
            <w:rPr>
              <w:rStyle w:val="24"/>
            </w:rPr>
            <w:t>6.2.3评价方法的选择</w:t>
          </w:r>
          <w:r>
            <w:tab/>
          </w:r>
          <w:r>
            <w:fldChar w:fldCharType="begin"/>
          </w:r>
          <w:r>
            <w:instrText xml:space="preserve"> PAGEREF _Toc141203954 \h </w:instrText>
          </w:r>
          <w:r>
            <w:fldChar w:fldCharType="separate"/>
          </w:r>
          <w:r>
            <w:t>80</w:t>
          </w:r>
          <w:r>
            <w:fldChar w:fldCharType="end"/>
          </w:r>
          <w:r>
            <w:fldChar w:fldCharType="end"/>
          </w:r>
        </w:p>
        <w:p>
          <w:pPr>
            <w:pStyle w:val="15"/>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"_Toc141203955" </w:instrText>
          </w:r>
          <w:r>
            <w:fldChar w:fldCharType="separate"/>
          </w:r>
          <w:r>
            <w:rPr>
              <w:rStyle w:val="24"/>
            </w:rPr>
            <w:t>第七章生产装置单元分析评价</w:t>
          </w:r>
          <w:r>
            <w:tab/>
          </w:r>
          <w:r>
            <w:fldChar w:fldCharType="begin"/>
          </w:r>
          <w:r>
            <w:instrText xml:space="preserve"> PAGEREF _Toc141203955 \h </w:instrText>
          </w:r>
          <w:r>
            <w:fldChar w:fldCharType="separate"/>
          </w:r>
          <w:r>
            <w:t>81</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"_Toc141203956" </w:instrText>
          </w:r>
          <w:r>
            <w:fldChar w:fldCharType="separate"/>
          </w:r>
          <w:r>
            <w:rPr>
              <w:rStyle w:val="24"/>
            </w:rPr>
            <w:t>7.1生产装置单元分析评价</w:t>
          </w:r>
          <w:r>
            <w:tab/>
          </w:r>
          <w:r>
            <w:fldChar w:fldCharType="begin"/>
          </w:r>
          <w:r>
            <w:instrText xml:space="preserve"> PAGEREF _Toc141203956 \h </w:instrText>
          </w:r>
          <w:r>
            <w:fldChar w:fldCharType="separate"/>
          </w:r>
          <w:r>
            <w:t>81</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"_Toc141203957" </w:instrText>
          </w:r>
          <w:r>
            <w:fldChar w:fldCharType="separate"/>
          </w:r>
          <w:r>
            <w:rPr>
              <w:rStyle w:val="24"/>
            </w:rPr>
            <w:t>7.1.1精馏塔预先危险性分析</w:t>
          </w:r>
          <w:r>
            <w:tab/>
          </w:r>
          <w:r>
            <w:fldChar w:fldCharType="begin"/>
          </w:r>
          <w:r>
            <w:instrText xml:space="preserve"> PAGEREF _Toc141203957 \h </w:instrText>
          </w:r>
          <w:r>
            <w:fldChar w:fldCharType="separate"/>
          </w:r>
          <w:r>
            <w:t>81</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"_Toc141203958" </w:instrText>
          </w:r>
          <w:r>
            <w:fldChar w:fldCharType="separate"/>
          </w:r>
          <w:r>
            <w:rPr>
              <w:rStyle w:val="24"/>
            </w:rPr>
            <w:t>7.1.2进料罐预先危险性分析</w:t>
          </w:r>
          <w:r>
            <w:tab/>
          </w:r>
          <w:r>
            <w:fldChar w:fldCharType="begin"/>
          </w:r>
          <w:r>
            <w:instrText xml:space="preserve"> PAGEREF _Toc141203958 \h </w:instrText>
          </w:r>
          <w:r>
            <w:fldChar w:fldCharType="separate"/>
          </w:r>
          <w:r>
            <w:t>88</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"_Toc141203959" </w:instrText>
          </w:r>
          <w:r>
            <w:fldChar w:fldCharType="separate"/>
          </w:r>
          <w:r>
            <w:rPr>
              <w:rStyle w:val="24"/>
            </w:rPr>
            <w:t>7.1.3机泵预先危险性分析</w:t>
          </w:r>
          <w:r>
            <w:tab/>
          </w:r>
          <w:r>
            <w:fldChar w:fldCharType="begin"/>
          </w:r>
          <w:r>
            <w:instrText xml:space="preserve"> PAGEREF _Toc141203959 \h </w:instrText>
          </w:r>
          <w:r>
            <w:fldChar w:fldCharType="separate"/>
          </w:r>
          <w:r>
            <w:t>94</w:t>
          </w:r>
          <w:r>
            <w:fldChar w:fldCharType="end"/>
          </w:r>
          <w:r>
            <w:fldChar w:fldCharType="end"/>
          </w:r>
        </w:p>
        <w:p>
          <w:pPr>
            <w:pStyle w:val="11"/>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"_Toc141203960" </w:instrText>
          </w:r>
          <w:r>
            <w:fldChar w:fldCharType="separate"/>
          </w:r>
          <w:r>
            <w:rPr>
              <w:rStyle w:val="24"/>
            </w:rPr>
            <w:t>7.1.4回流罐预先危险性分析</w:t>
          </w:r>
          <w:r>
            <w:tab/>
          </w:r>
          <w:r>
            <w:fldChar w:fldCharType="begin"/>
          </w:r>
          <w:r>
            <w:instrText xml:space="preserve"> PAGEREF _Toc141203960 \h </w:instrText>
          </w:r>
          <w:r>
            <w:fldChar w:fldCharType="separate"/>
          </w:r>
          <w:r>
            <w:t>100</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"_Toc141203961" </w:instrText>
          </w:r>
          <w:r>
            <w:fldChar w:fldCharType="separate"/>
          </w:r>
          <w:r>
            <w:rPr>
              <w:rStyle w:val="24"/>
            </w:rPr>
            <w:t>7.2 危险度评价</w:t>
          </w:r>
          <w:r>
            <w:tab/>
          </w:r>
          <w:r>
            <w:fldChar w:fldCharType="begin"/>
          </w:r>
          <w:r>
            <w:instrText xml:space="preserve"> PAGEREF _Toc141203961 \h </w:instrText>
          </w:r>
          <w:r>
            <w:fldChar w:fldCharType="separate"/>
          </w:r>
          <w:r>
            <w:t>109</w:t>
          </w:r>
          <w:r>
            <w:fldChar w:fldCharType="end"/>
          </w:r>
          <w:r>
            <w:fldChar w:fldCharType="end"/>
          </w:r>
        </w:p>
        <w:p>
          <w:pPr>
            <w:pStyle w:val="15"/>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"_Toc141203962" </w:instrText>
          </w:r>
          <w:r>
            <w:fldChar w:fldCharType="separate"/>
          </w:r>
          <w:r>
            <w:rPr>
              <w:rStyle w:val="24"/>
            </w:rPr>
            <w:t>第八章危险性与可操作性分析（HAZOP）</w:t>
          </w:r>
          <w:r>
            <w:tab/>
          </w:r>
          <w:r>
            <w:fldChar w:fldCharType="begin"/>
          </w:r>
          <w:r>
            <w:instrText xml:space="preserve"> PAGEREF _Toc141203962 \h </w:instrText>
          </w:r>
          <w:r>
            <w:fldChar w:fldCharType="separate"/>
          </w:r>
          <w:r>
            <w:t>112</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"_Toc141203963" </w:instrText>
          </w:r>
          <w:r>
            <w:fldChar w:fldCharType="separate"/>
          </w:r>
          <w:r>
            <w:rPr>
              <w:rStyle w:val="24"/>
            </w:rPr>
            <w:t>8.1 HAZOP分析概况</w:t>
          </w:r>
          <w:r>
            <w:tab/>
          </w:r>
          <w:r>
            <w:fldChar w:fldCharType="begin"/>
          </w:r>
          <w:r>
            <w:instrText xml:space="preserve"> PAGEREF _Toc141203963 \h </w:instrText>
          </w:r>
          <w:r>
            <w:fldChar w:fldCharType="separate"/>
          </w:r>
          <w:r>
            <w:t>112</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"_Toc141203964" </w:instrText>
          </w:r>
          <w:r>
            <w:fldChar w:fldCharType="separate"/>
          </w:r>
          <w:r>
            <w:rPr>
              <w:rStyle w:val="24"/>
            </w:rPr>
            <w:t>8.2 HAZOP的基本原理</w:t>
          </w:r>
          <w:r>
            <w:tab/>
          </w:r>
          <w:r>
            <w:fldChar w:fldCharType="begin"/>
          </w:r>
          <w:r>
            <w:instrText xml:space="preserve"> PAGEREF _Toc141203964 \h </w:instrText>
          </w:r>
          <w:r>
            <w:fldChar w:fldCharType="separate"/>
          </w:r>
          <w:r>
            <w:t>112</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"_Toc141203965" </w:instrText>
          </w:r>
          <w:r>
            <w:fldChar w:fldCharType="separate"/>
          </w:r>
          <w:r>
            <w:rPr>
              <w:rStyle w:val="24"/>
            </w:rPr>
            <w:t>8.3 HAZOP分析的过程</w:t>
          </w:r>
          <w:r>
            <w:tab/>
          </w:r>
          <w:r>
            <w:fldChar w:fldCharType="begin"/>
          </w:r>
          <w:r>
            <w:instrText xml:space="preserve"> PAGEREF _Toc141203965 \h </w:instrText>
          </w:r>
          <w:r>
            <w:fldChar w:fldCharType="separate"/>
          </w:r>
          <w:r>
            <w:t>113</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"_Toc141203966" </w:instrText>
          </w:r>
          <w:r>
            <w:fldChar w:fldCharType="separate"/>
          </w:r>
          <w:r>
            <w:rPr>
              <w:rStyle w:val="24"/>
            </w:rPr>
            <w:t>8.4 HAZOP分析的节点与划分</w:t>
          </w:r>
          <w:r>
            <w:tab/>
          </w:r>
          <w:r>
            <w:fldChar w:fldCharType="begin"/>
          </w:r>
          <w:r>
            <w:instrText xml:space="preserve"> PAGEREF _Toc141203966 \h </w:instrText>
          </w:r>
          <w:r>
            <w:fldChar w:fldCharType="separate"/>
          </w:r>
          <w:r>
            <w:t>113</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"_Toc141203967" </w:instrText>
          </w:r>
          <w:r>
            <w:fldChar w:fldCharType="separate"/>
          </w:r>
          <w:r>
            <w:rPr>
              <w:rStyle w:val="24"/>
            </w:rPr>
            <w:t>8.5 HAZOP分析的工艺引导词</w:t>
          </w:r>
          <w:r>
            <w:tab/>
          </w:r>
          <w:r>
            <w:fldChar w:fldCharType="begin"/>
          </w:r>
          <w:r>
            <w:instrText xml:space="preserve"> PAGEREF _Toc141203967 \h </w:instrText>
          </w:r>
          <w:r>
            <w:fldChar w:fldCharType="separate"/>
          </w:r>
          <w:r>
            <w:t>114</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"_Toc141203968" </w:instrText>
          </w:r>
          <w:r>
            <w:fldChar w:fldCharType="separate"/>
          </w:r>
          <w:r>
            <w:rPr>
              <w:rStyle w:val="24"/>
            </w:rPr>
            <w:t>8.6HAZOP分析的结果报告</w:t>
          </w:r>
          <w:r>
            <w:tab/>
          </w:r>
          <w:r>
            <w:fldChar w:fldCharType="begin"/>
          </w:r>
          <w:r>
            <w:instrText xml:space="preserve"> PAGEREF _Toc141203968 \h </w:instrText>
          </w:r>
          <w:r>
            <w:fldChar w:fldCharType="separate"/>
          </w:r>
          <w:r>
            <w:t>115</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"_Toc141203969" </w:instrText>
          </w:r>
          <w:r>
            <w:fldChar w:fldCharType="separate"/>
          </w:r>
          <w:r>
            <w:rPr>
              <w:rStyle w:val="24"/>
            </w:rPr>
            <w:t>8.7 HAZOP分析的优缺点</w:t>
          </w:r>
          <w:r>
            <w:tab/>
          </w:r>
          <w:r>
            <w:fldChar w:fldCharType="begin"/>
          </w:r>
          <w:r>
            <w:instrText xml:space="preserve"> PAGEREF _Toc141203969 \h </w:instrText>
          </w:r>
          <w:r>
            <w:fldChar w:fldCharType="separate"/>
          </w:r>
          <w:r>
            <w:t>115</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"_Toc141203970" </w:instrText>
          </w:r>
          <w:r>
            <w:fldChar w:fldCharType="separate"/>
          </w:r>
          <w:r>
            <w:rPr>
              <w:rStyle w:val="24"/>
            </w:rPr>
            <w:t>8.8 HAZOP分析与工艺装置开车的关系</w:t>
          </w:r>
          <w:r>
            <w:tab/>
          </w:r>
          <w:r>
            <w:fldChar w:fldCharType="begin"/>
          </w:r>
          <w:r>
            <w:instrText xml:space="preserve"> PAGEREF _Toc141203970 \h </w:instrText>
          </w:r>
          <w:r>
            <w:fldChar w:fldCharType="separate"/>
          </w:r>
          <w:r>
            <w:t>115</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"_Toc141203971" </w:instrText>
          </w:r>
          <w:r>
            <w:fldChar w:fldCharType="separate"/>
          </w:r>
          <w:r>
            <w:rPr>
              <w:rStyle w:val="24"/>
            </w:rPr>
            <w:t>8.9HAZOP分析的实际应用</w:t>
          </w:r>
          <w:r>
            <w:tab/>
          </w:r>
          <w:r>
            <w:fldChar w:fldCharType="begin"/>
          </w:r>
          <w:r>
            <w:instrText xml:space="preserve"> PAGEREF _Toc141203971 \h </w:instrText>
          </w:r>
          <w:r>
            <w:fldChar w:fldCharType="separate"/>
          </w:r>
          <w:r>
            <w:t>116</w:t>
          </w:r>
          <w:r>
            <w:fldChar w:fldCharType="end"/>
          </w:r>
          <w:r>
            <w:fldChar w:fldCharType="end"/>
          </w:r>
        </w:p>
        <w:p>
          <w:pPr>
            <w:pStyle w:val="15"/>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"_Toc141203972" </w:instrText>
          </w:r>
          <w:r>
            <w:fldChar w:fldCharType="separate"/>
          </w:r>
          <w:r>
            <w:rPr>
              <w:rStyle w:val="24"/>
            </w:rPr>
            <w:t>第九章预评价结论</w:t>
          </w:r>
          <w:r>
            <w:tab/>
          </w:r>
          <w:r>
            <w:fldChar w:fldCharType="begin"/>
          </w:r>
          <w:r>
            <w:instrText xml:space="preserve"> PAGEREF _Toc141203972 \h </w:instrText>
          </w:r>
          <w:r>
            <w:fldChar w:fldCharType="separate"/>
          </w:r>
          <w:r>
            <w:t>120</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"_Toc141203973" </w:instrText>
          </w:r>
          <w:r>
            <w:fldChar w:fldCharType="separate"/>
          </w:r>
          <w:r>
            <w:rPr>
              <w:rStyle w:val="24"/>
            </w:rPr>
            <w:t>9.1主要危险、有害因素评级结果</w:t>
          </w:r>
          <w:r>
            <w:tab/>
          </w:r>
          <w:r>
            <w:fldChar w:fldCharType="begin"/>
          </w:r>
          <w:r>
            <w:instrText xml:space="preserve"> PAGEREF _Toc141203973 \h </w:instrText>
          </w:r>
          <w:r>
            <w:fldChar w:fldCharType="separate"/>
          </w:r>
          <w:r>
            <w:t>120</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"_Toc141203974" </w:instrText>
          </w:r>
          <w:r>
            <w:fldChar w:fldCharType="separate"/>
          </w:r>
          <w:r>
            <w:rPr>
              <w:rStyle w:val="24"/>
            </w:rPr>
            <w:t>9.2重点防范的重大危险、有害因素</w:t>
          </w:r>
          <w:r>
            <w:tab/>
          </w:r>
          <w:r>
            <w:fldChar w:fldCharType="begin"/>
          </w:r>
          <w:r>
            <w:instrText xml:space="preserve"> PAGEREF _Toc141203974 \h </w:instrText>
          </w:r>
          <w:r>
            <w:fldChar w:fldCharType="separate"/>
          </w:r>
          <w:r>
            <w:t>120</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"_Toc141203975" </w:instrText>
          </w:r>
          <w:r>
            <w:fldChar w:fldCharType="separate"/>
          </w:r>
          <w:r>
            <w:rPr>
              <w:rStyle w:val="24"/>
            </w:rPr>
            <w:t>9.3应重视的重要安全对策措施</w:t>
          </w:r>
          <w:r>
            <w:tab/>
          </w:r>
          <w:r>
            <w:fldChar w:fldCharType="begin"/>
          </w:r>
          <w:r>
            <w:instrText xml:space="preserve"> PAGEREF _Toc141203975 \h </w:instrText>
          </w:r>
          <w:r>
            <w:fldChar w:fldCharType="separate"/>
          </w:r>
          <w:r>
            <w:t>121</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"_Toc141203976" </w:instrText>
          </w:r>
          <w:r>
            <w:fldChar w:fldCharType="separate"/>
          </w:r>
          <w:r>
            <w:rPr>
              <w:rStyle w:val="24"/>
            </w:rPr>
            <w:t>9.4潜在的危险、有害因素在采取措施后得到控制及受控程度</w:t>
          </w:r>
          <w:r>
            <w:tab/>
          </w:r>
          <w:r>
            <w:fldChar w:fldCharType="begin"/>
          </w:r>
          <w:r>
            <w:instrText xml:space="preserve"> PAGEREF _Toc141203976 \h </w:instrText>
          </w:r>
          <w:r>
            <w:fldChar w:fldCharType="separate"/>
          </w:r>
          <w:r>
            <w:t>122</w:t>
          </w:r>
          <w:r>
            <w:fldChar w:fldCharType="end"/>
          </w:r>
          <w:r>
            <w:fldChar w:fldCharType="end"/>
          </w:r>
        </w:p>
        <w:p>
          <w:pPr>
            <w:pStyle w:val="18"/>
            <w:tabs>
              <w:tab w:val="right" w:leader="dot" w:pos="8296"/>
            </w:tabs>
            <w:spacing w:before="156" w:after="156"/>
            <w:ind w:firstLine="420"/>
            <w:rPr>
              <w:rFonts w:asciiTheme="minorHAnsi" w:hAnsiTheme="minorHAnsi" w:eastAsiaTheme="minorEastAsia" w:cstheme="minorBidi"/>
              <w:kern w:val="2"/>
            </w:rPr>
          </w:pPr>
          <w:r>
            <w:fldChar w:fldCharType="begin"/>
          </w:r>
          <w:r>
            <w:instrText xml:space="preserve"> HYPERLINK \l "_Toc141203977" </w:instrText>
          </w:r>
          <w:r>
            <w:fldChar w:fldCharType="separate"/>
          </w:r>
          <w:r>
            <w:rPr>
              <w:rStyle w:val="24"/>
            </w:rPr>
            <w:t>9.5结论</w:t>
          </w:r>
          <w:r>
            <w:tab/>
          </w:r>
          <w:r>
            <w:fldChar w:fldCharType="begin"/>
          </w:r>
          <w:r>
            <w:instrText xml:space="preserve"> PAGEREF _Toc141203977 \h </w:instrText>
          </w:r>
          <w:r>
            <w:fldChar w:fldCharType="separate"/>
          </w:r>
          <w:r>
            <w:t>122</w:t>
          </w:r>
          <w:r>
            <w:fldChar w:fldCharType="end"/>
          </w:r>
          <w:r>
            <w:fldChar w:fldCharType="end"/>
          </w:r>
        </w:p>
        <w:p>
          <w:pPr>
            <w:spacing w:before="156" w:after="156"/>
            <w:ind w:firstLine="422"/>
          </w:pPr>
          <w:r>
            <w:rPr>
              <w:b/>
              <w:bCs/>
              <w:lang w:val="zh-CN"/>
            </w:rPr>
            <w:fldChar w:fldCharType="end"/>
          </w:r>
        </w:p>
      </w:sdtContent>
    </w:sdt>
    <w:p>
      <w:pPr>
        <w:spacing w:before="156" w:after="156"/>
        <w:ind w:firstLine="420"/>
      </w:pPr>
    </w:p>
    <w:p>
      <w:pPr>
        <w:widowControl/>
        <w:autoSpaceDE/>
        <w:autoSpaceDN/>
        <w:spacing w:before="0" w:beforeLines="0" w:after="0" w:afterLines="0"/>
        <w:ind w:left="210" w:right="210" w:firstLine="420"/>
      </w:pPr>
      <w:r>
        <w:br w:type="page"/>
      </w:r>
    </w:p>
    <w:p>
      <w:pPr>
        <w:pStyle w:val="2"/>
        <w:spacing w:before="156" w:after="156"/>
        <w:ind w:firstLine="883"/>
      </w:pPr>
      <w:bookmarkStart w:id="9" w:name="_Toc141203869"/>
      <w:r>
        <w:rPr>
          <w:rFonts w:hint="eastAsia"/>
        </w:rPr>
        <w:t>前言</w:t>
      </w:r>
      <w:bookmarkEnd w:id="9"/>
    </w:p>
    <w:p>
      <w:pPr>
        <w:spacing w:before="156" w:after="156"/>
        <w:ind w:left="210" w:right="210" w:firstLine="420"/>
      </w:pPr>
      <w:r>
        <w:rPr>
          <w:rFonts w:hint="eastAsia"/>
        </w:rPr>
        <w:t>本项目拟在重庆白涛化工园区建设一座己二酸催化氨化法年产</w:t>
      </w:r>
      <w:r>
        <w:t>10.5</w:t>
      </w:r>
      <w:r>
        <w:rPr>
          <w:rFonts w:hint="eastAsia"/>
        </w:rPr>
        <w:t>万吨己二腈与</w:t>
      </w:r>
      <w:r>
        <w:t>1.74</w:t>
      </w:r>
      <w:r>
        <w:rPr>
          <w:rFonts w:hint="eastAsia"/>
        </w:rPr>
        <w:t>万吨亚氨基-</w:t>
      </w:r>
      <w:r>
        <w:t>2-</w:t>
      </w:r>
      <w:r>
        <w:rPr>
          <w:rFonts w:hint="eastAsia"/>
        </w:rPr>
        <w:t>氰基环戊烷的大型分厂，所得己二腈纯度为</w:t>
      </w:r>
      <w:r>
        <w:t>99.99wt%</w:t>
      </w:r>
      <w:r>
        <w:rPr>
          <w:rFonts w:hint="eastAsia"/>
        </w:rPr>
        <w:t>。本项目结合了我国国情，实现了资源的高效利用，弥补了本项目弥补了当前国内市场通过己二酸法制备己二腈的不足，同时，由于该行业正处于扩张阶段，本项目可以一定程度上缓解国内市场供不应求的现状。项目预期总投资为</w:t>
      </w:r>
      <w:r>
        <w:t>42897.26</w:t>
      </w:r>
      <w:r>
        <w:rPr>
          <w:rFonts w:hint="eastAsia"/>
        </w:rPr>
        <w:t>万元，寿命期15年，所得税后投资回收期为</w:t>
      </w:r>
      <w:r>
        <w:t>2.37</w:t>
      </w:r>
      <w:r>
        <w:rPr>
          <w:rFonts w:hint="eastAsia"/>
        </w:rPr>
        <w:t>年。</w:t>
      </w:r>
    </w:p>
    <w:p>
      <w:pPr>
        <w:spacing w:before="156" w:after="156"/>
        <w:ind w:left="210" w:right="210" w:firstLine="420"/>
      </w:pPr>
      <w:r>
        <w:rPr>
          <w:rFonts w:hint="eastAsia"/>
        </w:rPr>
        <w:t>本项目根据相关法律、法规和标准规定，按照《安全预评价导则》的规范和要求，遵循国家和省市有关危险化学品生产、储存、使用安全方面的有关政策要求，在资料收集、现场勘查和类比调查的基础上，本着科学、客观公正的原则开展工作。安全评价人员和工程技术人员在认真研究分析该厂的已有相关数据和现场收集到的有关评价对象的相关资料的基础上，参考有关资料，制作了本安全现状评价报告供参考使用。</w:t>
      </w:r>
    </w:p>
    <w:p>
      <w:pPr>
        <w:widowControl/>
        <w:autoSpaceDE/>
        <w:autoSpaceDN/>
        <w:spacing w:before="0" w:beforeLines="0" w:after="0" w:afterLines="0"/>
        <w:ind w:left="210" w:right="210" w:firstLine="420"/>
      </w:pPr>
      <w:r>
        <w:br w:type="page"/>
      </w:r>
    </w:p>
    <w:p>
      <w:pPr>
        <w:pStyle w:val="2"/>
        <w:spacing w:before="156" w:after="156"/>
        <w:ind w:firstLine="883"/>
      </w:pPr>
      <w:bookmarkStart w:id="10" w:name="_Toc108206461"/>
      <w:bookmarkStart w:id="11" w:name="_Toc141203870"/>
      <w:r>
        <w:rPr>
          <w:rFonts w:hint="eastAsia"/>
        </w:rPr>
        <w:t>第一章 安全评价概述</w:t>
      </w:r>
      <w:bookmarkEnd w:id="10"/>
      <w:bookmarkEnd w:id="11"/>
    </w:p>
    <w:p>
      <w:pPr>
        <w:pStyle w:val="3"/>
        <w:spacing w:before="156" w:after="156"/>
        <w:ind w:firstLine="562"/>
      </w:pPr>
      <w:bookmarkStart w:id="12" w:name="_Toc108206462"/>
      <w:bookmarkStart w:id="13" w:name="_Toc141203871"/>
      <w:r>
        <w:rPr>
          <w:rFonts w:hint="eastAsia"/>
        </w:rPr>
        <w:t>1</w:t>
      </w:r>
      <w:r>
        <w:t>.1</w:t>
      </w:r>
      <w:r>
        <w:rPr>
          <w:rFonts w:hint="eastAsia"/>
        </w:rPr>
        <w:t>安全预评价的目的、范围、工作程序及重点</w:t>
      </w:r>
      <w:bookmarkEnd w:id="12"/>
      <w:bookmarkEnd w:id="13"/>
    </w:p>
    <w:p>
      <w:pPr>
        <w:pStyle w:val="4"/>
        <w:spacing w:before="156" w:after="156"/>
        <w:ind w:firstLine="482"/>
      </w:pPr>
      <w:bookmarkStart w:id="14" w:name="_Toc141203872"/>
      <w:bookmarkStart w:id="15" w:name="_Toc108206463"/>
      <w:r>
        <w:rPr>
          <w:rFonts w:hint="eastAsia"/>
        </w:rPr>
        <w:t>1</w:t>
      </w:r>
      <w:r>
        <w:t>.1.1</w:t>
      </w:r>
      <w:r>
        <w:rPr>
          <w:rFonts w:hint="eastAsia"/>
        </w:rPr>
        <w:t>安全预评价的目的</w:t>
      </w:r>
      <w:bookmarkEnd w:id="14"/>
      <w:bookmarkEnd w:id="15"/>
    </w:p>
    <w:p>
      <w:pPr>
        <w:spacing w:before="156" w:after="156"/>
        <w:ind w:firstLine="420"/>
      </w:pPr>
      <w:r>
        <w:t>贯彻“安全第一、预防为主”方针，为建设项目初步设计提供科学依据，以利于提高危化建设项目的本质安全程度和安全管理水平，减少和控制危化建设项目和危化生产中的危险、有害因素，降低危化生产安全风险，预防事故发生，保护建设单位和危化企业的财产安全及人员的健康和生命安全。</w:t>
      </w:r>
    </w:p>
    <w:p>
      <w:pPr>
        <w:spacing w:before="156" w:after="156"/>
        <w:ind w:firstLine="420"/>
      </w:pPr>
      <w:r>
        <w:t>（1）本次预评价的目的在于搞清楚本工程投产运行后存在的主要危险、有害因素及其产生危险、危害后果的主要条件。</w:t>
      </w:r>
    </w:p>
    <w:p>
      <w:pPr>
        <w:spacing w:before="156" w:after="156"/>
        <w:ind w:firstLine="420"/>
      </w:pPr>
      <w:r>
        <w:t>（2）对本工程投产后运行过程中的固有危险、有害因素进行定性或定量的评价，对其控制手段进行分析，同时预测其安全等级。</w:t>
      </w:r>
    </w:p>
    <w:p>
      <w:pPr>
        <w:spacing w:before="156" w:after="156"/>
        <w:ind w:firstLine="420"/>
      </w:pPr>
      <w:r>
        <w:t>（3）补充提出消除、预防或减弱装置危险性、提高装置安全运行等级的对策措施，为工程下一步的劳动安全卫生设计提供依据，以最终实现工程的本质安全化。</w:t>
      </w:r>
    </w:p>
    <w:p>
      <w:pPr>
        <w:spacing w:before="156" w:after="156"/>
        <w:ind w:firstLine="420"/>
      </w:pPr>
      <w:r>
        <w:t>（4）为本工程拟建装置的生产运行及日常劳动安全卫生管理提供依据。</w:t>
      </w:r>
    </w:p>
    <w:p>
      <w:pPr>
        <w:spacing w:before="156" w:after="156"/>
        <w:ind w:firstLine="420"/>
      </w:pPr>
      <w:r>
        <w:t>（5）为安全生产综合管理部门实施监督、管理提供依据。同时，预评价的结论可为安全生产综合管理部门审批工程初步设计文件提供依据。</w:t>
      </w:r>
    </w:p>
    <w:p>
      <w:pPr>
        <w:spacing w:before="156" w:after="156"/>
        <w:ind w:firstLine="420"/>
      </w:pPr>
      <w:r>
        <w:rPr>
          <w:rFonts w:hint="eastAsia"/>
        </w:rPr>
        <w:t>基本原则是由具备国家资质的安全评价机构科学、公正和合法地自主开展安全预评价</w:t>
      </w:r>
    </w:p>
    <w:p>
      <w:pPr>
        <w:pStyle w:val="4"/>
        <w:spacing w:before="156" w:after="156"/>
        <w:ind w:firstLine="482"/>
      </w:pPr>
      <w:bookmarkStart w:id="16" w:name="_Toc108206464"/>
      <w:bookmarkStart w:id="17" w:name="_Toc141203873"/>
      <w:r>
        <w:rPr>
          <w:rFonts w:hint="eastAsia"/>
        </w:rPr>
        <w:t>1</w:t>
      </w:r>
      <w:r>
        <w:t>.1.2</w:t>
      </w:r>
      <w:r>
        <w:rPr>
          <w:rFonts w:hint="eastAsia"/>
        </w:rPr>
        <w:t>安全预评价范围</w:t>
      </w:r>
      <w:bookmarkEnd w:id="16"/>
      <w:bookmarkEnd w:id="17"/>
    </w:p>
    <w:p>
      <w:pPr>
        <w:spacing w:before="156" w:after="156"/>
        <w:ind w:firstLine="420"/>
      </w:pPr>
      <w:r>
        <w:rPr>
          <w:rFonts w:hint="eastAsia"/>
        </w:rPr>
        <w:t>本次</w:t>
      </w:r>
      <w:r>
        <w:t>预评价的评价范围</w:t>
      </w:r>
      <w:r>
        <w:rPr>
          <w:rFonts w:hint="eastAsia"/>
        </w:rPr>
        <w:t>为重庆华峰化工有限公司年产</w:t>
      </w:r>
      <w:r>
        <w:t>10.5</w:t>
      </w:r>
      <w:r>
        <w:rPr>
          <w:rFonts w:hint="eastAsia"/>
        </w:rPr>
        <w:t>万吨己二腈设备，</w:t>
      </w:r>
      <w:r>
        <w:t>包括生产区、控制室和配电室。</w:t>
      </w:r>
    </w:p>
    <w:p>
      <w:pPr>
        <w:spacing w:before="156" w:after="156"/>
        <w:ind w:firstLine="420"/>
      </w:pPr>
      <w:r>
        <w:rPr>
          <w:rFonts w:hint="eastAsia"/>
        </w:rPr>
        <w:t>本次预评价根据国家有关法律、法规、标准，运用系统安全工程的评价方法，针对生产设备、设施以及现状等方面进行定性、定量分析，提出合理可行的对策措施，努力降低系统整体的危险性，为企业在安全管理和安全设施的投入提供依据。为政府部门对企业的决策提供依据，为各级安全生产综合监督管理部门提供监察依据。</w:t>
      </w:r>
    </w:p>
    <w:p>
      <w:pPr>
        <w:pStyle w:val="4"/>
        <w:spacing w:before="156" w:after="156"/>
        <w:ind w:firstLine="482"/>
      </w:pPr>
      <w:bookmarkStart w:id="18" w:name="_Toc108206465"/>
      <w:bookmarkStart w:id="19" w:name="_Toc141203874"/>
      <w:r>
        <w:rPr>
          <w:rFonts w:hint="eastAsia"/>
        </w:rPr>
        <w:t>1</w:t>
      </w:r>
      <w:r>
        <w:t>.1.3</w:t>
      </w:r>
      <w:r>
        <w:rPr>
          <w:rFonts w:hint="eastAsia"/>
        </w:rPr>
        <w:t>安全预评价工作程序及重点</w:t>
      </w:r>
      <w:bookmarkEnd w:id="18"/>
      <w:bookmarkEnd w:id="19"/>
    </w:p>
    <w:p>
      <w:pPr>
        <w:spacing w:before="156" w:after="156"/>
        <w:ind w:firstLine="420"/>
      </w:pPr>
      <w:r>
        <w:t>本项目预评价报告的编制工作主要是以项目可行性研究报告为研究对象，分析研究原辅材料、成品、生产工艺过程、工艺条件、主要设备等的固有危险、有害因素；然后应用安全系统工程方法对建设项目中存在的危险、有害因素作定性或定量分析，确定其危害程度，并依据有关标准评价建设项目能否满足国家规定的劳动安全标准的要求；提出消减、减弱和预防危险、有害因素的对策措施，最后给出预评价结论和建议。</w:t>
      </w:r>
    </w:p>
    <w:p>
      <w:pPr>
        <w:spacing w:before="156" w:after="156"/>
        <w:ind w:firstLine="420"/>
      </w:pPr>
      <w:r>
        <w:t>根据《安全预评价导则》（AQ8002-2007）的要求，本次安全预评价采用的评价程序如图1-1。</w:t>
      </w:r>
    </w:p>
    <w:p>
      <w:pPr>
        <w:autoSpaceDE/>
        <w:autoSpaceDN/>
        <w:spacing w:before="0" w:beforeLines="0" w:after="0" w:afterLines="0" w:line="288" w:lineRule="auto"/>
        <w:ind w:firstLine="420"/>
        <w:jc w:val="center"/>
        <w:rPr>
          <w:rFonts w:ascii="Times New Roman" w:hAnsi="Times New Roman" w:cs="Times New Roman"/>
          <w:kern w:val="2"/>
          <w:szCs w:val="20"/>
        </w:rPr>
      </w:pPr>
      <w:r>
        <w:rPr>
          <w:rFonts w:ascii="宋体" w:hAnsi="宋体" w:cs="宋体"/>
          <w:szCs w:val="24"/>
        </w:rPr>
        <w:drawing>
          <wp:inline distT="0" distB="0" distL="0" distR="0">
            <wp:extent cx="4413250" cy="2234565"/>
            <wp:effectExtent l="19050" t="19050" r="25400" b="13335"/>
            <wp:docPr id="6" name="图片 1" descr="D:\Users\QQ\872649954\Image\C2C\BJ$T0Y_~6P2N294AU[Y]S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D:\Users\QQ\872649954\Image\C2C\BJ$T0Y_~6P2N294AU[Y]SQ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413250" cy="2234565"/>
                    </a:xfrm>
                    <a:prstGeom prst="rect">
                      <a:avLst/>
                    </a:prstGeom>
                    <a:noFill/>
                    <a:ln w="6350" cmpd="sng">
                      <a:solidFill>
                        <a:srgbClr val="5B9BD5">
                          <a:lumMod val="40000"/>
                          <a:lumOff val="60000"/>
                        </a:srgbClr>
                      </a:solidFill>
                      <a:miter lim="800000"/>
                      <a:headEnd/>
                      <a:tailEnd/>
                    </a:ln>
                    <a:effectLst/>
                  </pic:spPr>
                </pic:pic>
              </a:graphicData>
            </a:graphic>
          </wp:inline>
        </w:drawing>
      </w:r>
    </w:p>
    <w:p>
      <w:pPr>
        <w:autoSpaceDE/>
        <w:autoSpaceDN/>
        <w:spacing w:before="0" w:beforeLines="0" w:after="0" w:afterLines="0"/>
        <w:ind w:firstLine="442"/>
        <w:jc w:val="center"/>
        <w:rPr>
          <w:rFonts w:ascii="Times New Roman" w:hAnsi="Times New Roman" w:eastAsia="仿宋" w:cs="Times New Roman"/>
          <w:b/>
          <w:kern w:val="2"/>
          <w:sz w:val="22"/>
        </w:rPr>
      </w:pPr>
      <w:r>
        <w:rPr>
          <w:rFonts w:hint="eastAsia" w:ascii="Times New Roman" w:hAnsi="Times New Roman" w:eastAsia="仿宋" w:cs="Times New Roman"/>
          <w:b/>
          <w:kern w:val="2"/>
          <w:sz w:val="22"/>
        </w:rPr>
        <w:t>图1-1 安全预评价程序</w:t>
      </w:r>
    </w:p>
    <w:p>
      <w:pPr>
        <w:pStyle w:val="3"/>
        <w:spacing w:before="156" w:after="156"/>
        <w:ind w:firstLine="562"/>
      </w:pPr>
      <w:bookmarkStart w:id="20" w:name="_Toc141203875"/>
      <w:bookmarkStart w:id="21" w:name="_Toc108206466"/>
      <w:r>
        <w:rPr>
          <w:rFonts w:hint="eastAsia"/>
        </w:rPr>
        <w:t>1</w:t>
      </w:r>
      <w:r>
        <w:t>.2</w:t>
      </w:r>
      <w:r>
        <w:rPr>
          <w:rFonts w:hint="eastAsia"/>
        </w:rPr>
        <w:t>安全预评价</w:t>
      </w:r>
      <w:bookmarkEnd w:id="20"/>
      <w:bookmarkEnd w:id="21"/>
    </w:p>
    <w:p>
      <w:pPr>
        <w:pStyle w:val="4"/>
        <w:spacing w:before="156" w:after="156"/>
        <w:ind w:firstLine="482"/>
      </w:pPr>
      <w:bookmarkStart w:id="22" w:name="_Toc108206467"/>
      <w:bookmarkStart w:id="23" w:name="_Toc141203876"/>
      <w:r>
        <w:rPr>
          <w:rFonts w:hint="eastAsia"/>
        </w:rPr>
        <w:t>1</w:t>
      </w:r>
      <w:r>
        <w:t>.2.1</w:t>
      </w:r>
      <w:r>
        <w:rPr>
          <w:rFonts w:hint="eastAsia"/>
        </w:rPr>
        <w:t>法律法规</w:t>
      </w:r>
      <w:bookmarkEnd w:id="22"/>
      <w:bookmarkEnd w:id="23"/>
    </w:p>
    <w:p>
      <w:pPr>
        <w:spacing w:before="156" w:after="156"/>
        <w:ind w:firstLine="420"/>
      </w:pPr>
      <w:r>
        <w:t>（1）《中华人民共和国安全生产法》(中华人民共和国主席令第70号)</w:t>
      </w:r>
    </w:p>
    <w:p>
      <w:pPr>
        <w:spacing w:before="156" w:after="156"/>
        <w:ind w:firstLine="420"/>
      </w:pPr>
      <w:r>
        <w:t>（2）《中华人民共和国消防法》（中华人民共和国主席令第</w:t>
      </w:r>
      <w:r>
        <w:rPr>
          <w:rFonts w:hint="eastAsia"/>
        </w:rPr>
        <w:t>6</w:t>
      </w:r>
      <w:r>
        <w:t>号)</w:t>
      </w:r>
    </w:p>
    <w:p>
      <w:pPr>
        <w:spacing w:before="156" w:after="156"/>
        <w:ind w:firstLine="420"/>
      </w:pPr>
      <w:r>
        <w:t>（3）《中华人民共和国劳动法》(中华人民共和国主席令第</w:t>
      </w:r>
      <w:r>
        <w:rPr>
          <w:rFonts w:hint="eastAsia"/>
        </w:rPr>
        <w:t>2</w:t>
      </w:r>
      <w:r>
        <w:t>8号)</w:t>
      </w:r>
    </w:p>
    <w:p>
      <w:pPr>
        <w:spacing w:before="156" w:after="156"/>
        <w:ind w:firstLine="420"/>
      </w:pPr>
      <w:r>
        <w:t>（4）</w:t>
      </w:r>
      <w:r>
        <w:rPr>
          <w:rFonts w:hint="eastAsia"/>
        </w:rPr>
        <w:t>《中华人民共和国职业病防治法》（国主席令[2011]第52号）</w:t>
      </w:r>
    </w:p>
    <w:p>
      <w:pPr>
        <w:spacing w:before="156" w:after="156"/>
        <w:ind w:firstLine="420"/>
      </w:pPr>
      <w:r>
        <w:rPr>
          <w:rFonts w:hint="eastAsia"/>
        </w:rPr>
        <w:t>（5）《中华人民共和国防震减灾法》（国家主席令[2008]第7号）</w:t>
      </w:r>
    </w:p>
    <w:p>
      <w:pPr>
        <w:spacing w:before="156" w:after="156"/>
        <w:ind w:firstLine="420"/>
      </w:pPr>
      <w:r>
        <w:rPr>
          <w:rFonts w:hint="eastAsia"/>
        </w:rPr>
        <w:t>（6）《中华人民共和国环境保护法》（国家主席令[1989]第22号）</w:t>
      </w:r>
    </w:p>
    <w:p>
      <w:pPr>
        <w:spacing w:before="156" w:after="156"/>
        <w:ind w:firstLine="420"/>
      </w:pPr>
      <w:r>
        <w:rPr>
          <w:rFonts w:hint="eastAsia"/>
        </w:rPr>
        <w:t>（7）《中华人民共和国突发事件应对法》（国家主席令[2007]第69号）</w:t>
      </w:r>
    </w:p>
    <w:p>
      <w:pPr>
        <w:spacing w:before="156" w:after="156"/>
        <w:ind w:firstLine="420"/>
      </w:pPr>
      <w:r>
        <w:rPr>
          <w:rFonts w:hint="eastAsia"/>
        </w:rPr>
        <w:t>（8）《危险化学品安全管理条例》（国务院令[2011]第591号）</w:t>
      </w:r>
    </w:p>
    <w:p>
      <w:pPr>
        <w:spacing w:before="156" w:after="156"/>
        <w:ind w:firstLine="420"/>
      </w:pPr>
      <w:r>
        <w:rPr>
          <w:rFonts w:hint="eastAsia"/>
        </w:rPr>
        <w:t>（9）《安全生产许可证条例》（国务院令[2004]第397号）</w:t>
      </w:r>
    </w:p>
    <w:p>
      <w:pPr>
        <w:spacing w:before="156" w:after="156"/>
        <w:ind w:firstLine="420"/>
      </w:pPr>
      <w:r>
        <w:rPr>
          <w:rFonts w:hint="eastAsia"/>
        </w:rPr>
        <w:t>（10）《特种设备安全监察条例》（国务院令[2009]第549号）</w:t>
      </w:r>
    </w:p>
    <w:p>
      <w:pPr>
        <w:spacing w:before="156" w:after="156"/>
        <w:ind w:firstLine="420"/>
      </w:pPr>
      <w:r>
        <w:rPr>
          <w:rFonts w:hint="eastAsia"/>
        </w:rPr>
        <w:t>（11）《气瓶安全监察规定》（国家质量监督检验检疫总局[2003]46号）</w:t>
      </w:r>
    </w:p>
    <w:p>
      <w:pPr>
        <w:spacing w:before="156" w:after="156"/>
        <w:ind w:firstLine="420"/>
      </w:pPr>
      <w:r>
        <w:rPr>
          <w:rFonts w:hint="eastAsia"/>
        </w:rPr>
        <w:t>（12）《使用有毒物质作业场所劳动保护条例》（国务院令[2002]第352号）</w:t>
      </w:r>
    </w:p>
    <w:p>
      <w:pPr>
        <w:spacing w:before="156" w:after="156"/>
        <w:ind w:firstLine="420"/>
      </w:pPr>
      <w:r>
        <w:rPr>
          <w:rFonts w:hint="eastAsia"/>
        </w:rPr>
        <w:t>（13）《危险化学品事故应急救援预案编制导则》（安监管危化字[2004]43号）</w:t>
      </w:r>
    </w:p>
    <w:p>
      <w:pPr>
        <w:spacing w:before="156" w:after="156"/>
        <w:ind w:firstLine="420"/>
      </w:pPr>
      <w:r>
        <w:t>（14）《关于进一步加强建设项目（工程）劳动安全卫生预评价工作的通知》（安监管办字〈2001〉39号）</w:t>
      </w:r>
    </w:p>
    <w:p>
      <w:pPr>
        <w:spacing w:before="156" w:after="156"/>
        <w:ind w:firstLine="420"/>
      </w:pPr>
      <w:r>
        <w:rPr>
          <w:rFonts w:hint="eastAsia"/>
        </w:rPr>
        <w:t>（1</w:t>
      </w:r>
      <w:r>
        <w:t>5</w:t>
      </w:r>
      <w:r>
        <w:rPr>
          <w:rFonts w:hint="eastAsia"/>
        </w:rPr>
        <w:t>）《危险化学品生产企业安全生产许可证实施办法》（国家安全生产监督管理局[2011]41号）</w:t>
      </w:r>
    </w:p>
    <w:p>
      <w:pPr>
        <w:spacing w:before="156" w:after="156"/>
        <w:ind w:firstLine="420"/>
      </w:pPr>
      <w:r>
        <w:rPr>
          <w:rFonts w:hint="eastAsia"/>
        </w:rPr>
        <w:t>（1</w:t>
      </w:r>
      <w:r>
        <w:t>6</w:t>
      </w:r>
      <w:r>
        <w:rPr>
          <w:rFonts w:hint="eastAsia"/>
        </w:rPr>
        <w:t>）《关于开展提升危险化学品领域本质安全水平专项行动的通知》（安监总管三[2012]87号）</w:t>
      </w:r>
    </w:p>
    <w:p>
      <w:pPr>
        <w:spacing w:before="156" w:after="156"/>
        <w:ind w:firstLine="420"/>
      </w:pPr>
      <w:r>
        <w:rPr>
          <w:rFonts w:hint="eastAsia"/>
        </w:rPr>
        <w:t>（1</w:t>
      </w:r>
      <w:r>
        <w:t>7</w:t>
      </w:r>
      <w:r>
        <w:rPr>
          <w:rFonts w:hint="eastAsia"/>
        </w:rPr>
        <w:t>）《关于开展重大危险源监督管理工作的指导意见》（安监管危化字[2004]56号）</w:t>
      </w:r>
    </w:p>
    <w:p>
      <w:pPr>
        <w:spacing w:before="156" w:after="156"/>
        <w:ind w:firstLine="420"/>
      </w:pPr>
      <w:r>
        <w:rPr>
          <w:rFonts w:hint="eastAsia"/>
        </w:rPr>
        <w:t>（1</w:t>
      </w:r>
      <w:r>
        <w:t>8</w:t>
      </w:r>
      <w:r>
        <w:rPr>
          <w:rFonts w:hint="eastAsia"/>
        </w:rPr>
        <w:t>）《关于特种作业人员安全技术培训考核管理办法》（安监管危化字[2004]124号）</w:t>
      </w:r>
    </w:p>
    <w:p>
      <w:pPr>
        <w:spacing w:before="156" w:after="156"/>
        <w:ind w:firstLine="420"/>
      </w:pPr>
      <w:r>
        <w:rPr>
          <w:rFonts w:hint="eastAsia"/>
        </w:rPr>
        <w:t>（1</w:t>
      </w:r>
      <w:r>
        <w:t>9</w:t>
      </w:r>
      <w:r>
        <w:rPr>
          <w:rFonts w:hint="eastAsia"/>
        </w:rPr>
        <w:t>）《防雷减灾管道办法》（中国气象局令第3号）</w:t>
      </w:r>
    </w:p>
    <w:p>
      <w:pPr>
        <w:spacing w:before="156" w:after="156"/>
        <w:ind w:firstLine="420"/>
      </w:pPr>
      <w:r>
        <w:rPr>
          <w:rFonts w:hint="eastAsia"/>
        </w:rPr>
        <w:t>（</w:t>
      </w:r>
      <w:r>
        <w:t>20</w:t>
      </w:r>
      <w:r>
        <w:rPr>
          <w:rFonts w:hint="eastAsia"/>
        </w:rPr>
        <w:t>）《危险化学品生产企业安全评价导则（试行）》（国家安监局安监管危化字[2004]127号）</w:t>
      </w:r>
    </w:p>
    <w:p>
      <w:pPr>
        <w:spacing w:before="156" w:after="156"/>
        <w:ind w:firstLine="420"/>
      </w:pPr>
      <w:r>
        <w:rPr>
          <w:rFonts w:hint="eastAsia"/>
        </w:rPr>
        <w:t>（21）《淘汰落后生产能力、工艺和产品的目录》（原国家经贸委[1999]6号、16号和[2002]32号令）</w:t>
      </w:r>
    </w:p>
    <w:p>
      <w:pPr>
        <w:spacing w:before="156" w:after="156"/>
        <w:ind w:firstLine="420"/>
      </w:pPr>
      <w:r>
        <w:rPr>
          <w:rFonts w:hint="eastAsia"/>
        </w:rPr>
        <w:t>（22）《工伤保险条例》（国务院令[2010]第586号）</w:t>
      </w:r>
    </w:p>
    <w:p>
      <w:pPr>
        <w:spacing w:before="156" w:after="156"/>
        <w:ind w:firstLine="420"/>
      </w:pPr>
      <w:r>
        <w:rPr>
          <w:rFonts w:hint="eastAsia"/>
        </w:rPr>
        <w:t>（2</w:t>
      </w:r>
      <w:r>
        <w:t>3</w:t>
      </w:r>
      <w:r>
        <w:rPr>
          <w:rFonts w:hint="eastAsia"/>
        </w:rPr>
        <w:t>）《重大危险源分级方法》（安监总局令[2011]第40号）</w:t>
      </w:r>
    </w:p>
    <w:p>
      <w:pPr>
        <w:spacing w:before="156" w:after="156"/>
        <w:ind w:firstLine="420"/>
      </w:pPr>
      <w:r>
        <w:rPr>
          <w:rFonts w:hint="eastAsia"/>
        </w:rPr>
        <w:t>（2</w:t>
      </w:r>
      <w:r>
        <w:t>4</w:t>
      </w:r>
      <w:r>
        <w:rPr>
          <w:rFonts w:hint="eastAsia"/>
        </w:rPr>
        <w:t>）《国家安全监管总局关于公布首批重点监管的危险化工工艺目录的通知》（安监总管三令[2009]116号）</w:t>
      </w:r>
    </w:p>
    <w:p>
      <w:pPr>
        <w:spacing w:before="156" w:after="156"/>
        <w:ind w:firstLine="420"/>
      </w:pPr>
      <w:r>
        <w:rPr>
          <w:rFonts w:hint="eastAsia"/>
        </w:rPr>
        <w:t>（2</w:t>
      </w:r>
      <w:r>
        <w:t>5</w:t>
      </w:r>
      <w:r>
        <w:rPr>
          <w:rFonts w:hint="eastAsia"/>
        </w:rPr>
        <w:t>）《国家安全监管总局关于公布首批重点监管的危险化学品名录的通知》（安监总管三令[2011</w:t>
      </w:r>
      <w:r>
        <w:t>]</w:t>
      </w:r>
      <w:r>
        <w:rPr>
          <w:rFonts w:hint="eastAsia"/>
        </w:rPr>
        <w:t>95号）</w:t>
      </w:r>
    </w:p>
    <w:p>
      <w:pPr>
        <w:pStyle w:val="4"/>
        <w:spacing w:before="156" w:after="156"/>
        <w:ind w:firstLine="482"/>
      </w:pPr>
      <w:bookmarkStart w:id="24" w:name="_Toc108206468"/>
      <w:bookmarkStart w:id="25" w:name="_Toc141203877"/>
      <w:r>
        <w:rPr>
          <w:rFonts w:hint="eastAsia"/>
        </w:rPr>
        <w:t>1</w:t>
      </w:r>
      <w:r>
        <w:t>.2.2</w:t>
      </w:r>
      <w:r>
        <w:rPr>
          <w:rFonts w:hint="eastAsia"/>
        </w:rPr>
        <w:t>主要标准及规范</w:t>
      </w:r>
      <w:bookmarkEnd w:id="24"/>
      <w:bookmarkEnd w:id="25"/>
    </w:p>
    <w:p>
      <w:pPr>
        <w:spacing w:before="156" w:after="156"/>
        <w:ind w:firstLine="420"/>
      </w:pPr>
      <w:r>
        <w:rPr>
          <w:rFonts w:hint="eastAsia"/>
        </w:rPr>
        <w:t>（1）</w:t>
      </w:r>
      <w:r>
        <w:t>《安全评价通则》（AQ</w:t>
      </w:r>
      <w:r>
        <w:rPr>
          <w:rFonts w:hint="eastAsia"/>
        </w:rPr>
        <w:t xml:space="preserve"> </w:t>
      </w:r>
      <w:r>
        <w:t>8001—2007）</w:t>
      </w:r>
    </w:p>
    <w:p>
      <w:pPr>
        <w:spacing w:before="156" w:after="156"/>
        <w:ind w:firstLine="420"/>
      </w:pPr>
      <w:r>
        <w:t>（2）《危险货物品名表》（GB</w:t>
      </w:r>
      <w:r>
        <w:rPr>
          <w:rFonts w:hint="eastAsia"/>
        </w:rPr>
        <w:t xml:space="preserve"> </w:t>
      </w:r>
      <w:r>
        <w:t>12668-2012）</w:t>
      </w:r>
    </w:p>
    <w:p>
      <w:pPr>
        <w:spacing w:before="156" w:after="156"/>
        <w:ind w:firstLine="420"/>
      </w:pPr>
      <w:r>
        <w:t>（3）《危险货物分类和品名编号》（GB</w:t>
      </w:r>
      <w:r>
        <w:rPr>
          <w:rFonts w:hint="eastAsia"/>
        </w:rPr>
        <w:t xml:space="preserve"> </w:t>
      </w:r>
      <w:r>
        <w:t>6944-2012）</w:t>
      </w:r>
    </w:p>
    <w:p>
      <w:pPr>
        <w:spacing w:before="156" w:after="156"/>
        <w:ind w:firstLine="420"/>
      </w:pPr>
      <w:r>
        <w:t>（4）《生产设备安全卫生设计总则》（GB</w:t>
      </w:r>
      <w:r>
        <w:rPr>
          <w:rFonts w:hint="eastAsia"/>
        </w:rPr>
        <w:t xml:space="preserve"> </w:t>
      </w:r>
      <w:r>
        <w:t>5083-1999）</w:t>
      </w:r>
    </w:p>
    <w:p>
      <w:pPr>
        <w:spacing w:before="156" w:after="156"/>
        <w:ind w:firstLine="420"/>
      </w:pPr>
      <w:r>
        <w:t>（5）《建筑设计防火规范》（GB</w:t>
      </w:r>
      <w:r>
        <w:rPr>
          <w:rFonts w:hint="eastAsia"/>
        </w:rPr>
        <w:t xml:space="preserve"> </w:t>
      </w:r>
      <w:r>
        <w:t>50016-2014）</w:t>
      </w:r>
    </w:p>
    <w:p>
      <w:pPr>
        <w:spacing w:before="156" w:after="156"/>
        <w:ind w:firstLine="420"/>
      </w:pPr>
      <w:r>
        <w:t>（6）《爆炸和火灾危险环境电力装置设计规范》（GB</w:t>
      </w:r>
      <w:r>
        <w:rPr>
          <w:rFonts w:hint="eastAsia"/>
        </w:rPr>
        <w:t xml:space="preserve"> </w:t>
      </w:r>
      <w:r>
        <w:t>50058-2014）</w:t>
      </w:r>
    </w:p>
    <w:p>
      <w:pPr>
        <w:spacing w:before="156" w:after="156"/>
        <w:ind w:firstLine="420"/>
      </w:pPr>
      <w:r>
        <w:t>（7）《建筑灭火器配置设计规范》（GB</w:t>
      </w:r>
      <w:r>
        <w:rPr>
          <w:rFonts w:hint="eastAsia"/>
        </w:rPr>
        <w:t xml:space="preserve"> </w:t>
      </w:r>
      <w:r>
        <w:t>50140-2005）</w:t>
      </w:r>
    </w:p>
    <w:p>
      <w:pPr>
        <w:spacing w:before="156" w:after="156"/>
        <w:ind w:firstLine="420"/>
      </w:pPr>
      <w:r>
        <w:t>（8）《火灾自动报警系统设计规范》（GB</w:t>
      </w:r>
      <w:r>
        <w:rPr>
          <w:rFonts w:hint="eastAsia"/>
        </w:rPr>
        <w:t xml:space="preserve"> </w:t>
      </w:r>
      <w:r>
        <w:t>50116-2013）</w:t>
      </w:r>
    </w:p>
    <w:p>
      <w:pPr>
        <w:spacing w:before="156" w:after="156"/>
        <w:ind w:firstLine="420"/>
      </w:pPr>
      <w:r>
        <w:t>（9）《固定式压力容器安全技术监察规程》（TSGR</w:t>
      </w:r>
      <w:r>
        <w:rPr>
          <w:rFonts w:hint="eastAsia"/>
        </w:rPr>
        <w:t xml:space="preserve"> </w:t>
      </w:r>
      <w:r>
        <w:t>0004-2009）</w:t>
      </w:r>
    </w:p>
    <w:p>
      <w:pPr>
        <w:spacing w:before="156" w:after="156"/>
        <w:ind w:firstLine="420"/>
      </w:pPr>
      <w:r>
        <w:t>（10）《生产过程危险和有害因素分类与代码》（GB/T</w:t>
      </w:r>
      <w:r>
        <w:rPr>
          <w:rFonts w:hint="eastAsia"/>
        </w:rPr>
        <w:t xml:space="preserve"> </w:t>
      </w:r>
      <w:r>
        <w:t>13861-2009）</w:t>
      </w:r>
    </w:p>
    <w:p>
      <w:pPr>
        <w:spacing w:before="156" w:after="156"/>
        <w:ind w:firstLine="420"/>
      </w:pPr>
      <w:r>
        <w:t>（11）《消防安全标志设置要求》（GB</w:t>
      </w:r>
      <w:r>
        <w:rPr>
          <w:rFonts w:hint="eastAsia"/>
        </w:rPr>
        <w:t xml:space="preserve"> </w:t>
      </w:r>
      <w:r>
        <w:t>15630-1995）</w:t>
      </w:r>
    </w:p>
    <w:p>
      <w:pPr>
        <w:spacing w:before="156" w:after="156"/>
        <w:ind w:firstLine="420"/>
      </w:pPr>
      <w:r>
        <w:t>（12）《</w:t>
      </w:r>
      <w:r>
        <w:rPr>
          <w:rFonts w:hint="eastAsia"/>
        </w:rPr>
        <w:t>建筑</w:t>
      </w:r>
      <w:r>
        <w:t>照明设计标准》（GB</w:t>
      </w:r>
      <w:r>
        <w:rPr>
          <w:rFonts w:hint="eastAsia"/>
        </w:rPr>
        <w:t xml:space="preserve"> </w:t>
      </w:r>
      <w:r>
        <w:t>50034-</w:t>
      </w:r>
      <w:r>
        <w:rPr>
          <w:rFonts w:hint="eastAsia"/>
        </w:rPr>
        <w:t>2004</w:t>
      </w:r>
      <w:r>
        <w:t>）</w:t>
      </w:r>
    </w:p>
    <w:p>
      <w:pPr>
        <w:spacing w:before="156" w:after="156"/>
        <w:ind w:firstLine="420"/>
      </w:pPr>
      <w:r>
        <w:t>（13）《工业企业设计卫生标准》（GBZ</w:t>
      </w:r>
      <w:r>
        <w:rPr>
          <w:rFonts w:hint="eastAsia"/>
        </w:rPr>
        <w:t xml:space="preserve"> </w:t>
      </w:r>
      <w:r>
        <w:t>1-2010）</w:t>
      </w:r>
    </w:p>
    <w:p>
      <w:pPr>
        <w:spacing w:before="156" w:after="156"/>
        <w:ind w:firstLine="420"/>
      </w:pPr>
      <w:r>
        <w:t>（14）《职业性接触毒物危害程度分级》（GBZ</w:t>
      </w:r>
      <w:r>
        <w:rPr>
          <w:rFonts w:hint="eastAsia"/>
        </w:rPr>
        <w:t xml:space="preserve"> </w:t>
      </w:r>
      <w:r>
        <w:t>230-2010）</w:t>
      </w:r>
    </w:p>
    <w:p>
      <w:pPr>
        <w:spacing w:before="156" w:after="156"/>
        <w:ind w:firstLine="420"/>
      </w:pPr>
      <w:r>
        <w:t>（15）《工业企业噪声控制设计规范》（GB</w:t>
      </w:r>
      <w:r>
        <w:rPr>
          <w:rFonts w:hint="eastAsia"/>
        </w:rPr>
        <w:t>/T 50087-2013</w:t>
      </w:r>
      <w:r>
        <w:t>）</w:t>
      </w:r>
    </w:p>
    <w:p>
      <w:pPr>
        <w:spacing w:before="156" w:after="156"/>
        <w:ind w:firstLine="420"/>
      </w:pPr>
      <w:r>
        <w:t>（16）《铍铜合金防爆工具》（GB</w:t>
      </w:r>
      <w:r>
        <w:rPr>
          <w:rFonts w:hint="eastAsia"/>
        </w:rPr>
        <w:t xml:space="preserve"> </w:t>
      </w:r>
      <w:r>
        <w:t>24459-2009）</w:t>
      </w:r>
    </w:p>
    <w:p>
      <w:pPr>
        <w:spacing w:before="156" w:after="156"/>
        <w:ind w:firstLine="420"/>
      </w:pPr>
      <w:r>
        <w:t>（17）《石油化工企业生产装置电力设计技术规范》（SH</w:t>
      </w:r>
      <w:r>
        <w:rPr>
          <w:rFonts w:hint="eastAsia"/>
        </w:rPr>
        <w:t xml:space="preserve"> </w:t>
      </w:r>
      <w:r>
        <w:t>3038-2000）</w:t>
      </w:r>
    </w:p>
    <w:p>
      <w:pPr>
        <w:spacing w:before="156" w:after="156"/>
        <w:ind w:firstLine="420"/>
      </w:pPr>
      <w:r>
        <w:t>（18）《石油化工可燃气体和有毒气体检测报警设计规范》（GB</w:t>
      </w:r>
      <w:r>
        <w:rPr>
          <w:rFonts w:hint="eastAsia"/>
        </w:rPr>
        <w:t xml:space="preserve"> </w:t>
      </w:r>
      <w:r>
        <w:t>50493-2009）</w:t>
      </w:r>
    </w:p>
    <w:p>
      <w:pPr>
        <w:spacing w:before="156" w:after="156"/>
        <w:ind w:firstLine="420"/>
      </w:pPr>
      <w:r>
        <w:t>（19）《工作场所有害因素职业接触限值》（GBZ</w:t>
      </w:r>
      <w:r>
        <w:rPr>
          <w:rFonts w:hint="eastAsia"/>
        </w:rPr>
        <w:t xml:space="preserve"> </w:t>
      </w:r>
      <w:r>
        <w:t>2.1-2007）</w:t>
      </w:r>
    </w:p>
    <w:p>
      <w:pPr>
        <w:spacing w:before="156" w:after="156"/>
        <w:ind w:firstLine="420"/>
      </w:pPr>
      <w:r>
        <w:t>（20）《危险化学品重大危险源的辨识》（GB</w:t>
      </w:r>
      <w:r>
        <w:rPr>
          <w:rFonts w:hint="eastAsia"/>
        </w:rPr>
        <w:t xml:space="preserve"> </w:t>
      </w:r>
      <w:r>
        <w:t>18218-2018）</w:t>
      </w:r>
    </w:p>
    <w:p>
      <w:pPr>
        <w:spacing w:before="156" w:after="156"/>
        <w:ind w:firstLine="420"/>
      </w:pPr>
      <w:r>
        <w:t>（21）《职业性接触毒物危害程度分级》（GBZ</w:t>
      </w:r>
      <w:r>
        <w:rPr>
          <w:rFonts w:hint="eastAsia"/>
        </w:rPr>
        <w:t xml:space="preserve"> </w:t>
      </w:r>
      <w:r>
        <w:t>230-2010）</w:t>
      </w:r>
    </w:p>
    <w:p>
      <w:pPr>
        <w:spacing w:before="156" w:after="156"/>
        <w:ind w:firstLine="420"/>
      </w:pPr>
      <w:r>
        <w:t>（22）《工业企业总平面设计规范》（GB</w:t>
      </w:r>
      <w:r>
        <w:rPr>
          <w:rFonts w:hint="eastAsia"/>
        </w:rPr>
        <w:t xml:space="preserve"> </w:t>
      </w:r>
      <w:r>
        <w:t>50187-2012）</w:t>
      </w:r>
    </w:p>
    <w:p>
      <w:pPr>
        <w:spacing w:before="156" w:after="156"/>
        <w:ind w:firstLine="420"/>
      </w:pPr>
      <w:r>
        <w:t>（23）《安全色》（GB</w:t>
      </w:r>
      <w:r>
        <w:rPr>
          <w:rFonts w:hint="eastAsia"/>
        </w:rPr>
        <w:t xml:space="preserve"> </w:t>
      </w:r>
      <w:r>
        <w:t>2893-2008）</w:t>
      </w:r>
    </w:p>
    <w:p>
      <w:pPr>
        <w:spacing w:before="156" w:after="156"/>
        <w:ind w:firstLine="420"/>
      </w:pPr>
      <w:r>
        <w:t>（24）《安全标志及其使用导则》（GB</w:t>
      </w:r>
      <w:r>
        <w:rPr>
          <w:rFonts w:hint="eastAsia"/>
        </w:rPr>
        <w:t xml:space="preserve"> </w:t>
      </w:r>
      <w:r>
        <w:t>2894-2008）</w:t>
      </w:r>
    </w:p>
    <w:p>
      <w:pPr>
        <w:spacing w:before="156" w:after="156"/>
        <w:ind w:firstLine="420"/>
      </w:pPr>
      <w:r>
        <w:t>（25）《固定式钢直梯和斜梯安全技术条件》（GB</w:t>
      </w:r>
      <w:r>
        <w:rPr>
          <w:rFonts w:hint="eastAsia"/>
        </w:rPr>
        <w:t xml:space="preserve"> </w:t>
      </w:r>
      <w:r>
        <w:t>4053.1-2009）</w:t>
      </w:r>
    </w:p>
    <w:p>
      <w:pPr>
        <w:spacing w:before="156" w:after="156"/>
        <w:ind w:firstLine="420"/>
      </w:pPr>
      <w:r>
        <w:t>（26）《固定式工业防护栏杆安全技术条件》（GB</w:t>
      </w:r>
      <w:r>
        <w:rPr>
          <w:rFonts w:hint="eastAsia"/>
        </w:rPr>
        <w:t xml:space="preserve"> </w:t>
      </w:r>
      <w:r>
        <w:t>4053.3-2009）</w:t>
      </w:r>
    </w:p>
    <w:p>
      <w:pPr>
        <w:spacing w:before="156" w:after="156"/>
        <w:ind w:firstLine="420"/>
      </w:pPr>
      <w:r>
        <w:t>（27）《生产过程安全卫生要求总则》（GB</w:t>
      </w:r>
      <w:r>
        <w:rPr>
          <w:rFonts w:hint="eastAsia"/>
        </w:rPr>
        <w:t xml:space="preserve"> </w:t>
      </w:r>
      <w:r>
        <w:t>12801-2008）</w:t>
      </w:r>
    </w:p>
    <w:p>
      <w:pPr>
        <w:spacing w:before="156" w:after="156"/>
        <w:ind w:firstLine="420"/>
      </w:pPr>
      <w:r>
        <w:t>（28）《化工企业安全卫生设计规定》（HG</w:t>
      </w:r>
      <w:r>
        <w:rPr>
          <w:rFonts w:hint="eastAsia"/>
        </w:rPr>
        <w:t xml:space="preserve"> </w:t>
      </w:r>
      <w:r>
        <w:t>20571-2014）</w:t>
      </w:r>
    </w:p>
    <w:p>
      <w:pPr>
        <w:spacing w:before="156" w:after="156"/>
        <w:ind w:firstLine="420"/>
      </w:pPr>
      <w:r>
        <w:t>（29）《建筑物防雷规范》（GB</w:t>
      </w:r>
      <w:r>
        <w:rPr>
          <w:rFonts w:hint="eastAsia"/>
        </w:rPr>
        <w:t xml:space="preserve"> </w:t>
      </w:r>
      <w:r>
        <w:t>50057-2010）</w:t>
      </w:r>
    </w:p>
    <w:p>
      <w:pPr>
        <w:spacing w:before="156" w:after="156"/>
        <w:ind w:firstLine="420"/>
      </w:pPr>
      <w:r>
        <w:t>（30）《石油化工企业卫生防护距离》（SH</w:t>
      </w:r>
      <w:r>
        <w:rPr>
          <w:rFonts w:hint="eastAsia"/>
        </w:rPr>
        <w:t xml:space="preserve"> </w:t>
      </w:r>
      <w:r>
        <w:t>3093-1999）</w:t>
      </w:r>
    </w:p>
    <w:p>
      <w:pPr>
        <w:spacing w:before="156" w:after="156"/>
        <w:ind w:firstLine="420"/>
      </w:pPr>
      <w:r>
        <w:t>（31）《机械设备防护罩安全规范》（GB</w:t>
      </w:r>
      <w:r>
        <w:rPr>
          <w:rFonts w:hint="eastAsia"/>
        </w:rPr>
        <w:t xml:space="preserve"> </w:t>
      </w:r>
      <w:r>
        <w:t>8196-2003）</w:t>
      </w:r>
    </w:p>
    <w:p>
      <w:pPr>
        <w:spacing w:before="156" w:after="156"/>
        <w:ind w:firstLine="420"/>
      </w:pPr>
      <w:r>
        <w:t>（32）《工业企业设计卫生标准》（GBZ</w:t>
      </w:r>
      <w:r>
        <w:rPr>
          <w:rFonts w:hint="eastAsia"/>
        </w:rPr>
        <w:t xml:space="preserve"> </w:t>
      </w:r>
      <w:r>
        <w:t>1-2010）</w:t>
      </w:r>
    </w:p>
    <w:p>
      <w:pPr>
        <w:spacing w:before="156" w:after="156"/>
        <w:ind w:firstLine="420"/>
      </w:pPr>
      <w:r>
        <w:t>（33）《石油化工装置防雷设计规范》（GB</w:t>
      </w:r>
      <w:r>
        <w:rPr>
          <w:rFonts w:hint="eastAsia"/>
        </w:rPr>
        <w:t xml:space="preserve"> </w:t>
      </w:r>
      <w:r>
        <w:t>50650-2011）</w:t>
      </w:r>
    </w:p>
    <w:p>
      <w:pPr>
        <w:spacing w:before="156" w:after="156"/>
        <w:ind w:firstLine="420"/>
      </w:pPr>
      <w:r>
        <w:t>（34）《厂矿道路设计规范》（GBJ</w:t>
      </w:r>
      <w:r>
        <w:rPr>
          <w:rFonts w:hint="eastAsia"/>
        </w:rPr>
        <w:t xml:space="preserve"> </w:t>
      </w:r>
      <w:r>
        <w:t>22-87）</w:t>
      </w:r>
    </w:p>
    <w:p>
      <w:pPr>
        <w:spacing w:before="156" w:after="156"/>
        <w:ind w:firstLine="420"/>
      </w:pPr>
      <w:r>
        <w:t>（35）《</w:t>
      </w:r>
      <w:r>
        <w:rPr>
          <w:rFonts w:hint="eastAsia"/>
        </w:rPr>
        <w:t>钢质管道内腐蚀控制规范</w:t>
      </w:r>
      <w:r>
        <w:t>》（GB/T 23258-2009）</w:t>
      </w:r>
    </w:p>
    <w:p>
      <w:pPr>
        <w:spacing w:before="156" w:after="156"/>
        <w:ind w:firstLine="420"/>
      </w:pPr>
      <w:r>
        <w:t>（36）《石油化工静电接地设计规范》（SH</w:t>
      </w:r>
      <w:r>
        <w:rPr>
          <w:rFonts w:hint="eastAsia"/>
        </w:rPr>
        <w:t xml:space="preserve"> </w:t>
      </w:r>
      <w:r>
        <w:t>3097-2000）</w:t>
      </w:r>
    </w:p>
    <w:p>
      <w:pPr>
        <w:spacing w:before="156" w:after="156"/>
        <w:ind w:firstLine="420"/>
      </w:pPr>
      <w:r>
        <w:t>（37）《防止静电事故通用导则》（GB</w:t>
      </w:r>
      <w:r>
        <w:rPr>
          <w:rFonts w:hint="eastAsia"/>
        </w:rPr>
        <w:t xml:space="preserve"> </w:t>
      </w:r>
      <w:r>
        <w:t>12158-2006）</w:t>
      </w:r>
    </w:p>
    <w:p>
      <w:pPr>
        <w:spacing w:before="156" w:after="156"/>
        <w:ind w:firstLine="420"/>
      </w:pPr>
      <w:r>
        <w:rPr>
          <w:rFonts w:hint="eastAsia"/>
        </w:rPr>
        <w:t>（3</w:t>
      </w:r>
      <w:r>
        <w:t>8</w:t>
      </w:r>
      <w:r>
        <w:rPr>
          <w:rFonts w:hint="eastAsia"/>
        </w:rPr>
        <w:t>）《毒害性商品储存养护技术条件》（</w:t>
      </w:r>
      <w:r>
        <w:t>GB</w:t>
      </w:r>
      <w:r>
        <w:rPr>
          <w:rFonts w:hint="eastAsia"/>
        </w:rPr>
        <w:t xml:space="preserve"> </w:t>
      </w:r>
      <w:r>
        <w:t>17916 -2013</w:t>
      </w:r>
      <w:r>
        <w:rPr>
          <w:rFonts w:hint="eastAsia"/>
        </w:rPr>
        <w:t>）</w:t>
      </w:r>
    </w:p>
    <w:p>
      <w:pPr>
        <w:spacing w:before="156" w:after="156"/>
        <w:ind w:firstLine="420"/>
      </w:pPr>
      <w:r>
        <w:rPr>
          <w:rFonts w:hint="eastAsia"/>
        </w:rPr>
        <w:t>（</w:t>
      </w:r>
      <w:r>
        <w:t>39</w:t>
      </w:r>
      <w:r>
        <w:rPr>
          <w:rFonts w:hint="eastAsia"/>
        </w:rPr>
        <w:t>）《小功率电动机的安全要求》（GB 12350-2009）</w:t>
      </w:r>
    </w:p>
    <w:p>
      <w:pPr>
        <w:spacing w:before="156" w:after="156"/>
        <w:ind w:firstLine="420"/>
      </w:pPr>
      <w:r>
        <w:rPr>
          <w:rFonts w:hint="eastAsia"/>
        </w:rPr>
        <w:t>（4</w:t>
      </w:r>
      <w:r>
        <w:t>0</w:t>
      </w:r>
      <w:r>
        <w:rPr>
          <w:rFonts w:hint="eastAsia"/>
        </w:rPr>
        <w:t>）《输气管道工程设计规范》（GB 50251-2003）</w:t>
      </w:r>
    </w:p>
    <w:p>
      <w:pPr>
        <w:spacing w:before="156" w:after="156"/>
        <w:ind w:firstLine="420"/>
      </w:pPr>
      <w:r>
        <w:t>（4</w:t>
      </w:r>
      <w:r>
        <w:rPr>
          <w:rFonts w:hint="eastAsia"/>
        </w:rPr>
        <w:t>1</w:t>
      </w:r>
      <w:r>
        <w:t>）《国家安全监管总局关于公布首批重点监管的危险化学品名录的通知》（安监总管三〔2011〕95</w:t>
      </w:r>
      <w:r>
        <w:rPr>
          <w:rFonts w:hint="eastAsia"/>
        </w:rPr>
        <w:t>号）</w:t>
      </w:r>
    </w:p>
    <w:p>
      <w:pPr>
        <w:widowControl/>
        <w:autoSpaceDE/>
        <w:autoSpaceDN/>
        <w:spacing w:before="0" w:beforeLines="0" w:after="0" w:afterLines="0"/>
        <w:ind w:firstLine="420"/>
        <w:rPr>
          <w:rFonts w:ascii="Times New Roman" w:hAnsi="Times New Roman" w:cs="Times New Roman"/>
          <w:kern w:val="2"/>
          <w:szCs w:val="20"/>
        </w:rPr>
      </w:pPr>
      <w:r>
        <w:rPr>
          <w:rFonts w:ascii="Times New Roman" w:hAnsi="Times New Roman" w:cs="Times New Roman"/>
          <w:kern w:val="2"/>
          <w:szCs w:val="20"/>
        </w:rPr>
        <w:br w:type="page"/>
      </w:r>
    </w:p>
    <w:p>
      <w:pPr>
        <w:pStyle w:val="2"/>
        <w:spacing w:before="156" w:after="156"/>
        <w:ind w:firstLine="883"/>
      </w:pPr>
      <w:bookmarkStart w:id="26" w:name="_Toc108206469"/>
      <w:bookmarkStart w:id="27" w:name="_Toc141203878"/>
      <w:r>
        <w:rPr>
          <w:rFonts w:hint="eastAsia"/>
        </w:rPr>
        <w:t>第二章 项目概况</w:t>
      </w:r>
      <w:bookmarkEnd w:id="26"/>
      <w:bookmarkEnd w:id="27"/>
    </w:p>
    <w:p>
      <w:pPr>
        <w:pStyle w:val="3"/>
        <w:spacing w:before="156" w:after="156"/>
        <w:ind w:firstLine="562"/>
      </w:pPr>
      <w:bookmarkStart w:id="28" w:name="_Toc141203879"/>
      <w:bookmarkStart w:id="29" w:name="_Toc108206470"/>
      <w:r>
        <w:rPr>
          <w:rFonts w:hint="eastAsia"/>
        </w:rPr>
        <w:t>2</w:t>
      </w:r>
      <w:r>
        <w:t>.1</w:t>
      </w:r>
      <w:r>
        <w:rPr>
          <w:rFonts w:hint="eastAsia"/>
        </w:rPr>
        <w:t>总图及平面布置</w:t>
      </w:r>
      <w:bookmarkEnd w:id="28"/>
      <w:bookmarkEnd w:id="29"/>
    </w:p>
    <w:p>
      <w:pPr>
        <w:spacing w:before="156" w:after="156"/>
        <w:ind w:firstLine="420"/>
        <w:rPr>
          <w:color w:val="000000"/>
        </w:rPr>
      </w:pPr>
      <w:r>
        <w:rPr>
          <w:rFonts w:hint="eastAsia"/>
        </w:rPr>
        <w:t>该</w:t>
      </w:r>
      <w:r>
        <w:t xml:space="preserve">项目总占地103315 </w:t>
      </w:r>
      <w:r>
        <w:rPr>
          <w:rFonts w:hint="eastAsia"/>
        </w:rPr>
        <w:t>m</w:t>
      </w:r>
      <w:r>
        <w:rPr>
          <w:vertAlign w:val="superscript"/>
        </w:rPr>
        <w:t>2</w:t>
      </w:r>
      <w:r>
        <w:t>，</w:t>
      </w:r>
      <w:r>
        <w:rPr>
          <w:rFonts w:hint="eastAsia"/>
        </w:rPr>
        <w:t>该</w:t>
      </w:r>
      <w:r>
        <w:t>项目总平面布置图布置主要按生产装置</w:t>
      </w:r>
      <w:r>
        <w:rPr>
          <w:rFonts w:hint="eastAsia"/>
        </w:rPr>
        <w:t>的</w:t>
      </w:r>
      <w:r>
        <w:t>工艺流程，结合厂区地形及新建设施进行总平面图布置的</w:t>
      </w:r>
      <w:r>
        <w:rPr>
          <w:rFonts w:hint="eastAsia"/>
        </w:rPr>
        <w:t>功能划分</w:t>
      </w:r>
      <w:r>
        <w:t>。生产装置</w:t>
      </w:r>
      <w:r>
        <w:rPr>
          <w:rFonts w:hint="eastAsia"/>
          <w:color w:val="000000"/>
        </w:rPr>
        <w:t>的</w:t>
      </w:r>
      <w:r>
        <w:rPr>
          <w:color w:val="000000"/>
        </w:rPr>
        <w:t>部分公用设施及辅助设施就近布置，生产区域及辅助区域分开</w:t>
      </w:r>
      <w:r>
        <w:rPr>
          <w:rFonts w:hint="eastAsia"/>
          <w:color w:val="000000"/>
        </w:rPr>
        <w:t>布置。</w:t>
      </w:r>
    </w:p>
    <w:p>
      <w:pPr>
        <w:spacing w:before="156" w:after="156"/>
        <w:ind w:firstLine="420"/>
        <w:rPr>
          <w:color w:val="000000"/>
        </w:rPr>
      </w:pPr>
      <w:r>
        <w:rPr>
          <w:rFonts w:hint="eastAsia"/>
          <w:color w:val="000000"/>
        </w:rPr>
        <w:t>该项目</w:t>
      </w:r>
      <w:r>
        <w:rPr>
          <w:color w:val="000000"/>
        </w:rPr>
        <w:t>分为工艺生产装置区、</w:t>
      </w:r>
      <w:r>
        <w:rPr>
          <w:rFonts w:hint="eastAsia"/>
          <w:color w:val="000000"/>
        </w:rPr>
        <w:t>储运</w:t>
      </w:r>
      <w:r>
        <w:rPr>
          <w:color w:val="000000"/>
        </w:rPr>
        <w:t>区、辅助生产区和厂前区</w:t>
      </w:r>
      <w:r>
        <w:rPr>
          <w:rFonts w:hint="eastAsia"/>
          <w:color w:val="000000"/>
        </w:rPr>
        <w:t>，</w:t>
      </w:r>
      <w:r>
        <w:rPr>
          <w:color w:val="000000"/>
        </w:rPr>
        <w:t>工艺生产装置区主要为生产装置，位于全年最小</w:t>
      </w:r>
      <w:r>
        <w:rPr>
          <w:rFonts w:hint="eastAsia"/>
          <w:color w:val="000000"/>
        </w:rPr>
        <w:t>频率</w:t>
      </w:r>
      <w:r>
        <w:rPr>
          <w:color w:val="000000"/>
        </w:rPr>
        <w:t>风向的上风侧，主要用地</w:t>
      </w:r>
      <w:r>
        <w:rPr>
          <w:rFonts w:hint="eastAsia"/>
          <w:color w:val="000000"/>
        </w:rPr>
        <w:t>在南部</w:t>
      </w:r>
      <w:r>
        <w:rPr>
          <w:color w:val="000000"/>
        </w:rPr>
        <w:t>，便于集中控制管理；</w:t>
      </w:r>
      <w:r>
        <w:rPr>
          <w:rFonts w:hint="eastAsia"/>
          <w:color w:val="000000"/>
        </w:rPr>
        <w:t>循环水站和</w:t>
      </w:r>
      <w:r>
        <w:rPr>
          <w:color w:val="000000"/>
        </w:rPr>
        <w:t>公用工程中转站布置在生产区的</w:t>
      </w:r>
      <w:r>
        <w:rPr>
          <w:rFonts w:hint="eastAsia"/>
          <w:color w:val="000000"/>
        </w:rPr>
        <w:t>北</w:t>
      </w:r>
      <w:r>
        <w:rPr>
          <w:color w:val="000000"/>
        </w:rPr>
        <w:t>侧</w:t>
      </w:r>
      <w:r>
        <w:rPr>
          <w:rFonts w:hint="eastAsia"/>
          <w:color w:val="000000"/>
        </w:rPr>
        <w:t>，</w:t>
      </w:r>
      <w:r>
        <w:rPr>
          <w:color w:val="000000"/>
        </w:rPr>
        <w:t>辅助区主要为中控室</w:t>
      </w:r>
      <w:r>
        <w:rPr>
          <w:rFonts w:hint="eastAsia"/>
          <w:color w:val="000000"/>
        </w:rPr>
        <w:t>、</w:t>
      </w:r>
      <w:r>
        <w:rPr>
          <w:color w:val="000000"/>
        </w:rPr>
        <w:t>配电室、</w:t>
      </w:r>
      <w:r>
        <w:rPr>
          <w:rFonts w:hint="eastAsia"/>
          <w:color w:val="000000"/>
        </w:rPr>
        <w:t>机修室</w:t>
      </w:r>
      <w:r>
        <w:rPr>
          <w:color w:val="000000"/>
        </w:rPr>
        <w:t>、中心化验室、应急处理中心，主要</w:t>
      </w:r>
      <w:r>
        <w:rPr>
          <w:rFonts w:hint="eastAsia"/>
          <w:color w:val="000000"/>
        </w:rPr>
        <w:t>用地</w:t>
      </w:r>
      <w:r>
        <w:rPr>
          <w:color w:val="000000"/>
        </w:rPr>
        <w:t>在</w:t>
      </w:r>
      <w:r>
        <w:rPr>
          <w:rFonts w:hint="eastAsia"/>
          <w:color w:val="000000"/>
        </w:rPr>
        <w:t>西</w:t>
      </w:r>
      <w:r>
        <w:rPr>
          <w:color w:val="000000"/>
        </w:rPr>
        <w:t>部和</w:t>
      </w:r>
      <w:r>
        <w:rPr>
          <w:rFonts w:hint="eastAsia"/>
          <w:color w:val="000000"/>
        </w:rPr>
        <w:t>北部</w:t>
      </w:r>
      <w:r>
        <w:rPr>
          <w:color w:val="000000"/>
        </w:rPr>
        <w:t>，利于消防、</w:t>
      </w:r>
      <w:r>
        <w:rPr>
          <w:rFonts w:hint="eastAsia"/>
          <w:color w:val="000000"/>
        </w:rPr>
        <w:t>事故</w:t>
      </w:r>
      <w:r>
        <w:rPr>
          <w:color w:val="000000"/>
        </w:rPr>
        <w:t>救援。生产区</w:t>
      </w:r>
      <w:r>
        <w:rPr>
          <w:rFonts w:hint="eastAsia"/>
          <w:color w:val="000000"/>
        </w:rPr>
        <w:t>和</w:t>
      </w:r>
      <w:r>
        <w:rPr>
          <w:color w:val="000000"/>
        </w:rPr>
        <w:t>辅助区被环形车道</w:t>
      </w:r>
      <w:r>
        <w:rPr>
          <w:rFonts w:hint="eastAsia"/>
          <w:color w:val="000000"/>
        </w:rPr>
        <w:t>包围</w:t>
      </w:r>
      <w:r>
        <w:rPr>
          <w:color w:val="000000"/>
        </w:rPr>
        <w:t>，两区中间有车道将其隔开。</w:t>
      </w:r>
    </w:p>
    <w:p>
      <w:pPr>
        <w:spacing w:before="156" w:after="156"/>
        <w:ind w:firstLine="420"/>
      </w:pPr>
      <w:r>
        <w:rPr>
          <w:rFonts w:hint="eastAsia"/>
          <w:color w:val="000000"/>
        </w:rPr>
        <w:t>该项目</w:t>
      </w:r>
      <w:r>
        <w:rPr>
          <w:color w:val="000000"/>
        </w:rPr>
        <w:t>总体布置原</w:t>
      </w:r>
      <w:r>
        <w:t>则上在</w:t>
      </w:r>
      <w:r>
        <w:rPr>
          <w:rFonts w:hint="eastAsia"/>
        </w:rPr>
        <w:t>符合</w:t>
      </w:r>
      <w:r>
        <w:t>园区总体规划的基础上做到节约用地，合理有效的利用现有场地，满足工艺流程、环保、安全与卫生及道路运输的要求。</w:t>
      </w:r>
    </w:p>
    <w:p>
      <w:pPr>
        <w:pStyle w:val="3"/>
        <w:spacing w:before="156" w:after="156"/>
        <w:ind w:firstLine="562"/>
      </w:pPr>
      <w:bookmarkStart w:id="30" w:name="_Toc141203880"/>
      <w:bookmarkStart w:id="31" w:name="_Toc108206471"/>
      <w:r>
        <w:rPr>
          <w:rFonts w:hint="eastAsia"/>
        </w:rPr>
        <w:t>2</w:t>
      </w:r>
      <w:r>
        <w:t>.2</w:t>
      </w:r>
      <w:r>
        <w:rPr>
          <w:rFonts w:hint="eastAsia"/>
        </w:rPr>
        <w:t>自然环境概况</w:t>
      </w:r>
      <w:bookmarkEnd w:id="30"/>
      <w:bookmarkEnd w:id="31"/>
    </w:p>
    <w:p>
      <w:pPr>
        <w:spacing w:before="156" w:after="156"/>
        <w:ind w:firstLine="420"/>
      </w:pPr>
      <w:r>
        <w:rPr>
          <w:rFonts w:hint="eastAsia"/>
        </w:rPr>
        <w:t>根据我厂的具体情况，选厂工作在长远规划的指导下，选择符合建厂要求且适宜于建设己二腈项目的地方，最终确定厂址为重庆白涛化工园区，项目属于重庆华峰化工有限公司</w:t>
      </w:r>
      <w:r>
        <w:t>ADN</w:t>
      </w:r>
      <w:r>
        <w:rPr>
          <w:rFonts w:hint="eastAsia"/>
        </w:rPr>
        <w:t>分公司。</w:t>
      </w:r>
    </w:p>
    <w:p>
      <w:pPr>
        <w:spacing w:before="156" w:after="156"/>
        <w:ind w:firstLine="420"/>
      </w:pPr>
      <w:r>
        <w:rPr>
          <w:rFonts w:hint="eastAsia"/>
        </w:rPr>
        <w:t>本项目选厂位处重庆，背靠亚洲最大的页岩气产地涪陵焦石页岩气田，水利资源丰富，自然条件优越，被小山丘自然隔断，拥有天然的环保屏障，且位于白涛化工园区，产业聚集，交通便利，公共设施齐全。</w:t>
      </w:r>
    </w:p>
    <w:p>
      <w:pPr>
        <w:pStyle w:val="4"/>
        <w:spacing w:before="156" w:after="156"/>
        <w:ind w:firstLine="482"/>
      </w:pPr>
      <w:bookmarkStart w:id="32" w:name="_Toc108206472"/>
      <w:bookmarkStart w:id="33" w:name="_Toc141203881"/>
      <w:r>
        <w:rPr>
          <w:rFonts w:hint="eastAsia"/>
        </w:rPr>
        <w:t>2</w:t>
      </w:r>
      <w:r>
        <w:t>.2.1</w:t>
      </w:r>
      <w:r>
        <w:rPr>
          <w:rFonts w:hint="eastAsia"/>
        </w:rPr>
        <w:t>地理位置</w:t>
      </w:r>
      <w:bookmarkEnd w:id="32"/>
      <w:bookmarkEnd w:id="33"/>
    </w:p>
    <w:p>
      <w:pPr>
        <w:spacing w:before="156" w:after="156"/>
        <w:ind w:firstLine="420"/>
        <w:rPr>
          <w:lang w:val="zh-CN"/>
        </w:rPr>
      </w:pPr>
      <w:r>
        <w:rPr>
          <w:rFonts w:hint="eastAsia"/>
          <w:lang w:val="zh-CN"/>
        </w:rPr>
        <w:t>重庆白涛化工园区是重庆市特色工业园区规划建设领导小组于</w:t>
      </w:r>
      <w:r>
        <w:rPr>
          <w:lang w:val="zh-CN"/>
        </w:rPr>
        <w:t>2006年12月批准设立的市级特色工业园区，是重庆市政府规划建设的三大化工园区之一，</w:t>
      </w:r>
      <w:r>
        <w:rPr>
          <w:rFonts w:hint="eastAsia"/>
          <w:lang w:val="zh-CN"/>
        </w:rPr>
        <w:t>白涛园区距重庆江北机场</w:t>
      </w:r>
      <w:r>
        <w:rPr>
          <w:lang w:val="zh-CN"/>
        </w:rPr>
        <w:t>130公里，距涪陵城区30公里，背靠亚洲最大的页岩气产地涪陵焦石页岩气田，毗邻长乌江黄金水道，能源保障充足，物流运输便捷。园区核心区域距乌江5公里以上，被小山丘自然隔断，拥有天然的环保屏障，环保容量大，是发展化工新材料产业的理想之地。</w:t>
      </w:r>
    </w:p>
    <w:p>
      <w:pPr>
        <w:pStyle w:val="4"/>
        <w:spacing w:before="156" w:after="156"/>
        <w:ind w:firstLine="482"/>
      </w:pPr>
      <w:bookmarkStart w:id="34" w:name="_Toc108206473"/>
      <w:bookmarkStart w:id="35" w:name="_Toc141203882"/>
      <w:r>
        <w:rPr>
          <w:rFonts w:hint="eastAsia"/>
        </w:rPr>
        <w:t>2</w:t>
      </w:r>
      <w:r>
        <w:t>.2.2</w:t>
      </w:r>
      <w:r>
        <w:rPr>
          <w:rFonts w:hint="eastAsia"/>
        </w:rPr>
        <w:t>地形地貌</w:t>
      </w:r>
      <w:bookmarkEnd w:id="34"/>
      <w:bookmarkEnd w:id="35"/>
    </w:p>
    <w:p>
      <w:pPr>
        <w:spacing w:before="156" w:after="156"/>
        <w:ind w:firstLine="420"/>
      </w:pPr>
      <w:r>
        <w:rPr>
          <w:rFonts w:hint="eastAsia"/>
        </w:rPr>
        <w:t>本项目位于重庆市，园区位于重庆市涪陵区，涪陵区位于四川盆地东南边缘，区境处于四川盆地东部的“盆东平行岭谷区”与“巫山大娄山中山区”过渡地带，一般海拔为</w:t>
      </w:r>
      <w:r>
        <w:t>200—800米。地形总体趋势：西北部地势较低，多为河谷丘陵、低山；东南部较高，多为丘陵山地。由于岩性和地质构造上的差异，区境呈现两类迥然不同的地貌景观。西北部碎屑岩广泛分布，属盆东平行岭谷范围，以构造剥蚀地貌为主，河谷为宽谷；东南部大片出露炭酸盐地层，属南北经向构造体系，以岩溶地貌为主，河谷多为窄谷。</w:t>
      </w:r>
    </w:p>
    <w:p>
      <w:pPr>
        <w:spacing w:before="156" w:after="156"/>
        <w:ind w:firstLine="420"/>
      </w:pPr>
      <w:r>
        <w:rPr>
          <w:rFonts w:hint="eastAsia"/>
        </w:rPr>
        <w:t>本项目位于重庆白涛化工园区，此处海陆空交通便捷、四通八达，区域优势明显，且靠近总厂和原料来源，运输极为方便。</w:t>
      </w:r>
    </w:p>
    <w:p>
      <w:pPr>
        <w:pStyle w:val="4"/>
        <w:spacing w:before="156" w:after="156"/>
        <w:ind w:firstLine="482"/>
      </w:pPr>
      <w:bookmarkStart w:id="36" w:name="_Toc108206474"/>
      <w:bookmarkStart w:id="37" w:name="_Toc141203883"/>
      <w:r>
        <w:rPr>
          <w:rFonts w:hint="eastAsia"/>
        </w:rPr>
        <w:t>2</w:t>
      </w:r>
      <w:r>
        <w:t>.2.3</w:t>
      </w:r>
      <w:r>
        <w:rPr>
          <w:rFonts w:hint="eastAsia"/>
        </w:rPr>
        <w:t>水文地质</w:t>
      </w:r>
      <w:bookmarkEnd w:id="36"/>
      <w:bookmarkEnd w:id="37"/>
    </w:p>
    <w:p>
      <w:pPr>
        <w:spacing w:before="156" w:after="156"/>
        <w:ind w:firstLine="420"/>
      </w:pPr>
      <w:r>
        <w:rPr>
          <w:rFonts w:hint="eastAsia"/>
        </w:rPr>
        <w:t>降水情况：四季降雨量分配，夏秋两季最多，占全年的</w:t>
      </w:r>
      <w:r>
        <w:t>66％；冬春次之， 占34％。涪陵区水域面积209.27平方公里（不含水工建筑占地），占总幅员面积的7.1％。其中河流178.8平方公里、水库13.07平方公里、坑塘16.33平方公里、沟渠1.07平方公里。据调查测算，全区当地水资源总量24.91亿立方米（多年平均量），每平方公里84.57万立方米。</w:t>
      </w:r>
    </w:p>
    <w:p>
      <w:pPr>
        <w:spacing w:before="156" w:after="156"/>
        <w:ind w:firstLine="420"/>
      </w:pPr>
      <w:r>
        <w:rPr>
          <w:rFonts w:hint="eastAsia"/>
        </w:rPr>
        <w:t>境内有长江、乌江水系。长江涪陵段主要支流有梨香（黎乡、梨乡）溪、油江河、同乐河、清溪沟、止桥河、渠溪河、碧溪河，乌江涪陵段主要支流有小溪、后溪、麻溪河。乌江是长江上游南岸最大支流，乌江流经涪陵区之后注入长江，干流全长约</w:t>
      </w:r>
      <w:r>
        <w:t>1037km，流域面积可达8.792万km2，乌江水系整体呈现羽状分布的特征。</w:t>
      </w:r>
    </w:p>
    <w:p>
      <w:pPr>
        <w:spacing w:before="156" w:after="156"/>
        <w:ind w:firstLine="420"/>
      </w:pPr>
      <w:r>
        <w:rPr>
          <w:rFonts w:hint="eastAsia"/>
        </w:rPr>
        <w:t>水电资源：区境河流多年平均径流量</w:t>
      </w:r>
      <w:r>
        <w:t>4023.7亿立方米（含长江和乌江）。区境溪河自然落差大，水能资源丰富，电力工业超前发展，地方电网自成体系，电力供应自给有余。</w:t>
      </w:r>
    </w:p>
    <w:p>
      <w:pPr>
        <w:spacing w:before="156" w:after="156"/>
        <w:ind w:firstLine="420"/>
      </w:pPr>
      <w:r>
        <w:rPr>
          <w:rFonts w:hint="eastAsia"/>
        </w:rPr>
        <w:t>河流：境内长江流程</w:t>
      </w:r>
      <w:r>
        <w:t>77千米，乌江流程33千米。汇入长江的一级支流有35条，其中流域面积大于100平方公里的河流有乌江、梨香溪、小溪、渠溪河等12条。</w:t>
      </w:r>
    </w:p>
    <w:p>
      <w:pPr>
        <w:spacing w:before="156" w:after="156"/>
        <w:ind w:firstLine="420"/>
      </w:pPr>
      <w:r>
        <w:rPr>
          <w:rFonts w:hint="eastAsia"/>
        </w:rPr>
        <w:t>地下水：涪陵区的地下水资源总量：枯水期（频率</w:t>
      </w:r>
      <w:r>
        <w:t>75％）为1.43亿立方米，多年平均4.51亿立方米。区境已查明的暗河有8条，均分布在三迭系嘉陵江组灰岩中，为顺层发育；总长度27.2千米，平均每条长3.4千米，最枯总流量707.02升/秒，平均每条88.38升/秒。岩溶大泉21个，正常流量为659.81升/秒，平均每个31.42升/秒。暗河及大泉总流量1366.83升/秒，占全区岩溶地下水流量的11.6％。</w:t>
      </w:r>
    </w:p>
    <w:p>
      <w:pPr>
        <w:pStyle w:val="4"/>
        <w:spacing w:before="156" w:after="156"/>
        <w:ind w:firstLine="482"/>
      </w:pPr>
      <w:bookmarkStart w:id="38" w:name="_Toc108206475"/>
      <w:bookmarkStart w:id="39" w:name="_Toc141203884"/>
      <w:r>
        <w:rPr>
          <w:rFonts w:hint="eastAsia"/>
        </w:rPr>
        <w:t>2</w:t>
      </w:r>
      <w:r>
        <w:t>.2.4</w:t>
      </w:r>
      <w:r>
        <w:rPr>
          <w:rFonts w:hint="eastAsia"/>
        </w:rPr>
        <w:t>气候条件</w:t>
      </w:r>
      <w:bookmarkEnd w:id="38"/>
      <w:bookmarkEnd w:id="39"/>
    </w:p>
    <w:p>
      <w:pPr>
        <w:spacing w:before="156" w:after="156"/>
        <w:ind w:firstLine="420"/>
        <w:rPr>
          <w:lang w:val="zh-CN"/>
        </w:rPr>
      </w:pPr>
      <w:r>
        <w:rPr>
          <w:rFonts w:hint="eastAsia"/>
          <w:lang w:val="zh-CN"/>
        </w:rPr>
        <w:t>重庆位于中国西南部、长江上游地区，属亚热带季风性湿润气候，年平均气温</w:t>
      </w:r>
      <w:r>
        <w:rPr>
          <w:lang w:val="zh-CN"/>
        </w:rPr>
        <w:t>16~18℃，最热月份平均气温26~29℃，最冷月平均气温4~8℃，采用候温法可以明显地划分四季。年平均降水量较丰富，大部分地区在1000~1350毫米，降水多集中在5~9月，占全年总降水量的70%左右。重庆市年平均相对湿度多在70%~80%，在中国属高湿区。年日照时数1000~1400小时，日照百分率仅为25%~35%，为中国年日照最少的地区之一，冬、春季日照更少，仅占全年的35%左右。主要气候特点可以概括为：冬暖春早，夏热秋凉，四季分明，</w:t>
      </w:r>
      <w:r>
        <w:rPr>
          <w:rFonts w:hint="eastAsia"/>
          <w:lang w:val="zh-CN"/>
        </w:rPr>
        <w:t>无霜期长；空气湿润，降水丰沛；太阳辐射弱，日照时间短；多云雾，少霜雪；光温水同季，立体气候显著，气候资源丰富。</w:t>
      </w:r>
    </w:p>
    <w:p>
      <w:pPr>
        <w:spacing w:before="156" w:after="156"/>
        <w:ind w:firstLine="420"/>
        <w:rPr>
          <w:lang w:val="zh-CN"/>
        </w:rPr>
      </w:pPr>
      <w:r>
        <w:rPr>
          <w:rFonts w:hint="eastAsia"/>
          <w:lang w:val="zh-CN"/>
        </w:rPr>
        <w:t>根据重庆市涪陵区人民政府发布的《重庆市涪陵区森林防火规划（</w:t>
      </w:r>
      <w:r>
        <w:rPr>
          <w:lang w:val="zh-CN"/>
        </w:rPr>
        <w:t>2021—2025年）》中提到涪陵区的气候条件如下：年平均气温18.1℃，年平均最高气温22℃，年平均最低气温15℃，平均降雨量1094mm左右，日照1248小时。</w:t>
      </w:r>
    </w:p>
    <w:p>
      <w:pPr>
        <w:pStyle w:val="3"/>
        <w:spacing w:before="156" w:after="156"/>
        <w:ind w:firstLine="562"/>
      </w:pPr>
      <w:bookmarkStart w:id="40" w:name="_Toc108206476"/>
      <w:bookmarkStart w:id="41" w:name="_Toc141203885"/>
      <w:r>
        <w:rPr>
          <w:rFonts w:hint="eastAsia"/>
        </w:rPr>
        <w:t>2</w:t>
      </w:r>
      <w:r>
        <w:t>.3</w:t>
      </w:r>
      <w:r>
        <w:rPr>
          <w:rFonts w:hint="eastAsia"/>
        </w:rPr>
        <w:t>社会环境概况</w:t>
      </w:r>
      <w:bookmarkEnd w:id="40"/>
      <w:bookmarkEnd w:id="41"/>
    </w:p>
    <w:p>
      <w:pPr>
        <w:pStyle w:val="4"/>
        <w:spacing w:before="156" w:after="156"/>
        <w:ind w:firstLine="482"/>
      </w:pPr>
      <w:bookmarkStart w:id="42" w:name="_Toc141203886"/>
      <w:bookmarkStart w:id="43" w:name="_Toc108206477"/>
      <w:r>
        <w:rPr>
          <w:rFonts w:hint="eastAsia"/>
        </w:rPr>
        <w:t>2</w:t>
      </w:r>
      <w:r>
        <w:t>.3.1</w:t>
      </w:r>
      <w:r>
        <w:rPr>
          <w:rFonts w:hint="eastAsia"/>
        </w:rPr>
        <w:t>经济概况</w:t>
      </w:r>
      <w:bookmarkEnd w:id="42"/>
      <w:bookmarkEnd w:id="43"/>
    </w:p>
    <w:p>
      <w:pPr>
        <w:spacing w:before="156" w:after="156"/>
        <w:ind w:firstLine="420"/>
      </w:pPr>
      <w:r>
        <w:rPr>
          <w:rFonts w:hint="eastAsia"/>
        </w:rPr>
        <w:t>重庆是中国西南地区的经济中心，也是中国内陆开放城市之一，近年来重庆的经济发展呈现出快速增长的趋势，2</w:t>
      </w:r>
      <w:r>
        <w:t>019</w:t>
      </w:r>
      <w:r>
        <w:rPr>
          <w:rFonts w:hint="eastAsia"/>
        </w:rPr>
        <w:t>年，重庆市地区生产总值达到2</w:t>
      </w:r>
      <w:r>
        <w:t>.76</w:t>
      </w:r>
      <w:r>
        <w:rPr>
          <w:rFonts w:hint="eastAsia"/>
        </w:rPr>
        <w:t>万亿元，同比增长6</w:t>
      </w:r>
      <w:r>
        <w:t>.2%</w:t>
      </w:r>
      <w:r>
        <w:rPr>
          <w:rFonts w:hint="eastAsia"/>
        </w:rPr>
        <w:t>，其中第一产业增加值为3</w:t>
      </w:r>
      <w:r>
        <w:t>07.5</w:t>
      </w:r>
      <w:r>
        <w:rPr>
          <w:rFonts w:hint="eastAsia"/>
        </w:rPr>
        <w:t>亿元，同比增长3</w:t>
      </w:r>
      <w:r>
        <w:t>.1%</w:t>
      </w:r>
      <w:r>
        <w:rPr>
          <w:rFonts w:hint="eastAsia"/>
        </w:rPr>
        <w:t>；第二产业增加值为1</w:t>
      </w:r>
      <w:r>
        <w:t>.28</w:t>
      </w:r>
      <w:r>
        <w:rPr>
          <w:rFonts w:hint="eastAsia"/>
        </w:rPr>
        <w:t>万亿元，同比增长6</w:t>
      </w:r>
      <w:r>
        <w:t>.1%</w:t>
      </w:r>
      <w:r>
        <w:rPr>
          <w:rFonts w:hint="eastAsia"/>
        </w:rPr>
        <w:t>；第三产业增加值为1</w:t>
      </w:r>
      <w:r>
        <w:t>.17</w:t>
      </w:r>
      <w:r>
        <w:rPr>
          <w:rFonts w:hint="eastAsia"/>
        </w:rPr>
        <w:t>万亿元，同比增长6</w:t>
      </w:r>
      <w:r>
        <w:t>.5%</w:t>
      </w:r>
      <w:r>
        <w:rPr>
          <w:rFonts w:hint="eastAsia"/>
        </w:rPr>
        <w:t>。重庆的经济总量和增速均位于中国西南地区前列。</w:t>
      </w:r>
    </w:p>
    <w:p>
      <w:pPr>
        <w:spacing w:before="156" w:after="156"/>
        <w:ind w:firstLine="420"/>
      </w:pPr>
      <w:r>
        <w:rPr>
          <w:rFonts w:hint="eastAsia"/>
        </w:rPr>
        <w:t>重庆的产业结构也在不断优化，重庆市政府提出“三化一提升”战略，即“产业化、城市化、生态化”和“提升服务业水平”。在产业方面，重庆正在加快推进新一代信息技术、高端装备制造、新材料、新能源等战略性新兴产业的发展。同时重庆也在加强传统产业的转型升级，如钢铁、化工、治金等行业。</w:t>
      </w:r>
    </w:p>
    <w:p>
      <w:pPr>
        <w:pStyle w:val="4"/>
        <w:spacing w:before="156" w:after="156"/>
        <w:ind w:firstLine="482"/>
      </w:pPr>
      <w:bookmarkStart w:id="44" w:name="_Toc108206478"/>
      <w:bookmarkStart w:id="45" w:name="_Toc141203887"/>
      <w:r>
        <w:rPr>
          <w:rFonts w:hint="eastAsia"/>
        </w:rPr>
        <w:t>2</w:t>
      </w:r>
      <w:r>
        <w:t>.3.2</w:t>
      </w:r>
      <w:r>
        <w:rPr>
          <w:rFonts w:hint="eastAsia"/>
        </w:rPr>
        <w:t>交通条件</w:t>
      </w:r>
      <w:bookmarkEnd w:id="44"/>
      <w:bookmarkEnd w:id="45"/>
    </w:p>
    <w:p>
      <w:pPr>
        <w:spacing w:before="156" w:after="156"/>
        <w:ind w:firstLine="420"/>
      </w:pPr>
      <w:r>
        <w:rPr>
          <w:rFonts w:hint="eastAsia"/>
        </w:rPr>
        <w:t>重庆白涛化工园区</w:t>
      </w:r>
      <w:r>
        <w:t>的交通条件优越，交通网络比较完善</w:t>
      </w:r>
      <w:r>
        <w:rPr>
          <w:rFonts w:hint="eastAsia"/>
        </w:rPr>
        <w:t>。</w:t>
      </w:r>
    </w:p>
    <w:p>
      <w:pPr>
        <w:spacing w:before="156" w:after="156"/>
        <w:ind w:firstLine="420"/>
      </w:pPr>
    </w:p>
    <w:p>
      <w:pPr>
        <w:spacing w:before="156" w:after="156" w:line="240" w:lineRule="auto"/>
        <w:ind w:firstLine="420"/>
        <w:jc w:val="center"/>
        <w:rPr>
          <w:rFonts w:ascii="Times New Roman" w:hAnsi="Times New Roman" w:cs="Times New Roman"/>
        </w:rPr>
      </w:pPr>
      <w:r>
        <w:rPr>
          <w:rFonts w:ascii="Times New Roman" w:hAnsi="Times New Roman" w:cs="Times New Roman"/>
          <w:kern w:val="2"/>
          <w:szCs w:val="21"/>
        </w:rPr>
        <w:drawing>
          <wp:inline distT="0" distB="0" distL="0" distR="0">
            <wp:extent cx="5060950" cy="3721735"/>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065469" cy="3724933"/>
                    </a:xfrm>
                    <a:prstGeom prst="rect">
                      <a:avLst/>
                    </a:prstGeom>
                    <a:noFill/>
                  </pic:spPr>
                </pic:pic>
              </a:graphicData>
            </a:graphic>
          </wp:inline>
        </w:drawing>
      </w:r>
    </w:p>
    <w:p>
      <w:pPr>
        <w:spacing w:before="156" w:after="156" w:line="240" w:lineRule="auto"/>
        <w:ind w:firstLine="361"/>
        <w:jc w:val="center"/>
        <w:rPr>
          <w:rFonts w:ascii="Times New Roman" w:hAnsi="Times New Roman" w:cs="Times New Roman"/>
          <w:b/>
          <w:sz w:val="18"/>
          <w:szCs w:val="18"/>
        </w:rPr>
      </w:pPr>
      <w:r>
        <w:rPr>
          <w:rFonts w:hint="eastAsia" w:ascii="Times New Roman" w:hAnsi="Times New Roman" w:cs="Times New Roman"/>
          <w:b/>
          <w:sz w:val="18"/>
          <w:szCs w:val="18"/>
        </w:rPr>
        <w:t>图</w:t>
      </w:r>
      <w:r>
        <w:rPr>
          <w:rFonts w:ascii="Times New Roman" w:hAnsi="Times New Roman" w:cs="Times New Roman"/>
          <w:b/>
          <w:sz w:val="18"/>
          <w:szCs w:val="18"/>
        </w:rPr>
        <w:t xml:space="preserve">2-1-1 </w:t>
      </w:r>
      <w:r>
        <w:rPr>
          <w:rFonts w:hint="eastAsia" w:ascii="Times New Roman" w:hAnsi="Times New Roman" w:cs="Times New Roman"/>
          <w:b/>
          <w:sz w:val="18"/>
          <w:szCs w:val="18"/>
        </w:rPr>
        <w:t>涪陵区交通规划布局图</w:t>
      </w:r>
    </w:p>
    <w:p>
      <w:pPr>
        <w:spacing w:before="156" w:after="156"/>
        <w:ind w:firstLine="420"/>
      </w:pPr>
      <w:r>
        <w:t>包括以下方面：</w:t>
      </w:r>
    </w:p>
    <w:p>
      <w:pPr>
        <w:spacing w:before="156" w:after="156"/>
        <w:ind w:firstLine="420"/>
      </w:pPr>
    </w:p>
    <w:p>
      <w:pPr>
        <w:spacing w:before="156" w:after="156"/>
        <w:ind w:firstLine="420"/>
        <w:rPr>
          <w:rFonts w:ascii="宋体" w:hAnsi="宋体"/>
        </w:rPr>
      </w:pPr>
      <w:r>
        <w:t>（1）</w:t>
      </w:r>
      <w:r>
        <w:rPr>
          <w:rFonts w:ascii="宋体" w:hAnsi="宋体"/>
        </w:rPr>
        <w:t>公路</w:t>
      </w:r>
      <w:r>
        <w:rPr>
          <w:rFonts w:hint="eastAsia" w:ascii="宋体" w:hAnsi="宋体"/>
        </w:rPr>
        <w:t>：现有长涪高速公路直通重庆主城，在建重庆沿江高速公路</w:t>
      </w:r>
      <w:r>
        <w:rPr>
          <w:rFonts w:ascii="宋体" w:hAnsi="宋体"/>
        </w:rPr>
        <w:t>(重庆主城—涪陵—丰都-万州)、南川—涪陵高速公路(重庆三环高速公路的一部分)。规划涪陵—武隆高速公路、涪陵—重庆江北国际机场高速公路、垫江—涪陵高速公路、丰都—涪陵大木—武隆高速公路。园区内部建成武陵大道、华峰大道、石化大道、新哨路、新油路、白麻路、新盛路及华峰大道二期工程，基本形成“三横三纵”；对外连接道路有319国道和梓（里）白（涛）高速公路，连通白涛新材料科技城的城市中环高速路网已纳入规划。</w:t>
      </w:r>
    </w:p>
    <w:p>
      <w:pPr>
        <w:spacing w:before="156" w:after="156" w:line="240" w:lineRule="auto"/>
        <w:ind w:firstLine="420"/>
        <w:jc w:val="center"/>
        <w:rPr>
          <w:rFonts w:ascii="Times New Roman" w:hAnsi="Times New Roman" w:cs="Times New Roman"/>
        </w:rPr>
      </w:pPr>
      <w:r>
        <w:rPr>
          <w:rFonts w:ascii="Times New Roman" w:hAnsi="Times New Roman" w:cs="Times New Roman"/>
        </w:rPr>
        <w:drawing>
          <wp:inline distT="0" distB="0" distL="0" distR="0">
            <wp:extent cx="4213860" cy="3272155"/>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224366" cy="3280694"/>
                    </a:xfrm>
                    <a:prstGeom prst="rect">
                      <a:avLst/>
                    </a:prstGeom>
                    <a:noFill/>
                  </pic:spPr>
                </pic:pic>
              </a:graphicData>
            </a:graphic>
          </wp:inline>
        </w:drawing>
      </w:r>
    </w:p>
    <w:p>
      <w:pPr>
        <w:spacing w:before="156" w:after="156" w:line="240" w:lineRule="auto"/>
        <w:ind w:firstLine="361"/>
        <w:jc w:val="center"/>
        <w:rPr>
          <w:rFonts w:ascii="Times New Roman" w:hAnsi="Times New Roman" w:cs="Times New Roman"/>
          <w:b/>
          <w:sz w:val="18"/>
          <w:szCs w:val="18"/>
        </w:rPr>
      </w:pPr>
      <w:r>
        <w:rPr>
          <w:rFonts w:hint="eastAsia" w:ascii="Times New Roman" w:hAnsi="Times New Roman" w:cs="Times New Roman"/>
          <w:b/>
          <w:sz w:val="18"/>
          <w:szCs w:val="18"/>
        </w:rPr>
        <w:t>图</w:t>
      </w:r>
      <w:r>
        <w:rPr>
          <w:rFonts w:ascii="Times New Roman" w:hAnsi="Times New Roman" w:cs="Times New Roman"/>
          <w:b/>
          <w:sz w:val="18"/>
          <w:szCs w:val="18"/>
        </w:rPr>
        <w:t xml:space="preserve">2-1-2 </w:t>
      </w:r>
      <w:r>
        <w:rPr>
          <w:rFonts w:hint="eastAsia" w:ascii="Times New Roman" w:hAnsi="Times New Roman" w:cs="Times New Roman"/>
          <w:b/>
          <w:sz w:val="18"/>
          <w:szCs w:val="18"/>
        </w:rPr>
        <w:t>高速公路布局形态图</w:t>
      </w:r>
    </w:p>
    <w:p>
      <w:pPr>
        <w:spacing w:before="156" w:after="156"/>
        <w:ind w:firstLine="420"/>
      </w:pPr>
      <w:r>
        <w:t>（2）</w:t>
      </w:r>
      <w:r>
        <w:rPr>
          <w:rFonts w:ascii="宋体" w:hAnsi="宋体"/>
        </w:rPr>
        <w:t>铁路：</w:t>
      </w:r>
      <w:r>
        <w:rPr>
          <w:rFonts w:hint="eastAsia" w:ascii="宋体" w:hAnsi="宋体"/>
        </w:rPr>
        <w:t>拥有涪通物流危化品专用站、渝怀铁路白涛货站、白涛园区铁路专用站</w:t>
      </w:r>
      <w:r>
        <w:rPr>
          <w:rFonts w:ascii="宋体" w:hAnsi="宋体"/>
        </w:rPr>
        <w:t>3个货车站，总运能627万吨/年</w:t>
      </w:r>
      <w:r>
        <w:t>。</w:t>
      </w:r>
      <w:r>
        <w:rPr>
          <w:rFonts w:hint="eastAsia"/>
        </w:rPr>
        <w:t>现有渝怀铁路</w:t>
      </w:r>
      <w:r>
        <w:t>(国铁I级单线，境内有5个客运站：涪陵、石沱、蔺市、磨溪、白涛)、南涪铁路(国铁II级单线，已开通货运，暂未开通客运，境内有2个客运站：涪陵、梓里)。在建渝怀铁路重庆—涪陵段二线(2012年建成)、渝利铁路(国铁I级双线，2013年建成)。另规划有重庆沿江铁路、广安—涪陵铁路。</w:t>
      </w:r>
    </w:p>
    <w:p>
      <w:pPr>
        <w:spacing w:before="156" w:after="156" w:line="240" w:lineRule="auto"/>
        <w:ind w:firstLine="420"/>
        <w:jc w:val="center"/>
        <w:rPr>
          <w:rFonts w:ascii="Times New Roman" w:hAnsi="Times New Roman" w:cs="Times New Roman"/>
        </w:rPr>
      </w:pPr>
      <w:r>
        <w:drawing>
          <wp:inline distT="0" distB="0" distL="0" distR="0">
            <wp:extent cx="3616960" cy="2747010"/>
            <wp:effectExtent l="0" t="0" r="2540" b="0"/>
            <wp:docPr id="15" name="图片 15" descr="http://www.fl.gov.cn/zfxxgk_206/fdzdgknr/ghxx/zxgh/202112/W0202204213532900603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www.fl.gov.cn/zfxxgk_206/fdzdgknr/ghxx/zxgh/202112/W02022042135329006034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635570" cy="2760829"/>
                    </a:xfrm>
                    <a:prstGeom prst="rect">
                      <a:avLst/>
                    </a:prstGeom>
                    <a:noFill/>
                    <a:ln>
                      <a:noFill/>
                    </a:ln>
                  </pic:spPr>
                </pic:pic>
              </a:graphicData>
            </a:graphic>
          </wp:inline>
        </w:drawing>
      </w:r>
    </w:p>
    <w:p>
      <w:pPr>
        <w:spacing w:before="156" w:after="156" w:line="240" w:lineRule="auto"/>
        <w:ind w:firstLine="361"/>
        <w:jc w:val="center"/>
        <w:rPr>
          <w:rFonts w:ascii="Times New Roman" w:hAnsi="Times New Roman" w:cs="Times New Roman"/>
          <w:b/>
          <w:sz w:val="18"/>
          <w:szCs w:val="18"/>
        </w:rPr>
      </w:pPr>
      <w:r>
        <w:rPr>
          <w:rFonts w:hint="eastAsia" w:ascii="Times New Roman" w:hAnsi="Times New Roman" w:cs="Times New Roman"/>
          <w:b/>
          <w:sz w:val="18"/>
          <w:szCs w:val="18"/>
        </w:rPr>
        <w:t>图</w:t>
      </w:r>
      <w:r>
        <w:rPr>
          <w:rFonts w:ascii="Times New Roman" w:hAnsi="Times New Roman" w:cs="Times New Roman"/>
          <w:b/>
          <w:sz w:val="18"/>
          <w:szCs w:val="18"/>
        </w:rPr>
        <w:t xml:space="preserve">2-1-3 </w:t>
      </w:r>
      <w:r>
        <w:rPr>
          <w:rFonts w:hint="eastAsia" w:ascii="Times New Roman" w:hAnsi="Times New Roman" w:cs="Times New Roman"/>
          <w:b/>
          <w:sz w:val="18"/>
          <w:szCs w:val="18"/>
        </w:rPr>
        <w:t>涪陵区铁路布局形态图</w:t>
      </w:r>
    </w:p>
    <w:p>
      <w:pPr>
        <w:spacing w:before="156" w:after="156"/>
        <w:ind w:firstLine="420"/>
      </w:pPr>
      <w:r>
        <w:rPr>
          <w:rFonts w:ascii="Times New Roman" w:hAnsi="Times New Roman"/>
        </w:rPr>
        <w:t>（3）</w:t>
      </w:r>
      <w:r>
        <w:t>港运</w:t>
      </w:r>
      <w:r>
        <w:rPr>
          <w:rFonts w:hint="eastAsia"/>
        </w:rPr>
        <w:t>：现有</w:t>
      </w:r>
      <w:r>
        <w:t>23个港口，大型新建集装箱码头已投入使用。3000吨级货船全年通航，建有建峰尿素专用码头、大件码头、涪通物流固体危化品码头、涪通物流液体危化品码头、大石溪固态危化品及散杂货码头，总吞吐能力630万吨/年。</w:t>
      </w:r>
    </w:p>
    <w:p>
      <w:pPr>
        <w:pStyle w:val="3"/>
        <w:spacing w:before="156" w:after="156"/>
        <w:ind w:firstLine="562"/>
      </w:pPr>
      <w:bookmarkStart w:id="46" w:name="_Toc108206479"/>
      <w:bookmarkStart w:id="47" w:name="_Toc141203888"/>
      <w:r>
        <w:rPr>
          <w:rFonts w:hint="eastAsia"/>
        </w:rPr>
        <w:t>2</w:t>
      </w:r>
      <w:r>
        <w:t>.4</w:t>
      </w:r>
      <w:r>
        <w:rPr>
          <w:rFonts w:hint="eastAsia"/>
        </w:rPr>
        <w:t>项目设计的原料及产品</w:t>
      </w:r>
      <w:bookmarkEnd w:id="46"/>
      <w:bookmarkEnd w:id="47"/>
    </w:p>
    <w:p>
      <w:pPr>
        <w:spacing w:before="156" w:after="156"/>
        <w:ind w:firstLine="420"/>
      </w:pPr>
      <w:r>
        <w:rPr>
          <w:rFonts w:hint="eastAsia"/>
        </w:rPr>
        <w:t>本项目以己二酸、氨为原料，以己二酸催化氨化法为工艺路线生产己二腈与副产物亚氨基-</w:t>
      </w:r>
      <w:r>
        <w:t>2-</w:t>
      </w:r>
      <w:r>
        <w:rPr>
          <w:rFonts w:hint="eastAsia"/>
        </w:rPr>
        <w:t>氰基环戊烷。</w:t>
      </w:r>
    </w:p>
    <w:p>
      <w:pPr>
        <w:spacing w:before="156" w:after="156"/>
        <w:ind w:firstLine="420"/>
      </w:pPr>
      <w:r>
        <w:rPr>
          <w:rFonts w:hint="eastAsia"/>
        </w:rPr>
        <w:t>本项目以重庆华峰化工有限公司建设</w:t>
      </w:r>
      <w:r>
        <w:t>22.5万吨/年己二酸装置所产的己二酸为原料，年产10.5万吨纯度为99.99wt%的AND</w:t>
      </w:r>
      <w:r>
        <w:rPr>
          <w:rFonts w:hint="eastAsia"/>
        </w:rPr>
        <w:t>。</w:t>
      </w:r>
    </w:p>
    <w:p>
      <w:pPr>
        <w:autoSpaceDE/>
        <w:autoSpaceDN/>
        <w:spacing w:before="0" w:beforeLines="0" w:after="0" w:afterLines="0"/>
        <w:ind w:firstLine="420"/>
        <w:jc w:val="both"/>
        <w:rPr>
          <w:rFonts w:ascii="Times New Roman" w:hAnsi="Times New Roman" w:cs="Times New Roman"/>
          <w:bCs/>
          <w:kern w:val="2"/>
          <w:szCs w:val="21"/>
        </w:rPr>
      </w:pPr>
      <w:bookmarkStart w:id="48" w:name="_Hlk139904713"/>
      <w:r>
        <w:rPr>
          <w:rFonts w:hint="eastAsia" w:ascii="Times New Roman" w:hAnsi="Times New Roman" w:cs="Times New Roman"/>
          <w:bCs/>
          <w:kern w:val="2"/>
          <w:szCs w:val="21"/>
        </w:rPr>
        <w:t>根据精己二酸的标准</w:t>
      </w:r>
      <w:r>
        <w:rPr>
          <w:rFonts w:ascii="Times New Roman" w:hAnsi="Times New Roman" w:cs="Times New Roman"/>
          <w:bCs/>
          <w:kern w:val="2"/>
          <w:szCs w:val="21"/>
        </w:rPr>
        <w:t>SH/T 1499.1-2012如表2-1所示。</w:t>
      </w:r>
    </w:p>
    <w:bookmarkEnd w:id="48"/>
    <w:p>
      <w:pPr>
        <w:autoSpaceDE/>
        <w:autoSpaceDN/>
        <w:spacing w:before="0" w:beforeLines="0" w:after="0" w:afterLines="0"/>
        <w:ind w:firstLine="361"/>
        <w:jc w:val="center"/>
        <w:rPr>
          <w:rFonts w:ascii="Times New Roman" w:hAnsi="Times New Roman" w:cs="Times New Roman"/>
          <w:b/>
          <w:bCs/>
          <w:kern w:val="2"/>
          <w:sz w:val="18"/>
          <w:szCs w:val="18"/>
        </w:rPr>
      </w:pPr>
      <w:r>
        <w:rPr>
          <w:rFonts w:hint="eastAsia" w:ascii="Times New Roman" w:hAnsi="Times New Roman" w:cs="Times New Roman"/>
          <w:b/>
          <w:bCs/>
          <w:kern w:val="2"/>
          <w:sz w:val="18"/>
          <w:szCs w:val="18"/>
        </w:rPr>
        <w:t>表</w:t>
      </w:r>
      <w:r>
        <w:rPr>
          <w:rFonts w:ascii="Times New Roman" w:hAnsi="Times New Roman" w:cs="Times New Roman"/>
          <w:b/>
          <w:bCs/>
          <w:kern w:val="2"/>
          <w:sz w:val="18"/>
          <w:szCs w:val="18"/>
        </w:rPr>
        <w:t xml:space="preserve">2-1 </w:t>
      </w:r>
      <w:r>
        <w:rPr>
          <w:rFonts w:hint="eastAsia" w:ascii="Times New Roman" w:hAnsi="Times New Roman" w:cs="Times New Roman"/>
          <w:b/>
          <w:bCs/>
          <w:kern w:val="2"/>
          <w:sz w:val="18"/>
          <w:szCs w:val="18"/>
        </w:rPr>
        <w:t>精己二酸的技术要求</w:t>
      </w:r>
    </w:p>
    <w:tbl>
      <w:tblPr>
        <w:tblStyle w:val="32"/>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4390"/>
        <w:gridCol w:w="1984"/>
        <w:gridCol w:w="1922"/>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vMerge w:val="restart"/>
            <w:tcBorders>
              <w:top w:val="single" w:color="FFFFFF" w:sz="4" w:space="0"/>
              <w:left w:val="single" w:color="FFFFFF" w:sz="4" w:space="0"/>
              <w:right w:val="nil"/>
              <w:insideV w:val="nil"/>
            </w:tcBorders>
            <w:shd w:val="clear" w:color="auto" w:fill="4472C4"/>
          </w:tcPr>
          <w:p>
            <w:pPr>
              <w:autoSpaceDE/>
              <w:autoSpaceDN/>
              <w:spacing w:before="0" w:beforeLines="0" w:after="0" w:afterLines="0" w:line="240" w:lineRule="auto"/>
              <w:ind w:firstLine="0" w:firstLineChars="0"/>
              <w:jc w:val="center"/>
              <w:rPr>
                <w:rFonts w:ascii="Times New Roman" w:hAnsi="Times New Roman" w:cs="Times New Roman"/>
                <w:b/>
                <w:bCs/>
                <w:color w:val="FFFFFF"/>
                <w:kern w:val="2"/>
                <w:sz w:val="20"/>
                <w:szCs w:val="21"/>
              </w:rPr>
            </w:pPr>
            <w:r>
              <w:rPr>
                <w:rFonts w:hint="eastAsia" w:ascii="Times New Roman" w:hAnsi="Times New Roman" w:cs="Times New Roman"/>
                <w:b/>
                <w:bCs/>
                <w:color w:val="FFFFFF"/>
                <w:kern w:val="2"/>
                <w:sz w:val="20"/>
                <w:szCs w:val="21"/>
              </w:rPr>
              <w:t>项目</w:t>
            </w:r>
          </w:p>
        </w:tc>
        <w:tc>
          <w:tcPr>
            <w:tcW w:w="3906" w:type="dxa"/>
            <w:gridSpan w:val="2"/>
            <w:tcBorders>
              <w:top w:val="single" w:color="FFFFFF" w:sz="4" w:space="0"/>
              <w:right w:val="single" w:color="FFFFFF" w:sz="4" w:space="0"/>
              <w:insideV w:val="nil"/>
            </w:tcBorders>
            <w:shd w:val="clear" w:color="auto" w:fill="4472C4"/>
          </w:tcPr>
          <w:p>
            <w:pPr>
              <w:autoSpaceDE/>
              <w:autoSpaceDN/>
              <w:spacing w:before="0" w:beforeLines="0" w:after="0" w:afterLines="0" w:line="240" w:lineRule="auto"/>
              <w:ind w:firstLine="0" w:firstLineChars="0"/>
              <w:jc w:val="center"/>
              <w:rPr>
                <w:rFonts w:ascii="Times New Roman" w:hAnsi="Times New Roman" w:cs="Times New Roman"/>
                <w:b/>
                <w:bCs/>
                <w:color w:val="FFFFFF"/>
                <w:kern w:val="2"/>
                <w:sz w:val="20"/>
                <w:szCs w:val="21"/>
              </w:rPr>
            </w:pPr>
            <w:r>
              <w:rPr>
                <w:rFonts w:hint="eastAsia" w:ascii="Times New Roman" w:hAnsi="Times New Roman" w:cs="Times New Roman"/>
                <w:b/>
                <w:bCs/>
                <w:color w:val="FFFFFF"/>
                <w:kern w:val="2"/>
                <w:sz w:val="20"/>
                <w:szCs w:val="21"/>
              </w:rPr>
              <w:t>指标</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vMerge w:val="continue"/>
            <w:tcBorders>
              <w:left w:val="single" w:color="FFFFFF" w:sz="4" w:space="0"/>
            </w:tcBorders>
            <w:shd w:val="clear" w:color="auto" w:fill="4472C4"/>
          </w:tcPr>
          <w:p>
            <w:pPr>
              <w:autoSpaceDE/>
              <w:autoSpaceDN/>
              <w:spacing w:before="0" w:beforeLines="0" w:after="0" w:afterLines="0" w:line="240" w:lineRule="auto"/>
              <w:ind w:firstLine="0" w:firstLineChars="0"/>
              <w:jc w:val="center"/>
              <w:rPr>
                <w:rFonts w:ascii="Times New Roman" w:hAnsi="Times New Roman" w:cs="Times New Roman"/>
                <w:b/>
                <w:bCs/>
                <w:color w:val="FFFFFF"/>
                <w:kern w:val="2"/>
                <w:sz w:val="20"/>
                <w:szCs w:val="21"/>
              </w:rPr>
            </w:pPr>
          </w:p>
        </w:tc>
        <w:tc>
          <w:tcPr>
            <w:tcW w:w="1984" w:type="dxa"/>
            <w:shd w:val="clear" w:color="auto" w:fill="B4C6E7"/>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优等品</w:t>
            </w:r>
          </w:p>
        </w:tc>
        <w:tc>
          <w:tcPr>
            <w:tcW w:w="1922" w:type="dxa"/>
            <w:shd w:val="clear" w:color="auto" w:fill="B4C6E7"/>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一等品</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line="240" w:lineRule="auto"/>
              <w:ind w:firstLine="0" w:firstLineChars="0"/>
              <w:jc w:val="center"/>
              <w:rPr>
                <w:rFonts w:ascii="Times New Roman" w:hAnsi="Times New Roman" w:cs="Times New Roman"/>
                <w:b/>
                <w:bCs/>
                <w:color w:val="FFFFFF"/>
                <w:kern w:val="2"/>
                <w:sz w:val="20"/>
                <w:szCs w:val="21"/>
              </w:rPr>
            </w:pPr>
            <w:r>
              <w:rPr>
                <w:rFonts w:hint="eastAsia" w:ascii="Times New Roman" w:hAnsi="Times New Roman" w:cs="Times New Roman"/>
                <w:b/>
                <w:bCs/>
                <w:color w:val="FFFFFF"/>
                <w:kern w:val="2"/>
                <w:sz w:val="20"/>
                <w:szCs w:val="21"/>
              </w:rPr>
              <w:t>外观</w:t>
            </w:r>
          </w:p>
        </w:tc>
        <w:tc>
          <w:tcPr>
            <w:tcW w:w="1984" w:type="dxa"/>
            <w:shd w:val="clear" w:color="auto" w:fill="D9E2F3"/>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白色结晶粉末</w:t>
            </w:r>
          </w:p>
        </w:tc>
        <w:tc>
          <w:tcPr>
            <w:tcW w:w="1922" w:type="dxa"/>
            <w:shd w:val="clear" w:color="auto" w:fill="D9E2F3"/>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白色结晶粉末</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line="240" w:lineRule="auto"/>
              <w:ind w:firstLine="0" w:firstLineChars="0"/>
              <w:jc w:val="center"/>
              <w:rPr>
                <w:rFonts w:ascii="Times New Roman" w:hAnsi="Times New Roman" w:cs="Times New Roman"/>
                <w:b/>
                <w:bCs/>
                <w:color w:val="FFFFFF"/>
                <w:kern w:val="2"/>
                <w:sz w:val="20"/>
                <w:szCs w:val="21"/>
              </w:rPr>
            </w:pPr>
            <w:r>
              <w:rPr>
                <w:rFonts w:hint="eastAsia" w:ascii="Times New Roman" w:hAnsi="Times New Roman" w:cs="Times New Roman"/>
                <w:b/>
                <w:bCs/>
                <w:color w:val="FFFFFF"/>
                <w:kern w:val="2"/>
                <w:sz w:val="20"/>
                <w:szCs w:val="21"/>
              </w:rPr>
              <w:t>精己二酸含量/</w:t>
            </w:r>
            <w:r>
              <w:rPr>
                <w:rFonts w:ascii="Times New Roman" w:hAnsi="Times New Roman" w:cs="Times New Roman"/>
                <w:b/>
                <w:bCs/>
                <w:color w:val="FFFFFF"/>
                <w:kern w:val="2"/>
                <w:sz w:val="20"/>
                <w:szCs w:val="21"/>
              </w:rPr>
              <w:t>%</w:t>
            </w:r>
            <w:r>
              <w:rPr>
                <w:rFonts w:hint="eastAsia" w:ascii="Times New Roman" w:hAnsi="Times New Roman" w:cs="Times New Roman"/>
                <w:b/>
                <w:bCs/>
                <w:color w:val="FFFFFF"/>
                <w:kern w:val="2"/>
                <w:sz w:val="20"/>
                <w:szCs w:val="21"/>
              </w:rPr>
              <w:t xml:space="preserve">（质量分数） </w:t>
            </w:r>
            <w:r>
              <w:rPr>
                <w:rFonts w:ascii="Times New Roman" w:hAnsi="Times New Roman" w:cs="Times New Roman"/>
                <w:b/>
                <w:bCs/>
                <w:color w:val="FFFFFF"/>
                <w:kern w:val="2"/>
                <w:sz w:val="20"/>
                <w:szCs w:val="21"/>
              </w:rPr>
              <w:t xml:space="preserve">            </w:t>
            </w:r>
            <w:r>
              <w:rPr>
                <w:rFonts w:hint="eastAsia" w:ascii="Times New Roman" w:hAnsi="Times New Roman" w:cs="Times New Roman"/>
                <w:b/>
                <w:bCs/>
                <w:color w:val="FFFFFF"/>
                <w:kern w:val="2"/>
                <w:sz w:val="20"/>
                <w:szCs w:val="21"/>
              </w:rPr>
              <w:t>≥</w:t>
            </w:r>
          </w:p>
        </w:tc>
        <w:tc>
          <w:tcPr>
            <w:tcW w:w="1984" w:type="dxa"/>
            <w:shd w:val="clear" w:color="auto" w:fill="B4C6E7"/>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9</w:t>
            </w:r>
            <w:r>
              <w:rPr>
                <w:rFonts w:ascii="Times New Roman" w:hAnsi="Times New Roman" w:cs="Times New Roman"/>
                <w:bCs/>
                <w:kern w:val="2"/>
                <w:sz w:val="20"/>
                <w:szCs w:val="21"/>
              </w:rPr>
              <w:t>9.80</w:t>
            </w:r>
          </w:p>
        </w:tc>
        <w:tc>
          <w:tcPr>
            <w:tcW w:w="1922" w:type="dxa"/>
            <w:shd w:val="clear" w:color="auto" w:fill="B4C6E7"/>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9</w:t>
            </w:r>
            <w:r>
              <w:rPr>
                <w:rFonts w:ascii="Times New Roman" w:hAnsi="Times New Roman" w:cs="Times New Roman"/>
                <w:bCs/>
                <w:kern w:val="2"/>
                <w:sz w:val="20"/>
                <w:szCs w:val="21"/>
              </w:rPr>
              <w:t>9.70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line="240" w:lineRule="auto"/>
              <w:ind w:firstLine="0" w:firstLineChars="0"/>
              <w:jc w:val="center"/>
              <w:rPr>
                <w:rFonts w:ascii="Times New Roman" w:hAnsi="Times New Roman" w:cs="Times New Roman"/>
                <w:b/>
                <w:bCs/>
                <w:color w:val="FFFFFF"/>
                <w:kern w:val="2"/>
                <w:sz w:val="20"/>
                <w:szCs w:val="21"/>
              </w:rPr>
            </w:pPr>
            <w:r>
              <w:rPr>
                <w:rFonts w:hint="eastAsia" w:ascii="Times New Roman" w:hAnsi="Times New Roman" w:cs="Times New Roman"/>
                <w:b/>
                <w:bCs/>
                <w:color w:val="FFFFFF"/>
                <w:kern w:val="2"/>
                <w:sz w:val="20"/>
                <w:szCs w:val="21"/>
              </w:rPr>
              <w:t xml:space="preserve">熔点/℃ </w:t>
            </w:r>
            <w:r>
              <w:rPr>
                <w:rFonts w:ascii="Times New Roman" w:hAnsi="Times New Roman" w:cs="Times New Roman"/>
                <w:b/>
                <w:bCs/>
                <w:color w:val="FFFFFF"/>
                <w:kern w:val="2"/>
                <w:sz w:val="20"/>
                <w:szCs w:val="21"/>
              </w:rPr>
              <w:t xml:space="preserve">                                </w:t>
            </w:r>
            <w:r>
              <w:rPr>
                <w:rFonts w:hint="eastAsia" w:ascii="Times New Roman" w:hAnsi="Times New Roman" w:cs="Times New Roman"/>
                <w:b/>
                <w:bCs/>
                <w:color w:val="FFFFFF"/>
                <w:kern w:val="2"/>
                <w:sz w:val="20"/>
                <w:szCs w:val="21"/>
              </w:rPr>
              <w:t>≥</w:t>
            </w:r>
          </w:p>
        </w:tc>
        <w:tc>
          <w:tcPr>
            <w:tcW w:w="1984" w:type="dxa"/>
            <w:shd w:val="clear" w:color="auto" w:fill="D9E2F3"/>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1</w:t>
            </w:r>
            <w:r>
              <w:rPr>
                <w:rFonts w:ascii="Times New Roman" w:hAnsi="Times New Roman" w:cs="Times New Roman"/>
                <w:bCs/>
                <w:kern w:val="2"/>
                <w:sz w:val="20"/>
                <w:szCs w:val="21"/>
              </w:rPr>
              <w:t>52.0</w:t>
            </w:r>
          </w:p>
        </w:tc>
        <w:tc>
          <w:tcPr>
            <w:tcW w:w="1922" w:type="dxa"/>
            <w:shd w:val="clear" w:color="auto" w:fill="D9E2F3"/>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1</w:t>
            </w:r>
            <w:r>
              <w:rPr>
                <w:rFonts w:ascii="Times New Roman" w:hAnsi="Times New Roman" w:cs="Times New Roman"/>
                <w:bCs/>
                <w:kern w:val="2"/>
                <w:sz w:val="20"/>
                <w:szCs w:val="21"/>
              </w:rPr>
              <w:t>51.5</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line="240" w:lineRule="auto"/>
              <w:ind w:firstLine="0" w:firstLineChars="0"/>
              <w:jc w:val="center"/>
              <w:rPr>
                <w:rFonts w:ascii="Times New Roman" w:hAnsi="Times New Roman" w:cs="Times New Roman"/>
                <w:b/>
                <w:bCs/>
                <w:color w:val="FFFFFF"/>
                <w:kern w:val="2"/>
                <w:sz w:val="20"/>
                <w:szCs w:val="21"/>
              </w:rPr>
            </w:pPr>
            <w:r>
              <w:rPr>
                <w:rFonts w:hint="eastAsia" w:ascii="Times New Roman" w:hAnsi="Times New Roman" w:cs="Times New Roman"/>
                <w:b/>
                <w:bCs/>
                <w:color w:val="FFFFFF"/>
                <w:kern w:val="2"/>
                <w:sz w:val="20"/>
                <w:szCs w:val="21"/>
              </w:rPr>
              <w:t xml:space="preserve">氨溶液色度/（铂-钴色号） </w:t>
            </w:r>
            <w:r>
              <w:rPr>
                <w:rFonts w:ascii="Times New Roman" w:hAnsi="Times New Roman" w:cs="Times New Roman"/>
                <w:b/>
                <w:bCs/>
                <w:color w:val="FFFFFF"/>
                <w:kern w:val="2"/>
                <w:sz w:val="20"/>
                <w:szCs w:val="21"/>
              </w:rPr>
              <w:t xml:space="preserve">               </w:t>
            </w:r>
            <w:r>
              <w:rPr>
                <w:rFonts w:hint="eastAsia" w:ascii="Times New Roman" w:hAnsi="Times New Roman" w:cs="Times New Roman"/>
                <w:b/>
                <w:bCs/>
                <w:color w:val="FFFFFF"/>
                <w:kern w:val="2"/>
                <w:sz w:val="20"/>
                <w:szCs w:val="21"/>
              </w:rPr>
              <w:t>≤</w:t>
            </w:r>
          </w:p>
        </w:tc>
        <w:tc>
          <w:tcPr>
            <w:tcW w:w="1984" w:type="dxa"/>
            <w:shd w:val="clear" w:color="auto" w:fill="B4C6E7"/>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ascii="Times New Roman" w:hAnsi="Times New Roman" w:cs="Times New Roman"/>
                <w:bCs/>
                <w:kern w:val="2"/>
                <w:sz w:val="20"/>
                <w:szCs w:val="21"/>
              </w:rPr>
              <w:t>5</w:t>
            </w:r>
          </w:p>
        </w:tc>
        <w:tc>
          <w:tcPr>
            <w:tcW w:w="1922" w:type="dxa"/>
            <w:shd w:val="clear" w:color="auto" w:fill="B4C6E7"/>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5</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line="240" w:lineRule="auto"/>
              <w:ind w:firstLine="0" w:firstLineChars="0"/>
              <w:jc w:val="center"/>
              <w:rPr>
                <w:rFonts w:ascii="Times New Roman" w:hAnsi="Times New Roman" w:cs="Times New Roman"/>
                <w:b/>
                <w:bCs/>
                <w:color w:val="FFFFFF"/>
                <w:kern w:val="2"/>
                <w:sz w:val="20"/>
                <w:szCs w:val="21"/>
              </w:rPr>
            </w:pPr>
            <w:r>
              <w:rPr>
                <w:rFonts w:hint="eastAsia" w:ascii="Times New Roman" w:hAnsi="Times New Roman" w:cs="Times New Roman"/>
                <w:b/>
                <w:bCs/>
                <w:color w:val="FFFFFF"/>
                <w:kern w:val="2"/>
                <w:sz w:val="20"/>
                <w:szCs w:val="21"/>
              </w:rPr>
              <w:t>水分/</w:t>
            </w:r>
            <w:r>
              <w:rPr>
                <w:rFonts w:ascii="Times New Roman" w:hAnsi="Times New Roman" w:cs="Times New Roman"/>
                <w:b/>
                <w:bCs/>
                <w:color w:val="FFFFFF"/>
                <w:kern w:val="2"/>
                <w:sz w:val="20"/>
                <w:szCs w:val="21"/>
              </w:rPr>
              <w:t>%</w:t>
            </w:r>
            <w:r>
              <w:rPr>
                <w:rFonts w:hint="eastAsia" w:ascii="Times New Roman" w:hAnsi="Times New Roman" w:cs="Times New Roman"/>
                <w:b/>
                <w:bCs/>
                <w:color w:val="FFFFFF"/>
                <w:kern w:val="2"/>
                <w:sz w:val="20"/>
                <w:szCs w:val="21"/>
              </w:rPr>
              <w:t xml:space="preserve">（质量分数） </w:t>
            </w:r>
            <w:r>
              <w:rPr>
                <w:rFonts w:ascii="Times New Roman" w:hAnsi="Times New Roman" w:cs="Times New Roman"/>
                <w:b/>
                <w:bCs/>
                <w:color w:val="FFFFFF"/>
                <w:kern w:val="2"/>
                <w:sz w:val="20"/>
                <w:szCs w:val="21"/>
              </w:rPr>
              <w:t xml:space="preserve">                    </w:t>
            </w:r>
            <w:r>
              <w:rPr>
                <w:rFonts w:hint="eastAsia" w:ascii="Times New Roman" w:hAnsi="Times New Roman" w:cs="Times New Roman"/>
                <w:b/>
                <w:bCs/>
                <w:color w:val="FFFFFF"/>
                <w:kern w:val="2"/>
                <w:sz w:val="20"/>
                <w:szCs w:val="21"/>
              </w:rPr>
              <w:t>≤</w:t>
            </w:r>
          </w:p>
        </w:tc>
        <w:tc>
          <w:tcPr>
            <w:tcW w:w="1984" w:type="dxa"/>
            <w:shd w:val="clear" w:color="auto" w:fill="D9E2F3"/>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0</w:t>
            </w:r>
            <w:r>
              <w:rPr>
                <w:rFonts w:ascii="Times New Roman" w:hAnsi="Times New Roman" w:cs="Times New Roman"/>
                <w:bCs/>
                <w:kern w:val="2"/>
                <w:sz w:val="20"/>
                <w:szCs w:val="21"/>
              </w:rPr>
              <w:t>.20</w:t>
            </w:r>
          </w:p>
        </w:tc>
        <w:tc>
          <w:tcPr>
            <w:tcW w:w="1922" w:type="dxa"/>
            <w:shd w:val="clear" w:color="auto" w:fill="D9E2F3"/>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0</w:t>
            </w:r>
            <w:r>
              <w:rPr>
                <w:rFonts w:ascii="Times New Roman" w:hAnsi="Times New Roman" w:cs="Times New Roman"/>
                <w:bCs/>
                <w:kern w:val="2"/>
                <w:sz w:val="20"/>
                <w:szCs w:val="21"/>
              </w:rPr>
              <w:t>.27</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line="240" w:lineRule="auto"/>
              <w:ind w:firstLine="0" w:firstLineChars="0"/>
              <w:jc w:val="center"/>
              <w:rPr>
                <w:rFonts w:ascii="Times New Roman" w:hAnsi="Times New Roman" w:cs="Times New Roman"/>
                <w:b/>
                <w:bCs/>
                <w:color w:val="FFFFFF"/>
                <w:kern w:val="2"/>
                <w:sz w:val="20"/>
                <w:szCs w:val="21"/>
              </w:rPr>
            </w:pPr>
            <w:r>
              <w:rPr>
                <w:rFonts w:hint="eastAsia" w:ascii="Times New Roman" w:hAnsi="Times New Roman" w:cs="Times New Roman"/>
                <w:b/>
                <w:bCs/>
                <w:color w:val="FFFFFF"/>
                <w:kern w:val="2"/>
                <w:sz w:val="20"/>
                <w:szCs w:val="21"/>
              </w:rPr>
              <w:t>灰分/（mg</w:t>
            </w:r>
            <w:r>
              <w:rPr>
                <w:rFonts w:ascii="Times New Roman" w:hAnsi="Times New Roman" w:cs="Times New Roman"/>
                <w:b/>
                <w:bCs/>
                <w:color w:val="FFFFFF"/>
                <w:kern w:val="2"/>
                <w:sz w:val="20"/>
                <w:szCs w:val="21"/>
              </w:rPr>
              <w:t>/kg</w:t>
            </w:r>
            <w:r>
              <w:rPr>
                <w:rFonts w:hint="eastAsia" w:ascii="Times New Roman" w:hAnsi="Times New Roman" w:cs="Times New Roman"/>
                <w:b/>
                <w:bCs/>
                <w:color w:val="FFFFFF"/>
                <w:kern w:val="2"/>
                <w:sz w:val="20"/>
                <w:szCs w:val="21"/>
              </w:rPr>
              <w:t>）</w:t>
            </w:r>
            <w:r>
              <w:rPr>
                <w:rFonts w:ascii="Times New Roman" w:hAnsi="Times New Roman" w:cs="Times New Roman"/>
                <w:b/>
                <w:bCs/>
                <w:color w:val="FFFFFF"/>
                <w:kern w:val="2"/>
                <w:sz w:val="20"/>
                <w:szCs w:val="21"/>
              </w:rPr>
              <w:t xml:space="preserve">                         </w:t>
            </w:r>
            <w:r>
              <w:rPr>
                <w:rFonts w:hint="eastAsia" w:ascii="Times New Roman" w:hAnsi="Times New Roman" w:cs="Times New Roman"/>
                <w:b/>
                <w:bCs/>
                <w:color w:val="FFFFFF"/>
                <w:kern w:val="2"/>
                <w:sz w:val="20"/>
                <w:szCs w:val="21"/>
              </w:rPr>
              <w:t>≤</w:t>
            </w:r>
          </w:p>
        </w:tc>
        <w:tc>
          <w:tcPr>
            <w:tcW w:w="1984" w:type="dxa"/>
            <w:shd w:val="clear" w:color="auto" w:fill="B4C6E7"/>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4</w:t>
            </w:r>
          </w:p>
        </w:tc>
        <w:tc>
          <w:tcPr>
            <w:tcW w:w="1922" w:type="dxa"/>
            <w:shd w:val="clear" w:color="auto" w:fill="B4C6E7"/>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7</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tcBorders>
            <w:shd w:val="clear" w:color="auto" w:fill="4472C4"/>
          </w:tcPr>
          <w:p>
            <w:pPr>
              <w:autoSpaceDE/>
              <w:autoSpaceDN/>
              <w:spacing w:before="0" w:beforeLines="0" w:after="0" w:afterLines="0" w:line="240" w:lineRule="auto"/>
              <w:ind w:firstLine="0" w:firstLineChars="0"/>
              <w:jc w:val="center"/>
              <w:rPr>
                <w:rFonts w:ascii="Times New Roman" w:hAnsi="Times New Roman" w:cs="Times New Roman"/>
                <w:b/>
                <w:bCs/>
                <w:color w:val="FFFFFF"/>
                <w:kern w:val="2"/>
                <w:sz w:val="20"/>
                <w:szCs w:val="21"/>
              </w:rPr>
            </w:pPr>
            <w:r>
              <w:rPr>
                <w:rFonts w:hint="eastAsia" w:ascii="Times New Roman" w:hAnsi="Times New Roman" w:cs="Times New Roman"/>
                <w:b/>
                <w:bCs/>
                <w:color w:val="FFFFFF"/>
                <w:kern w:val="2"/>
                <w:sz w:val="20"/>
                <w:szCs w:val="21"/>
              </w:rPr>
              <w:t>铁含量/（mg</w:t>
            </w:r>
            <w:r>
              <w:rPr>
                <w:rFonts w:ascii="Times New Roman" w:hAnsi="Times New Roman" w:cs="Times New Roman"/>
                <w:b/>
                <w:bCs/>
                <w:color w:val="FFFFFF"/>
                <w:kern w:val="2"/>
                <w:sz w:val="20"/>
                <w:szCs w:val="21"/>
              </w:rPr>
              <w:t>/</w:t>
            </w:r>
            <w:r>
              <w:rPr>
                <w:rFonts w:hint="eastAsia" w:ascii="Times New Roman" w:hAnsi="Times New Roman" w:cs="Times New Roman"/>
                <w:b/>
                <w:bCs/>
                <w:color w:val="FFFFFF"/>
                <w:kern w:val="2"/>
                <w:sz w:val="20"/>
                <w:szCs w:val="21"/>
              </w:rPr>
              <w:t>kg）</w:t>
            </w:r>
            <w:r>
              <w:rPr>
                <w:rFonts w:ascii="Times New Roman" w:hAnsi="Times New Roman" w:cs="Times New Roman"/>
                <w:b/>
                <w:bCs/>
                <w:color w:val="FFFFFF"/>
                <w:kern w:val="2"/>
                <w:sz w:val="20"/>
                <w:szCs w:val="21"/>
              </w:rPr>
              <w:t xml:space="preserve">                       </w:t>
            </w:r>
            <w:r>
              <w:rPr>
                <w:rFonts w:hint="eastAsia" w:ascii="Times New Roman" w:hAnsi="Times New Roman" w:cs="Times New Roman"/>
                <w:b/>
                <w:bCs/>
                <w:color w:val="FFFFFF"/>
                <w:kern w:val="2"/>
                <w:sz w:val="20"/>
                <w:szCs w:val="21"/>
              </w:rPr>
              <w:t>≤</w:t>
            </w:r>
          </w:p>
        </w:tc>
        <w:tc>
          <w:tcPr>
            <w:tcW w:w="1984" w:type="dxa"/>
            <w:shd w:val="clear" w:color="auto" w:fill="D9E2F3"/>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0</w:t>
            </w:r>
            <w:r>
              <w:rPr>
                <w:rFonts w:ascii="Times New Roman" w:hAnsi="Times New Roman" w:cs="Times New Roman"/>
                <w:bCs/>
                <w:kern w:val="2"/>
                <w:sz w:val="20"/>
                <w:szCs w:val="21"/>
              </w:rPr>
              <w:t>.4</w:t>
            </w:r>
          </w:p>
        </w:tc>
        <w:tc>
          <w:tcPr>
            <w:tcW w:w="1922" w:type="dxa"/>
            <w:shd w:val="clear" w:color="auto" w:fill="D9E2F3"/>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1</w:t>
            </w:r>
            <w:r>
              <w:rPr>
                <w:rFonts w:ascii="Times New Roman" w:hAnsi="Times New Roman" w:cs="Times New Roman"/>
                <w:bCs/>
                <w:kern w:val="2"/>
                <w:sz w:val="20"/>
                <w:szCs w:val="21"/>
              </w:rPr>
              <w:t>.0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390" w:type="dxa"/>
            <w:tcBorders>
              <w:left w:val="single" w:color="FFFFFF" w:sz="4" w:space="0"/>
              <w:bottom w:val="single" w:color="FFFFFF" w:sz="4" w:space="0"/>
            </w:tcBorders>
            <w:shd w:val="clear" w:color="auto" w:fill="4472C4"/>
          </w:tcPr>
          <w:p>
            <w:pPr>
              <w:autoSpaceDE/>
              <w:autoSpaceDN/>
              <w:spacing w:before="0" w:beforeLines="0" w:after="0" w:afterLines="0" w:line="240" w:lineRule="auto"/>
              <w:ind w:firstLine="0" w:firstLineChars="0"/>
              <w:jc w:val="center"/>
              <w:rPr>
                <w:rFonts w:ascii="Times New Roman" w:hAnsi="Times New Roman" w:cs="Times New Roman"/>
                <w:b/>
                <w:bCs/>
                <w:color w:val="FFFFFF"/>
                <w:kern w:val="2"/>
                <w:sz w:val="20"/>
                <w:szCs w:val="21"/>
              </w:rPr>
            </w:pPr>
            <w:r>
              <w:rPr>
                <w:rFonts w:hint="eastAsia" w:ascii="Times New Roman" w:hAnsi="Times New Roman" w:cs="Times New Roman"/>
                <w:b/>
                <w:bCs/>
                <w:color w:val="FFFFFF"/>
                <w:kern w:val="2"/>
                <w:sz w:val="20"/>
                <w:szCs w:val="21"/>
              </w:rPr>
              <w:t>硝酸含量/（m</w:t>
            </w:r>
            <w:r>
              <w:rPr>
                <w:rFonts w:ascii="Times New Roman" w:hAnsi="Times New Roman" w:cs="Times New Roman"/>
                <w:b/>
                <w:bCs/>
                <w:color w:val="FFFFFF"/>
                <w:kern w:val="2"/>
                <w:sz w:val="20"/>
                <w:szCs w:val="21"/>
              </w:rPr>
              <w:t>g/kg</w:t>
            </w:r>
            <w:r>
              <w:rPr>
                <w:rFonts w:hint="eastAsia" w:ascii="Times New Roman" w:hAnsi="Times New Roman" w:cs="Times New Roman"/>
                <w:b/>
                <w:bCs/>
                <w:color w:val="FFFFFF"/>
                <w:kern w:val="2"/>
                <w:sz w:val="20"/>
                <w:szCs w:val="21"/>
              </w:rPr>
              <w:t xml:space="preserve">） </w:t>
            </w:r>
            <w:r>
              <w:rPr>
                <w:rFonts w:ascii="Times New Roman" w:hAnsi="Times New Roman" w:cs="Times New Roman"/>
                <w:b/>
                <w:bCs/>
                <w:color w:val="FFFFFF"/>
                <w:kern w:val="2"/>
                <w:sz w:val="20"/>
                <w:szCs w:val="21"/>
              </w:rPr>
              <w:t xml:space="preserve">                    </w:t>
            </w:r>
            <w:r>
              <w:rPr>
                <w:rFonts w:hint="eastAsia" w:ascii="Times New Roman" w:hAnsi="Times New Roman" w:cs="Times New Roman"/>
                <w:b/>
                <w:bCs/>
                <w:color w:val="FFFFFF"/>
                <w:kern w:val="2"/>
                <w:sz w:val="20"/>
                <w:szCs w:val="21"/>
              </w:rPr>
              <w:t>≤</w:t>
            </w:r>
          </w:p>
        </w:tc>
        <w:tc>
          <w:tcPr>
            <w:tcW w:w="1984" w:type="dxa"/>
            <w:shd w:val="clear" w:color="auto" w:fill="B4C6E7"/>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3</w:t>
            </w:r>
            <w:r>
              <w:rPr>
                <w:rFonts w:ascii="Times New Roman" w:hAnsi="Times New Roman" w:cs="Times New Roman"/>
                <w:bCs/>
                <w:kern w:val="2"/>
                <w:sz w:val="20"/>
                <w:szCs w:val="21"/>
              </w:rPr>
              <w:t>.0</w:t>
            </w:r>
          </w:p>
        </w:tc>
        <w:tc>
          <w:tcPr>
            <w:tcW w:w="1922" w:type="dxa"/>
            <w:shd w:val="clear" w:color="auto" w:fill="B4C6E7"/>
          </w:tcPr>
          <w:p>
            <w:pPr>
              <w:autoSpaceDE/>
              <w:autoSpaceDN/>
              <w:spacing w:before="0" w:beforeLines="0" w:after="0" w:afterLines="0" w:line="240" w:lineRule="auto"/>
              <w:ind w:firstLine="0" w:firstLineChars="0"/>
              <w:jc w:val="center"/>
              <w:rPr>
                <w:rFonts w:ascii="Times New Roman" w:hAnsi="Times New Roman" w:cs="Times New Roman"/>
                <w:bCs/>
                <w:kern w:val="2"/>
                <w:sz w:val="20"/>
                <w:szCs w:val="21"/>
              </w:rPr>
            </w:pPr>
            <w:r>
              <w:rPr>
                <w:rFonts w:hint="eastAsia" w:ascii="Times New Roman" w:hAnsi="Times New Roman" w:cs="Times New Roman"/>
                <w:bCs/>
                <w:kern w:val="2"/>
                <w:sz w:val="20"/>
                <w:szCs w:val="21"/>
              </w:rPr>
              <w:t>8</w:t>
            </w:r>
            <w:r>
              <w:rPr>
                <w:rFonts w:ascii="Times New Roman" w:hAnsi="Times New Roman" w:cs="Times New Roman"/>
                <w:bCs/>
                <w:kern w:val="2"/>
                <w:sz w:val="20"/>
                <w:szCs w:val="21"/>
              </w:rPr>
              <w:t>.0</w:t>
            </w:r>
          </w:p>
        </w:tc>
      </w:tr>
    </w:tbl>
    <w:p>
      <w:pPr>
        <w:spacing w:before="156" w:after="156"/>
        <w:ind w:firstLine="420"/>
      </w:pPr>
      <w:r>
        <w:rPr>
          <w:rFonts w:hint="eastAsia"/>
        </w:rPr>
        <w:t>本项目液氨由重庆建峰化工有限公司提供，符合中华人民共和国国家标准</w:t>
      </w:r>
      <w:r>
        <w:t>GB 536-2017工业用液氨优等品技术指标，采用管道运输的方式运输到本厂。</w:t>
      </w:r>
    </w:p>
    <w:p>
      <w:pPr>
        <w:widowControl/>
        <w:spacing w:before="0" w:beforeLines="0" w:after="0" w:afterLines="0" w:line="240" w:lineRule="auto"/>
        <w:ind w:firstLine="0" w:firstLineChars="0"/>
        <w:jc w:val="center"/>
        <w:rPr>
          <w:rFonts w:ascii="Times New Roman" w:hAnsi="Times New Roman" w:cs="Times New Roman"/>
          <w:b/>
          <w:bCs/>
          <w:color w:val="000000"/>
          <w:sz w:val="18"/>
          <w:szCs w:val="18"/>
          <w:lang w:bidi="ar"/>
        </w:rPr>
      </w:pPr>
      <w:r>
        <w:rPr>
          <w:rFonts w:ascii="Times New Roman" w:hAnsi="Times New Roman" w:cs="Times New Roman"/>
          <w:b/>
          <w:bCs/>
          <w:color w:val="000000"/>
          <w:sz w:val="18"/>
          <w:szCs w:val="18"/>
          <w:lang w:bidi="ar"/>
        </w:rPr>
        <w:t xml:space="preserve">表2-2 </w:t>
      </w:r>
      <w:r>
        <w:rPr>
          <w:rFonts w:hint="eastAsia" w:ascii="Times New Roman" w:hAnsi="Times New Roman" w:cs="Times New Roman"/>
          <w:b/>
          <w:bCs/>
          <w:color w:val="000000"/>
          <w:sz w:val="18"/>
          <w:szCs w:val="18"/>
          <w:lang w:bidi="ar"/>
        </w:rPr>
        <w:t>液体无水氨技术要求</w:t>
      </w:r>
    </w:p>
    <w:tbl>
      <w:tblPr>
        <w:tblStyle w:val="33"/>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972"/>
        <w:gridCol w:w="1701"/>
        <w:gridCol w:w="1843"/>
        <w:gridCol w:w="1780"/>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vMerge w:val="restart"/>
            <w:tcBorders>
              <w:top w:val="single" w:color="FFFFFF" w:themeColor="background1" w:sz="4" w:space="0"/>
              <w:left w:val="single" w:color="FFFFFF" w:themeColor="background1" w:sz="4" w:space="0"/>
              <w:right w:val="nil"/>
              <w:insideV w:val="nil"/>
            </w:tcBorders>
            <w:shd w:val="clear" w:color="auto" w:fill="4472C4" w:themeFill="accent1"/>
            <w:vAlign w:val="center"/>
          </w:tcPr>
          <w:p>
            <w:pPr>
              <w:autoSpaceDE/>
              <w:autoSpaceDN/>
              <w:spacing w:before="0" w:beforeLines="0" w:after="0" w:afterLines="0" w:line="240" w:lineRule="auto"/>
              <w:ind w:firstLine="0" w:firstLineChar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bCs/>
                <w:color w:val="FFFFFF" w:themeColor="background1"/>
                <w:kern w:val="2"/>
                <w:sz w:val="18"/>
                <w:szCs w:val="18"/>
                <w14:textFill>
                  <w14:solidFill>
                    <w14:schemeClr w14:val="bg1"/>
                  </w14:solidFill>
                </w14:textFill>
              </w:rPr>
              <w:t>项目</w:t>
            </w:r>
          </w:p>
        </w:tc>
        <w:tc>
          <w:tcPr>
            <w:tcW w:w="5324" w:type="dxa"/>
            <w:gridSpan w:val="3"/>
            <w:tcBorders>
              <w:top w:val="single" w:color="FFFFFF" w:themeColor="background1" w:sz="4" w:space="0"/>
              <w:right w:val="single" w:color="FFFFFF" w:themeColor="background1" w:sz="4" w:space="0"/>
              <w:insideV w:val="nil"/>
            </w:tcBorders>
            <w:shd w:val="clear" w:color="auto" w:fill="4472C4" w:themeFill="accent1"/>
            <w:vAlign w:val="center"/>
          </w:tcPr>
          <w:p>
            <w:pPr>
              <w:autoSpaceDE/>
              <w:autoSpaceDN/>
              <w:spacing w:before="0" w:beforeLines="0" w:after="0" w:afterLines="0" w:line="240" w:lineRule="auto"/>
              <w:ind w:firstLine="0" w:firstLineChar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bCs/>
                <w:color w:val="FFFFFF" w:themeColor="background1"/>
                <w:kern w:val="2"/>
                <w:sz w:val="18"/>
                <w:szCs w:val="18"/>
                <w14:textFill>
                  <w14:solidFill>
                    <w14:schemeClr w14:val="bg1"/>
                  </w14:solidFill>
                </w14:textFill>
              </w:rPr>
              <w:t>指标</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vMerge w:val="continue"/>
            <w:tcBorders>
              <w:left w:val="single" w:color="FFFFFF" w:themeColor="background1" w:sz="4" w:space="0"/>
            </w:tcBorders>
            <w:shd w:val="clear" w:color="auto" w:fill="4472C4" w:themeFill="accent1"/>
            <w:vAlign w:val="center"/>
          </w:tcPr>
          <w:p>
            <w:pPr>
              <w:autoSpaceDE/>
              <w:autoSpaceDN/>
              <w:spacing w:before="0" w:beforeLines="0" w:after="0" w:afterLines="0" w:line="240" w:lineRule="auto"/>
              <w:ind w:firstLine="0" w:firstLineChars="0"/>
              <w:jc w:val="center"/>
              <w:rPr>
                <w:rFonts w:ascii="Times New Roman" w:hAnsi="Times New Roman" w:cs="Times New Roman"/>
                <w:b/>
                <w:bCs/>
                <w:color w:val="FFFFFF" w:themeColor="background1"/>
                <w:kern w:val="2"/>
                <w:sz w:val="18"/>
                <w:szCs w:val="18"/>
                <w14:textFill>
                  <w14:solidFill>
                    <w14:schemeClr w14:val="bg1"/>
                  </w14:solidFill>
                </w14:textFill>
              </w:rPr>
            </w:pPr>
          </w:p>
        </w:tc>
        <w:tc>
          <w:tcPr>
            <w:tcW w:w="1701" w:type="dxa"/>
            <w:shd w:val="clear" w:color="auto" w:fill="B4C6E7" w:themeFill="accent1" w:themeFillTint="66"/>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优等品</w:t>
            </w:r>
          </w:p>
        </w:tc>
        <w:tc>
          <w:tcPr>
            <w:tcW w:w="1843" w:type="dxa"/>
            <w:shd w:val="clear" w:color="auto" w:fill="B4C6E7" w:themeFill="accent1" w:themeFillTint="66"/>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一等品</w:t>
            </w:r>
          </w:p>
        </w:tc>
        <w:tc>
          <w:tcPr>
            <w:tcW w:w="1780" w:type="dxa"/>
            <w:shd w:val="clear" w:color="auto" w:fill="B4C6E7" w:themeFill="accent1" w:themeFillTint="66"/>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合格品</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tcBorders>
              <w:left w:val="single" w:color="FFFFFF" w:themeColor="background1" w:sz="4" w:space="0"/>
            </w:tcBorders>
            <w:shd w:val="clear" w:color="auto" w:fill="4472C4" w:themeFill="accent1"/>
            <w:vAlign w:val="center"/>
          </w:tcPr>
          <w:p>
            <w:pPr>
              <w:autoSpaceDE/>
              <w:autoSpaceDN/>
              <w:spacing w:before="0" w:beforeLines="0" w:after="0" w:afterLines="0" w:line="240" w:lineRule="auto"/>
              <w:ind w:firstLine="0" w:firstLineChar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bCs/>
                <w:color w:val="FFFFFF" w:themeColor="background1"/>
                <w:kern w:val="2"/>
                <w:sz w:val="18"/>
                <w:szCs w:val="18"/>
                <w14:textFill>
                  <w14:solidFill>
                    <w14:schemeClr w14:val="bg1"/>
                  </w14:solidFill>
                </w14:textFill>
              </w:rPr>
              <w:t>氨含量/</w:t>
            </w:r>
            <w:r>
              <w:rPr>
                <w:rFonts w:ascii="Times New Roman" w:hAnsi="Times New Roman" w:cs="Times New Roman"/>
                <w:b/>
                <w:bCs/>
                <w:color w:val="FFFFFF" w:themeColor="background1"/>
                <w:kern w:val="2"/>
                <w:sz w:val="18"/>
                <w:szCs w:val="18"/>
                <w14:textFill>
                  <w14:solidFill>
                    <w14:schemeClr w14:val="bg1"/>
                  </w14:solidFill>
                </w14:textFill>
              </w:rPr>
              <w:t xml:space="preserve">%                   </w:t>
            </w:r>
            <w:r>
              <w:rPr>
                <w:rFonts w:hint="eastAsia" w:ascii="Times New Roman" w:hAnsi="Times New Roman" w:cs="Times New Roman"/>
                <w:b/>
                <w:bCs/>
                <w:color w:val="FFFFFF" w:themeColor="background1"/>
                <w:kern w:val="2"/>
                <w:sz w:val="18"/>
                <w:szCs w:val="18"/>
                <w14:textFill>
                  <w14:solidFill>
                    <w14:schemeClr w14:val="bg1"/>
                  </w14:solidFill>
                </w14:textFill>
              </w:rPr>
              <w:t>≥</w:t>
            </w:r>
          </w:p>
        </w:tc>
        <w:tc>
          <w:tcPr>
            <w:tcW w:w="1701" w:type="dxa"/>
            <w:shd w:val="clear" w:color="auto" w:fill="D9E2F3" w:themeFill="accent1" w:themeFillTint="33"/>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9</w:t>
            </w:r>
            <w:r>
              <w:rPr>
                <w:rFonts w:ascii="Times New Roman" w:hAnsi="Times New Roman" w:cs="Times New Roman"/>
                <w:bCs/>
                <w:kern w:val="2"/>
                <w:sz w:val="18"/>
                <w:szCs w:val="18"/>
              </w:rPr>
              <w:t>9.9</w:t>
            </w:r>
          </w:p>
        </w:tc>
        <w:tc>
          <w:tcPr>
            <w:tcW w:w="1843" w:type="dxa"/>
            <w:shd w:val="clear" w:color="auto" w:fill="D9E2F3" w:themeFill="accent1" w:themeFillTint="33"/>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9</w:t>
            </w:r>
            <w:r>
              <w:rPr>
                <w:rFonts w:ascii="Times New Roman" w:hAnsi="Times New Roman" w:cs="Times New Roman"/>
                <w:bCs/>
                <w:kern w:val="2"/>
                <w:sz w:val="18"/>
                <w:szCs w:val="18"/>
              </w:rPr>
              <w:t>9.8</w:t>
            </w:r>
          </w:p>
        </w:tc>
        <w:tc>
          <w:tcPr>
            <w:tcW w:w="1780" w:type="dxa"/>
            <w:shd w:val="clear" w:color="auto" w:fill="D9E2F3" w:themeFill="accent1" w:themeFillTint="33"/>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9</w:t>
            </w:r>
            <w:r>
              <w:rPr>
                <w:rFonts w:ascii="Times New Roman" w:hAnsi="Times New Roman" w:cs="Times New Roman"/>
                <w:bCs/>
                <w:kern w:val="2"/>
                <w:sz w:val="18"/>
                <w:szCs w:val="18"/>
              </w:rPr>
              <w:t>9.0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tcBorders>
              <w:left w:val="single" w:color="FFFFFF" w:themeColor="background1" w:sz="4" w:space="0"/>
            </w:tcBorders>
            <w:shd w:val="clear" w:color="auto" w:fill="4472C4" w:themeFill="accent1"/>
            <w:vAlign w:val="center"/>
          </w:tcPr>
          <w:p>
            <w:pPr>
              <w:autoSpaceDE/>
              <w:autoSpaceDN/>
              <w:spacing w:before="0" w:beforeLines="0" w:after="0" w:afterLines="0" w:line="240" w:lineRule="auto"/>
              <w:ind w:firstLine="0" w:firstLineChar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bCs/>
                <w:color w:val="FFFFFF" w:themeColor="background1"/>
                <w:kern w:val="2"/>
                <w:sz w:val="18"/>
                <w:szCs w:val="18"/>
                <w14:textFill>
                  <w14:solidFill>
                    <w14:schemeClr w14:val="bg1"/>
                  </w14:solidFill>
                </w14:textFill>
              </w:rPr>
              <w:t>残留物含量/</w:t>
            </w:r>
            <w:r>
              <w:rPr>
                <w:rFonts w:ascii="Times New Roman" w:hAnsi="Times New Roman" w:cs="Times New Roman"/>
                <w:b/>
                <w:bCs/>
                <w:color w:val="FFFFFF" w:themeColor="background1"/>
                <w:kern w:val="2"/>
                <w:sz w:val="18"/>
                <w:szCs w:val="18"/>
                <w14:textFill>
                  <w14:solidFill>
                    <w14:schemeClr w14:val="bg1"/>
                  </w14:solidFill>
                </w14:textFill>
              </w:rPr>
              <w:t xml:space="preserve">%               </w:t>
            </w:r>
            <w:r>
              <w:rPr>
                <w:rFonts w:hint="eastAsia" w:ascii="Times New Roman" w:hAnsi="Times New Roman" w:cs="Times New Roman"/>
                <w:b/>
                <w:bCs/>
                <w:color w:val="FFFFFF" w:themeColor="background1"/>
                <w:kern w:val="2"/>
                <w:sz w:val="18"/>
                <w:szCs w:val="18"/>
                <w14:textFill>
                  <w14:solidFill>
                    <w14:schemeClr w14:val="bg1"/>
                  </w14:solidFill>
                </w14:textFill>
              </w:rPr>
              <w:t>≤</w:t>
            </w:r>
          </w:p>
        </w:tc>
        <w:tc>
          <w:tcPr>
            <w:tcW w:w="1701" w:type="dxa"/>
            <w:shd w:val="clear" w:color="auto" w:fill="B4C6E7" w:themeFill="accent1" w:themeFillTint="66"/>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0</w:t>
            </w:r>
            <w:r>
              <w:rPr>
                <w:rFonts w:ascii="Times New Roman" w:hAnsi="Times New Roman" w:cs="Times New Roman"/>
                <w:bCs/>
                <w:kern w:val="2"/>
                <w:sz w:val="18"/>
                <w:szCs w:val="18"/>
              </w:rPr>
              <w:t>.1</w:t>
            </w:r>
            <w:r>
              <w:rPr>
                <w:rFonts w:hint="eastAsia" w:ascii="Times New Roman" w:hAnsi="Times New Roman" w:cs="Times New Roman"/>
                <w:bCs/>
                <w:kern w:val="2"/>
                <w:sz w:val="18"/>
                <w:szCs w:val="18"/>
              </w:rPr>
              <w:t>（重量法）</w:t>
            </w:r>
          </w:p>
        </w:tc>
        <w:tc>
          <w:tcPr>
            <w:tcW w:w="1843" w:type="dxa"/>
            <w:shd w:val="clear" w:color="auto" w:fill="B4C6E7" w:themeFill="accent1" w:themeFillTint="66"/>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0</w:t>
            </w:r>
            <w:r>
              <w:rPr>
                <w:rFonts w:ascii="Times New Roman" w:hAnsi="Times New Roman" w:cs="Times New Roman"/>
                <w:bCs/>
                <w:kern w:val="2"/>
                <w:sz w:val="18"/>
                <w:szCs w:val="18"/>
              </w:rPr>
              <w:t>.2</w:t>
            </w:r>
          </w:p>
        </w:tc>
        <w:tc>
          <w:tcPr>
            <w:tcW w:w="1780" w:type="dxa"/>
            <w:shd w:val="clear" w:color="auto" w:fill="B4C6E7" w:themeFill="accent1" w:themeFillTint="66"/>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1</w:t>
            </w:r>
            <w:r>
              <w:rPr>
                <w:rFonts w:ascii="Times New Roman" w:hAnsi="Times New Roman" w:cs="Times New Roman"/>
                <w:bCs/>
                <w:kern w:val="2"/>
                <w:sz w:val="18"/>
                <w:szCs w:val="18"/>
              </w:rPr>
              <w:t>.0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tcBorders>
              <w:left w:val="single" w:color="FFFFFF" w:themeColor="background1" w:sz="4" w:space="0"/>
            </w:tcBorders>
            <w:shd w:val="clear" w:color="auto" w:fill="4472C4" w:themeFill="accent1"/>
            <w:vAlign w:val="center"/>
          </w:tcPr>
          <w:p>
            <w:pPr>
              <w:autoSpaceDE/>
              <w:autoSpaceDN/>
              <w:spacing w:before="0" w:beforeLines="0" w:after="0" w:afterLines="0" w:line="240" w:lineRule="auto"/>
              <w:ind w:firstLine="0" w:firstLineChar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bCs/>
                <w:color w:val="FFFFFF" w:themeColor="background1"/>
                <w:kern w:val="2"/>
                <w:sz w:val="18"/>
                <w:szCs w:val="18"/>
                <w14:textFill>
                  <w14:solidFill>
                    <w14:schemeClr w14:val="bg1"/>
                  </w14:solidFill>
                </w14:textFill>
              </w:rPr>
              <w:t>水分/</w:t>
            </w:r>
            <w:r>
              <w:rPr>
                <w:rFonts w:ascii="Times New Roman" w:hAnsi="Times New Roman" w:cs="Times New Roman"/>
                <w:b/>
                <w:bCs/>
                <w:color w:val="FFFFFF" w:themeColor="background1"/>
                <w:kern w:val="2"/>
                <w:sz w:val="18"/>
                <w:szCs w:val="18"/>
                <w14:textFill>
                  <w14:solidFill>
                    <w14:schemeClr w14:val="bg1"/>
                  </w14:solidFill>
                </w14:textFill>
              </w:rPr>
              <w:t xml:space="preserve">%                     </w:t>
            </w:r>
            <w:r>
              <w:rPr>
                <w:rFonts w:hint="eastAsia" w:ascii="Times New Roman" w:hAnsi="Times New Roman" w:cs="Times New Roman"/>
                <w:b/>
                <w:bCs/>
                <w:color w:val="FFFFFF" w:themeColor="background1"/>
                <w:kern w:val="2"/>
                <w:sz w:val="18"/>
                <w:szCs w:val="18"/>
                <w14:textFill>
                  <w14:solidFill>
                    <w14:schemeClr w14:val="bg1"/>
                  </w14:solidFill>
                </w14:textFill>
              </w:rPr>
              <w:t>≤</w:t>
            </w:r>
          </w:p>
        </w:tc>
        <w:tc>
          <w:tcPr>
            <w:tcW w:w="1701" w:type="dxa"/>
            <w:shd w:val="clear" w:color="auto" w:fill="D9E2F3" w:themeFill="accent1" w:themeFillTint="33"/>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0</w:t>
            </w:r>
            <w:r>
              <w:rPr>
                <w:rFonts w:ascii="Times New Roman" w:hAnsi="Times New Roman" w:cs="Times New Roman"/>
                <w:bCs/>
                <w:kern w:val="2"/>
                <w:sz w:val="18"/>
                <w:szCs w:val="18"/>
              </w:rPr>
              <w:t>.1</w:t>
            </w:r>
          </w:p>
        </w:tc>
        <w:tc>
          <w:tcPr>
            <w:tcW w:w="1843" w:type="dxa"/>
            <w:shd w:val="clear" w:color="auto" w:fill="D9E2F3" w:themeFill="accent1" w:themeFillTint="33"/>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c>
          <w:tcPr>
            <w:tcW w:w="1780" w:type="dxa"/>
            <w:shd w:val="clear" w:color="auto" w:fill="D9E2F3" w:themeFill="accent1" w:themeFillTint="33"/>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tcBorders>
              <w:left w:val="single" w:color="FFFFFF" w:themeColor="background1" w:sz="4" w:space="0"/>
            </w:tcBorders>
            <w:shd w:val="clear" w:color="auto" w:fill="4472C4" w:themeFill="accent1"/>
            <w:vAlign w:val="center"/>
          </w:tcPr>
          <w:p>
            <w:pPr>
              <w:autoSpaceDE/>
              <w:autoSpaceDN/>
              <w:spacing w:before="0" w:beforeLines="0" w:after="0" w:afterLines="0" w:line="240" w:lineRule="auto"/>
              <w:ind w:firstLine="0" w:firstLineChar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bCs/>
                <w:color w:val="FFFFFF" w:themeColor="background1"/>
                <w:kern w:val="2"/>
                <w:sz w:val="18"/>
                <w:szCs w:val="18"/>
                <w14:textFill>
                  <w14:solidFill>
                    <w14:schemeClr w14:val="bg1"/>
                  </w14:solidFill>
                </w14:textFill>
              </w:rPr>
              <w:t>油含量/（mg</w:t>
            </w:r>
            <w:r>
              <w:rPr>
                <w:rFonts w:ascii="Times New Roman" w:hAnsi="Times New Roman" w:cs="Times New Roman"/>
                <w:b/>
                <w:bCs/>
                <w:color w:val="FFFFFF" w:themeColor="background1"/>
                <w:kern w:val="2"/>
                <w:sz w:val="18"/>
                <w:szCs w:val="18"/>
                <w14:textFill>
                  <w14:solidFill>
                    <w14:schemeClr w14:val="bg1"/>
                  </w14:solidFill>
                </w14:textFill>
              </w:rPr>
              <w:t>/kg</w:t>
            </w:r>
            <w:r>
              <w:rPr>
                <w:rFonts w:hint="eastAsia" w:ascii="Times New Roman" w:hAnsi="Times New Roman" w:cs="Times New Roman"/>
                <w:b/>
                <w:bCs/>
                <w:color w:val="FFFFFF" w:themeColor="background1"/>
                <w:kern w:val="2"/>
                <w:sz w:val="18"/>
                <w:szCs w:val="18"/>
                <w14:textFill>
                  <w14:solidFill>
                    <w14:schemeClr w14:val="bg1"/>
                  </w14:solidFill>
                </w14:textFill>
              </w:rPr>
              <w:t xml:space="preserve">） </w:t>
            </w:r>
            <w:r>
              <w:rPr>
                <w:rFonts w:ascii="Times New Roman" w:hAnsi="Times New Roman" w:cs="Times New Roman"/>
                <w:b/>
                <w:bCs/>
                <w:color w:val="FFFFFF" w:themeColor="background1"/>
                <w:kern w:val="2"/>
                <w:sz w:val="18"/>
                <w:szCs w:val="18"/>
                <w14:textFill>
                  <w14:solidFill>
                    <w14:schemeClr w14:val="bg1"/>
                  </w14:solidFill>
                </w14:textFill>
              </w:rPr>
              <w:t xml:space="preserve">           </w:t>
            </w:r>
            <w:r>
              <w:rPr>
                <w:rFonts w:hint="eastAsia" w:ascii="Times New Roman" w:hAnsi="Times New Roman" w:cs="Times New Roman"/>
                <w:b/>
                <w:bCs/>
                <w:color w:val="FFFFFF" w:themeColor="background1"/>
                <w:kern w:val="2"/>
                <w:sz w:val="18"/>
                <w:szCs w:val="18"/>
                <w14:textFill>
                  <w14:solidFill>
                    <w14:schemeClr w14:val="bg1"/>
                  </w14:solidFill>
                </w14:textFill>
              </w:rPr>
              <w:t>≤</w:t>
            </w:r>
          </w:p>
        </w:tc>
        <w:tc>
          <w:tcPr>
            <w:tcW w:w="1701" w:type="dxa"/>
            <w:shd w:val="clear" w:color="auto" w:fill="B4C6E7" w:themeFill="accent1" w:themeFillTint="66"/>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5（重量法）</w:t>
            </w:r>
          </w:p>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2（红外光谱法）</w:t>
            </w:r>
          </w:p>
        </w:tc>
        <w:tc>
          <w:tcPr>
            <w:tcW w:w="1843" w:type="dxa"/>
            <w:shd w:val="clear" w:color="auto" w:fill="B4C6E7" w:themeFill="accent1" w:themeFillTint="66"/>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c>
          <w:tcPr>
            <w:tcW w:w="1780" w:type="dxa"/>
            <w:shd w:val="clear" w:color="auto" w:fill="B4C6E7" w:themeFill="accent1" w:themeFillTint="66"/>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972" w:type="dxa"/>
            <w:tcBorders>
              <w:left w:val="single" w:color="FFFFFF" w:themeColor="background1" w:sz="4" w:space="0"/>
              <w:bottom w:val="single" w:color="FFFFFF" w:themeColor="background1" w:sz="4" w:space="0"/>
            </w:tcBorders>
            <w:shd w:val="clear" w:color="auto" w:fill="4472C4" w:themeFill="accent1"/>
            <w:vAlign w:val="center"/>
          </w:tcPr>
          <w:p>
            <w:pPr>
              <w:autoSpaceDE/>
              <w:autoSpaceDN/>
              <w:spacing w:before="0" w:beforeLines="0" w:after="0" w:afterLines="0" w:line="240" w:lineRule="auto"/>
              <w:ind w:firstLine="0" w:firstLineChars="0"/>
              <w:jc w:val="center"/>
              <w:rPr>
                <w:rFonts w:ascii="Times New Roman" w:hAnsi="Times New Roman" w:cs="Times New Roman"/>
                <w:b/>
                <w:bCs/>
                <w:color w:val="FFFFFF" w:themeColor="background1"/>
                <w:kern w:val="2"/>
                <w:sz w:val="18"/>
                <w:szCs w:val="18"/>
                <w14:textFill>
                  <w14:solidFill>
                    <w14:schemeClr w14:val="bg1"/>
                  </w14:solidFill>
                </w14:textFill>
              </w:rPr>
            </w:pPr>
            <w:r>
              <w:rPr>
                <w:rFonts w:hint="eastAsia" w:ascii="Times New Roman" w:hAnsi="Times New Roman" w:cs="Times New Roman"/>
                <w:b/>
                <w:bCs/>
                <w:color w:val="FFFFFF" w:themeColor="background1"/>
                <w:kern w:val="2"/>
                <w:sz w:val="18"/>
                <w:szCs w:val="18"/>
                <w14:textFill>
                  <w14:solidFill>
                    <w14:schemeClr w14:val="bg1"/>
                  </w14:solidFill>
                </w14:textFill>
              </w:rPr>
              <w:t>铁含量/（mg</w:t>
            </w:r>
            <w:r>
              <w:rPr>
                <w:rFonts w:ascii="Times New Roman" w:hAnsi="Times New Roman" w:cs="Times New Roman"/>
                <w:b/>
                <w:bCs/>
                <w:color w:val="FFFFFF" w:themeColor="background1"/>
                <w:kern w:val="2"/>
                <w:sz w:val="18"/>
                <w:szCs w:val="18"/>
                <w14:textFill>
                  <w14:solidFill>
                    <w14:schemeClr w14:val="bg1"/>
                  </w14:solidFill>
                </w14:textFill>
              </w:rPr>
              <w:t>/kg</w:t>
            </w:r>
            <w:r>
              <w:rPr>
                <w:rFonts w:hint="eastAsia" w:ascii="Times New Roman" w:hAnsi="Times New Roman" w:cs="Times New Roman"/>
                <w:b/>
                <w:bCs/>
                <w:color w:val="FFFFFF" w:themeColor="background1"/>
                <w:kern w:val="2"/>
                <w:sz w:val="18"/>
                <w:szCs w:val="18"/>
                <w14:textFill>
                  <w14:solidFill>
                    <w14:schemeClr w14:val="bg1"/>
                  </w14:solidFill>
                </w14:textFill>
              </w:rPr>
              <w:t xml:space="preserve">） </w:t>
            </w:r>
            <w:r>
              <w:rPr>
                <w:rFonts w:ascii="Times New Roman" w:hAnsi="Times New Roman" w:cs="Times New Roman"/>
                <w:b/>
                <w:bCs/>
                <w:color w:val="FFFFFF" w:themeColor="background1"/>
                <w:kern w:val="2"/>
                <w:sz w:val="18"/>
                <w:szCs w:val="18"/>
                <w14:textFill>
                  <w14:solidFill>
                    <w14:schemeClr w14:val="bg1"/>
                  </w14:solidFill>
                </w14:textFill>
              </w:rPr>
              <w:t xml:space="preserve">           </w:t>
            </w:r>
            <w:r>
              <w:rPr>
                <w:rFonts w:hint="eastAsia" w:ascii="Times New Roman" w:hAnsi="Times New Roman" w:cs="Times New Roman"/>
                <w:b/>
                <w:bCs/>
                <w:color w:val="FFFFFF" w:themeColor="background1"/>
                <w:kern w:val="2"/>
                <w:sz w:val="18"/>
                <w:szCs w:val="18"/>
                <w14:textFill>
                  <w14:solidFill>
                    <w14:schemeClr w14:val="bg1"/>
                  </w14:solidFill>
                </w14:textFill>
              </w:rPr>
              <w:t>≤</w:t>
            </w:r>
          </w:p>
        </w:tc>
        <w:tc>
          <w:tcPr>
            <w:tcW w:w="1701" w:type="dxa"/>
            <w:shd w:val="clear" w:color="auto" w:fill="D9E2F3" w:themeFill="accent1" w:themeFillTint="33"/>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1</w:t>
            </w:r>
          </w:p>
        </w:tc>
        <w:tc>
          <w:tcPr>
            <w:tcW w:w="1843" w:type="dxa"/>
            <w:shd w:val="clear" w:color="auto" w:fill="D9E2F3" w:themeFill="accent1" w:themeFillTint="33"/>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c>
          <w:tcPr>
            <w:tcW w:w="1780" w:type="dxa"/>
            <w:shd w:val="clear" w:color="auto" w:fill="D9E2F3" w:themeFill="accent1" w:themeFillTint="33"/>
            <w:vAlign w:val="center"/>
          </w:tcPr>
          <w:p>
            <w:pPr>
              <w:autoSpaceDE/>
              <w:autoSpaceDN/>
              <w:spacing w:before="0" w:beforeLines="0" w:after="0" w:afterLines="0" w:line="240" w:lineRule="auto"/>
              <w:ind w:firstLine="0" w:firstLineChars="0"/>
              <w:jc w:val="center"/>
              <w:rPr>
                <w:rFonts w:ascii="Times New Roman" w:hAnsi="Times New Roman" w:cs="Times New Roman"/>
                <w:bCs/>
                <w:kern w:val="2"/>
                <w:sz w:val="18"/>
                <w:szCs w:val="18"/>
              </w:rPr>
            </w:pPr>
            <w:r>
              <w:rPr>
                <w:rFonts w:hint="eastAsia" w:ascii="Times New Roman" w:hAnsi="Times New Roman" w:cs="Times New Roman"/>
                <w:bCs/>
                <w:kern w:val="2"/>
                <w:sz w:val="18"/>
                <w:szCs w:val="18"/>
              </w:rPr>
              <w:t>-</w:t>
            </w:r>
          </w:p>
        </w:tc>
      </w:tr>
    </w:tbl>
    <w:p>
      <w:pPr>
        <w:widowControl/>
        <w:spacing w:before="0" w:beforeLines="0" w:after="0" w:afterLines="0" w:line="240" w:lineRule="auto"/>
        <w:ind w:firstLine="0" w:firstLineChars="0"/>
        <w:jc w:val="center"/>
        <w:rPr>
          <w:rFonts w:ascii="Times New Roman" w:hAnsi="Times New Roman" w:cs="Times New Roman"/>
          <w:b/>
          <w:bCs/>
          <w:color w:val="000000"/>
          <w:sz w:val="18"/>
          <w:szCs w:val="18"/>
          <w:lang w:bidi="ar"/>
        </w:rPr>
      </w:pPr>
    </w:p>
    <w:p>
      <w:pPr>
        <w:spacing w:before="156" w:after="156" w:line="240" w:lineRule="auto"/>
        <w:ind w:firstLine="0" w:firstLineChars="0"/>
      </w:pPr>
      <w:r>
        <w:rPr>
          <w:rFonts w:hint="eastAsia"/>
        </w:rPr>
        <w:t>本项目所用的辅助原料有磷酸和工艺软水，来源如下表所示。</w:t>
      </w:r>
    </w:p>
    <w:p>
      <w:pPr>
        <w:keepNext/>
        <w:spacing w:before="0" w:beforeLines="0" w:after="0" w:afterLines="0" w:line="240" w:lineRule="auto"/>
        <w:ind w:firstLine="0" w:firstLineChars="0"/>
        <w:jc w:val="center"/>
        <w:rPr>
          <w:rFonts w:ascii="等线 Light" w:hAnsi="等线 Light" w:eastAsia="黑体" w:cs="Times New Roman"/>
          <w:sz w:val="20"/>
          <w:szCs w:val="20"/>
        </w:rPr>
      </w:pPr>
      <w:r>
        <w:rPr>
          <w:rFonts w:ascii="Times New Roman" w:hAnsi="Times New Roman" w:cs="Times New Roman"/>
          <w:b/>
          <w:bCs/>
          <w:color w:val="000000"/>
          <w:sz w:val="18"/>
          <w:szCs w:val="18"/>
          <w:lang w:bidi="ar"/>
        </w:rPr>
        <w:t xml:space="preserve">表5-4 </w:t>
      </w:r>
      <w:r>
        <w:rPr>
          <w:rFonts w:hint="eastAsia" w:ascii="Times New Roman" w:hAnsi="Times New Roman" w:cs="Times New Roman"/>
          <w:b/>
          <w:bCs/>
          <w:color w:val="000000"/>
          <w:sz w:val="18"/>
          <w:szCs w:val="18"/>
          <w:lang w:bidi="ar"/>
        </w:rPr>
        <w:t>辅助原料供应表</w:t>
      </w:r>
    </w:p>
    <w:tbl>
      <w:tblPr>
        <w:tblStyle w:val="34"/>
        <w:tblW w:w="5000" w:type="pct"/>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716"/>
        <w:gridCol w:w="2032"/>
        <w:gridCol w:w="1198"/>
        <w:gridCol w:w="1583"/>
        <w:gridCol w:w="2993"/>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435" w:hRule="atLeast"/>
        </w:trPr>
        <w:tc>
          <w:tcPr>
            <w:tcW w:w="420" w:type="pct"/>
            <w:tcBorders>
              <w:top w:val="single" w:color="FFFFFF" w:sz="4" w:space="0"/>
              <w:left w:val="single" w:color="FFFFFF" w:sz="4" w:space="0"/>
              <w:right w:val="nil"/>
              <w:insideV w:val="nil"/>
            </w:tcBorders>
            <w:shd w:val="clear" w:color="auto" w:fill="4472C4"/>
            <w:vAlign w:val="center"/>
          </w:tcPr>
          <w:p>
            <w:pPr>
              <w:spacing w:before="0" w:beforeLines="0" w:after="0" w:afterLines="0" w:line="240" w:lineRule="auto"/>
              <w:ind w:firstLine="0" w:firstLineChars="0"/>
              <w:jc w:val="center"/>
              <w:rPr>
                <w:rFonts w:ascii="Times New Roman" w:hAnsi="Times New Roman" w:eastAsia="等线" w:cs="Times New Roman"/>
                <w:b/>
                <w:bCs/>
                <w:color w:val="FFFFFF"/>
                <w:sz w:val="20"/>
                <w:szCs w:val="20"/>
              </w:rPr>
            </w:pPr>
            <w:r>
              <w:rPr>
                <w:rFonts w:hint="eastAsia" w:ascii="Times New Roman" w:hAnsi="Times New Roman" w:eastAsia="等线" w:cs="Times New Roman"/>
                <w:b/>
                <w:bCs/>
                <w:color w:val="FFFFFF"/>
                <w:sz w:val="20"/>
                <w:szCs w:val="20"/>
              </w:rPr>
              <w:t>序号</w:t>
            </w:r>
          </w:p>
        </w:tc>
        <w:tc>
          <w:tcPr>
            <w:tcW w:w="1192" w:type="pct"/>
            <w:tcBorders>
              <w:top w:val="single" w:color="FFFFFF" w:sz="4" w:space="0"/>
              <w:right w:val="nil"/>
              <w:insideV w:val="nil"/>
            </w:tcBorders>
            <w:shd w:val="clear" w:color="auto" w:fill="4472C4"/>
            <w:vAlign w:val="center"/>
          </w:tcPr>
          <w:p>
            <w:pPr>
              <w:spacing w:before="0" w:beforeLines="0" w:after="0" w:afterLines="0" w:line="240" w:lineRule="auto"/>
              <w:ind w:firstLine="0" w:firstLineChars="0"/>
              <w:jc w:val="center"/>
              <w:rPr>
                <w:rFonts w:ascii="Times New Roman" w:hAnsi="Times New Roman" w:eastAsia="等线" w:cs="Times New Roman"/>
                <w:b/>
                <w:bCs/>
                <w:color w:val="FFFFFF"/>
                <w:sz w:val="20"/>
                <w:szCs w:val="20"/>
              </w:rPr>
            </w:pPr>
            <w:r>
              <w:rPr>
                <w:rFonts w:hint="eastAsia" w:ascii="Times New Roman" w:hAnsi="Times New Roman" w:eastAsia="等线" w:cs="Times New Roman"/>
                <w:b/>
                <w:bCs/>
                <w:color w:val="FFFFFF"/>
                <w:sz w:val="20"/>
                <w:szCs w:val="20"/>
              </w:rPr>
              <w:t>名称</w:t>
            </w:r>
          </w:p>
        </w:tc>
        <w:tc>
          <w:tcPr>
            <w:tcW w:w="703" w:type="pct"/>
            <w:tcBorders>
              <w:top w:val="single" w:color="FFFFFF" w:sz="4" w:space="0"/>
              <w:right w:val="nil"/>
              <w:insideV w:val="nil"/>
            </w:tcBorders>
            <w:shd w:val="clear" w:color="auto" w:fill="4472C4"/>
            <w:vAlign w:val="center"/>
          </w:tcPr>
          <w:p>
            <w:pPr>
              <w:spacing w:before="0" w:beforeLines="0" w:after="0" w:afterLines="0" w:line="240" w:lineRule="auto"/>
              <w:ind w:firstLine="0" w:firstLineChars="0"/>
              <w:jc w:val="center"/>
              <w:rPr>
                <w:rFonts w:ascii="Times New Roman" w:hAnsi="Times New Roman" w:eastAsia="等线" w:cs="Times New Roman"/>
                <w:b/>
                <w:bCs/>
                <w:color w:val="FFFFFF"/>
                <w:sz w:val="20"/>
                <w:szCs w:val="20"/>
              </w:rPr>
            </w:pPr>
            <w:r>
              <w:rPr>
                <w:rFonts w:hint="eastAsia" w:ascii="Times New Roman" w:hAnsi="Times New Roman" w:eastAsia="等线" w:cs="Times New Roman"/>
                <w:b/>
                <w:bCs/>
                <w:color w:val="FFFFFF"/>
                <w:sz w:val="20"/>
                <w:szCs w:val="20"/>
              </w:rPr>
              <w:t>装量（t）</w:t>
            </w:r>
          </w:p>
        </w:tc>
        <w:tc>
          <w:tcPr>
            <w:tcW w:w="929" w:type="pct"/>
            <w:tcBorders>
              <w:top w:val="single" w:color="FFFFFF" w:sz="4" w:space="0"/>
              <w:right w:val="nil"/>
              <w:insideV w:val="nil"/>
            </w:tcBorders>
            <w:shd w:val="clear" w:color="auto" w:fill="4472C4"/>
            <w:vAlign w:val="center"/>
          </w:tcPr>
          <w:p>
            <w:pPr>
              <w:spacing w:before="0" w:beforeLines="0" w:after="0" w:afterLines="0" w:line="240" w:lineRule="auto"/>
              <w:ind w:firstLine="0" w:firstLineChars="0"/>
              <w:jc w:val="center"/>
              <w:rPr>
                <w:rFonts w:ascii="Times New Roman" w:hAnsi="Times New Roman" w:eastAsia="等线" w:cs="Times New Roman"/>
                <w:b/>
                <w:bCs/>
                <w:color w:val="FFFFFF"/>
                <w:sz w:val="20"/>
                <w:szCs w:val="20"/>
              </w:rPr>
            </w:pPr>
            <w:r>
              <w:rPr>
                <w:rFonts w:hint="eastAsia" w:ascii="Times New Roman" w:hAnsi="Times New Roman" w:eastAsia="等线" w:cs="Times New Roman"/>
                <w:b/>
                <w:bCs/>
                <w:color w:val="FFFFFF"/>
                <w:sz w:val="20"/>
                <w:szCs w:val="20"/>
              </w:rPr>
              <w:t>来源</w:t>
            </w:r>
          </w:p>
        </w:tc>
        <w:tc>
          <w:tcPr>
            <w:tcW w:w="1756" w:type="pct"/>
            <w:tcBorders>
              <w:top w:val="single" w:color="FFFFFF" w:sz="4" w:space="0"/>
              <w:right w:val="single" w:color="FFFFFF" w:sz="4" w:space="0"/>
              <w:insideV w:val="nil"/>
            </w:tcBorders>
            <w:shd w:val="clear" w:color="auto" w:fill="4472C4"/>
            <w:vAlign w:val="center"/>
          </w:tcPr>
          <w:p>
            <w:pPr>
              <w:spacing w:before="0" w:beforeLines="0" w:after="0" w:afterLines="0" w:line="240" w:lineRule="auto"/>
              <w:ind w:firstLine="0" w:firstLineChars="0"/>
              <w:jc w:val="center"/>
              <w:rPr>
                <w:rFonts w:ascii="Times New Roman" w:hAnsi="Times New Roman" w:eastAsia="等线" w:cs="Times New Roman"/>
                <w:b/>
                <w:bCs/>
                <w:color w:val="FFFFFF"/>
                <w:sz w:val="20"/>
                <w:szCs w:val="20"/>
              </w:rPr>
            </w:pPr>
            <w:r>
              <w:rPr>
                <w:rFonts w:hint="eastAsia" w:ascii="Times New Roman" w:hAnsi="Times New Roman" w:eastAsia="等线" w:cs="Times New Roman"/>
                <w:b/>
                <w:bCs/>
                <w:color w:val="FFFFFF"/>
                <w:sz w:val="20"/>
                <w:szCs w:val="20"/>
              </w:rPr>
              <w:t>备注</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15" w:hRule="atLeast"/>
        </w:trPr>
        <w:tc>
          <w:tcPr>
            <w:tcW w:w="420" w:type="pct"/>
            <w:tcBorders>
              <w:left w:val="single" w:color="FFFFFF" w:sz="4" w:space="0"/>
            </w:tcBorders>
            <w:shd w:val="clear" w:color="auto" w:fill="4472C4"/>
            <w:vAlign w:val="center"/>
          </w:tcPr>
          <w:p>
            <w:pPr>
              <w:spacing w:before="0" w:beforeLines="0" w:after="0" w:afterLines="0" w:line="240" w:lineRule="auto"/>
              <w:ind w:firstLine="0" w:firstLineChars="0"/>
              <w:jc w:val="center"/>
              <w:rPr>
                <w:rFonts w:ascii="Times New Roman" w:hAnsi="Times New Roman" w:eastAsia="等线" w:cs="Times New Roman"/>
                <w:b/>
                <w:bCs/>
                <w:color w:val="FFFFFF"/>
                <w:sz w:val="20"/>
                <w:szCs w:val="20"/>
              </w:rPr>
            </w:pPr>
            <w:r>
              <w:rPr>
                <w:rFonts w:hint="eastAsia" w:ascii="Times New Roman" w:hAnsi="Times New Roman" w:eastAsia="等线" w:cs="Times New Roman"/>
                <w:b/>
                <w:bCs/>
                <w:color w:val="FFFFFF"/>
                <w:sz w:val="20"/>
                <w:szCs w:val="20"/>
              </w:rPr>
              <w:t>1</w:t>
            </w:r>
          </w:p>
        </w:tc>
        <w:tc>
          <w:tcPr>
            <w:tcW w:w="1192" w:type="pct"/>
            <w:shd w:val="clear" w:color="auto" w:fill="D9E2F3"/>
            <w:vAlign w:val="center"/>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hint="eastAsia" w:ascii="Times New Roman" w:hAnsi="Times New Roman" w:eastAsia="等线" w:cs="Times New Roman"/>
                <w:sz w:val="20"/>
                <w:szCs w:val="20"/>
              </w:rPr>
              <w:t>磷酸</w:t>
            </w:r>
          </w:p>
        </w:tc>
        <w:tc>
          <w:tcPr>
            <w:tcW w:w="703" w:type="pct"/>
            <w:shd w:val="clear" w:color="auto" w:fill="D9E2F3"/>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ascii="Times New Roman" w:hAnsi="Times New Roman" w:eastAsia="等线" w:cs="Times New Roman"/>
                <w:sz w:val="20"/>
                <w:szCs w:val="20"/>
              </w:rPr>
              <w:t>0.96</w:t>
            </w:r>
          </w:p>
        </w:tc>
        <w:tc>
          <w:tcPr>
            <w:tcW w:w="929" w:type="pct"/>
            <w:shd w:val="clear" w:color="auto" w:fill="D9E2F3"/>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ascii="Times New Roman" w:hAnsi="Times New Roman" w:eastAsia="等线" w:cs="Times New Roman"/>
                <w:sz w:val="20"/>
                <w:szCs w:val="20"/>
              </w:rPr>
              <w:t>外购</w:t>
            </w:r>
          </w:p>
        </w:tc>
        <w:tc>
          <w:tcPr>
            <w:tcW w:w="1756" w:type="pct"/>
            <w:shd w:val="clear" w:color="auto" w:fill="D9E2F3"/>
            <w:vAlign w:val="center"/>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hint="eastAsia" w:ascii="Times New Roman" w:hAnsi="Times New Roman" w:eastAsia="等线" w:cs="Times New Roman"/>
                <w:sz w:val="20"/>
                <w:szCs w:val="20"/>
              </w:rPr>
              <w:t>重庆川东化工</w:t>
            </w:r>
            <w:r>
              <w:rPr>
                <w:rFonts w:ascii="Times New Roman" w:hAnsi="Times New Roman" w:eastAsia="等线" w:cs="Times New Roman"/>
                <w:sz w:val="20"/>
                <w:szCs w:val="20"/>
              </w:rPr>
              <w:t>有限公司</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15" w:hRule="atLeast"/>
        </w:trPr>
        <w:tc>
          <w:tcPr>
            <w:tcW w:w="420" w:type="pct"/>
            <w:tcBorders>
              <w:left w:val="single" w:color="FFFFFF" w:sz="4" w:space="0"/>
            </w:tcBorders>
            <w:shd w:val="clear" w:color="auto" w:fill="4472C4"/>
            <w:vAlign w:val="center"/>
          </w:tcPr>
          <w:p>
            <w:pPr>
              <w:spacing w:before="0" w:beforeLines="0" w:after="0" w:afterLines="0" w:line="240" w:lineRule="auto"/>
              <w:ind w:firstLine="0" w:firstLineChars="0"/>
              <w:jc w:val="center"/>
              <w:rPr>
                <w:rFonts w:ascii="Times New Roman" w:hAnsi="Times New Roman" w:eastAsia="等线" w:cs="Times New Roman"/>
                <w:b/>
                <w:bCs/>
                <w:color w:val="FFFFFF"/>
                <w:sz w:val="20"/>
                <w:szCs w:val="20"/>
              </w:rPr>
            </w:pPr>
            <w:r>
              <w:rPr>
                <w:rFonts w:hint="eastAsia" w:ascii="Times New Roman" w:hAnsi="Times New Roman" w:eastAsia="等线" w:cs="Times New Roman"/>
                <w:b/>
                <w:bCs/>
                <w:color w:val="FFFFFF"/>
                <w:sz w:val="20"/>
                <w:szCs w:val="20"/>
              </w:rPr>
              <w:t>2</w:t>
            </w:r>
          </w:p>
        </w:tc>
        <w:tc>
          <w:tcPr>
            <w:tcW w:w="1192" w:type="pct"/>
            <w:shd w:val="clear" w:color="auto" w:fill="D9E2F3"/>
            <w:vAlign w:val="center"/>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hint="eastAsia" w:ascii="Times New Roman" w:hAnsi="Times New Roman" w:eastAsia="等线" w:cs="Times New Roman"/>
                <w:sz w:val="20"/>
                <w:szCs w:val="20"/>
              </w:rPr>
              <w:t>工艺软水</w:t>
            </w:r>
          </w:p>
        </w:tc>
        <w:tc>
          <w:tcPr>
            <w:tcW w:w="703" w:type="pct"/>
            <w:shd w:val="clear" w:color="auto" w:fill="D9E2F3"/>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ascii="Times New Roman" w:hAnsi="Times New Roman" w:eastAsia="等线" w:cs="Times New Roman"/>
                <w:sz w:val="20"/>
                <w:szCs w:val="20"/>
              </w:rPr>
              <w:t>22160.4022</w:t>
            </w:r>
          </w:p>
        </w:tc>
        <w:tc>
          <w:tcPr>
            <w:tcW w:w="929" w:type="pct"/>
            <w:shd w:val="clear" w:color="auto" w:fill="D9E2F3"/>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ascii="Times New Roman" w:hAnsi="Times New Roman" w:eastAsia="等线" w:cs="Times New Roman"/>
                <w:sz w:val="20"/>
                <w:szCs w:val="20"/>
              </w:rPr>
              <w:t>园区供水系统</w:t>
            </w:r>
          </w:p>
        </w:tc>
        <w:tc>
          <w:tcPr>
            <w:tcW w:w="1756" w:type="pct"/>
            <w:shd w:val="clear" w:color="auto" w:fill="D9E2F3"/>
            <w:vAlign w:val="center"/>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hint="eastAsia" w:ascii="Times New Roman" w:hAnsi="Times New Roman" w:eastAsia="等线" w:cs="Times New Roman"/>
                <w:sz w:val="20"/>
                <w:szCs w:val="20"/>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15" w:hRule="atLeast"/>
        </w:trPr>
        <w:tc>
          <w:tcPr>
            <w:tcW w:w="420" w:type="pct"/>
            <w:tcBorders>
              <w:left w:val="single" w:color="FFFFFF" w:sz="4" w:space="0"/>
            </w:tcBorders>
            <w:shd w:val="clear" w:color="auto" w:fill="4472C4"/>
            <w:vAlign w:val="center"/>
          </w:tcPr>
          <w:p>
            <w:pPr>
              <w:spacing w:before="0" w:beforeLines="0" w:after="0" w:afterLines="0" w:line="240" w:lineRule="auto"/>
              <w:ind w:firstLine="0" w:firstLineChars="0"/>
              <w:jc w:val="center"/>
              <w:rPr>
                <w:rFonts w:hint="eastAsia" w:ascii="Times New Roman" w:hAnsi="Times New Roman" w:eastAsia="等线" w:cs="Times New Roman"/>
                <w:b/>
                <w:bCs/>
                <w:color w:val="FFFFFF"/>
                <w:sz w:val="20"/>
                <w:szCs w:val="20"/>
              </w:rPr>
            </w:pPr>
            <w:r>
              <w:rPr>
                <w:rFonts w:hint="eastAsia" w:ascii="Times New Roman" w:hAnsi="Times New Roman" w:eastAsia="等线" w:cs="Times New Roman"/>
                <w:b/>
                <w:bCs/>
                <w:color w:val="FFFFFF"/>
                <w:sz w:val="20"/>
                <w:szCs w:val="20"/>
              </w:rPr>
              <w:t>3</w:t>
            </w:r>
          </w:p>
        </w:tc>
        <w:tc>
          <w:tcPr>
            <w:tcW w:w="1192" w:type="pct"/>
            <w:shd w:val="clear" w:color="auto" w:fill="D9E2F3"/>
            <w:vAlign w:val="center"/>
          </w:tcPr>
          <w:p>
            <w:pPr>
              <w:spacing w:before="0" w:beforeLines="0" w:after="0" w:afterLines="0" w:line="240" w:lineRule="auto"/>
              <w:ind w:firstLine="0" w:firstLineChars="0"/>
              <w:jc w:val="center"/>
              <w:rPr>
                <w:rFonts w:hint="eastAsia" w:ascii="Times New Roman" w:hAnsi="Times New Roman" w:eastAsia="等线" w:cs="Times New Roman"/>
                <w:sz w:val="20"/>
                <w:szCs w:val="20"/>
              </w:rPr>
            </w:pPr>
            <w:r>
              <w:rPr>
                <w:rFonts w:hint="eastAsia" w:ascii="Times New Roman" w:hAnsi="Times New Roman" w:eastAsia="等线" w:cs="Times New Roman"/>
                <w:sz w:val="20"/>
                <w:szCs w:val="20"/>
              </w:rPr>
              <w:t>硫酸铝</w:t>
            </w:r>
          </w:p>
        </w:tc>
        <w:tc>
          <w:tcPr>
            <w:tcW w:w="703" w:type="pct"/>
            <w:shd w:val="clear" w:color="auto" w:fill="D9E2F3"/>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ascii="Times New Roman" w:hAnsi="Times New Roman" w:eastAsia="等线" w:cs="Times New Roman"/>
                <w:sz w:val="20"/>
                <w:szCs w:val="20"/>
              </w:rPr>
              <w:t>0.72</w:t>
            </w:r>
          </w:p>
        </w:tc>
        <w:tc>
          <w:tcPr>
            <w:tcW w:w="929" w:type="pct"/>
            <w:shd w:val="clear" w:color="auto" w:fill="D9E2F3"/>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ascii="Times New Roman" w:hAnsi="Times New Roman" w:eastAsia="等线" w:cs="Times New Roman"/>
                <w:sz w:val="20"/>
                <w:szCs w:val="20"/>
              </w:rPr>
              <w:t>外购</w:t>
            </w:r>
          </w:p>
        </w:tc>
        <w:tc>
          <w:tcPr>
            <w:tcW w:w="1756" w:type="pct"/>
            <w:shd w:val="clear" w:color="auto" w:fill="D9E2F3"/>
            <w:vAlign w:val="center"/>
          </w:tcPr>
          <w:p>
            <w:pPr>
              <w:spacing w:before="0" w:beforeLines="0" w:after="0" w:afterLines="0" w:line="240" w:lineRule="auto"/>
              <w:ind w:firstLine="0" w:firstLineChars="0"/>
              <w:jc w:val="center"/>
              <w:rPr>
                <w:rFonts w:hint="eastAsia" w:ascii="Times New Roman" w:hAnsi="Times New Roman" w:eastAsia="等线" w:cs="Times New Roman"/>
                <w:sz w:val="20"/>
                <w:szCs w:val="20"/>
              </w:rPr>
            </w:pPr>
            <w:r>
              <w:rPr>
                <w:rFonts w:hint="eastAsia" w:ascii="Times New Roman" w:hAnsi="Times New Roman" w:eastAsia="等线" w:cs="Times New Roman"/>
                <w:sz w:val="20"/>
                <w:szCs w:val="20"/>
              </w:rPr>
              <w:t>重庆长鹏化工有限公司</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15" w:hRule="atLeast"/>
        </w:trPr>
        <w:tc>
          <w:tcPr>
            <w:tcW w:w="420" w:type="pct"/>
            <w:tcBorders>
              <w:left w:val="single" w:color="FFFFFF" w:sz="4" w:space="0"/>
              <w:bottom w:val="single" w:color="FFFFFF" w:sz="4" w:space="0"/>
            </w:tcBorders>
            <w:shd w:val="clear" w:color="auto" w:fill="4472C4"/>
            <w:vAlign w:val="center"/>
          </w:tcPr>
          <w:p>
            <w:pPr>
              <w:spacing w:before="0" w:beforeLines="0" w:after="0" w:afterLines="0" w:line="240" w:lineRule="auto"/>
              <w:ind w:firstLine="0" w:firstLineChars="0"/>
              <w:jc w:val="center"/>
              <w:rPr>
                <w:rFonts w:hint="eastAsia" w:ascii="Times New Roman" w:hAnsi="Times New Roman" w:eastAsia="等线" w:cs="Times New Roman"/>
                <w:b/>
                <w:bCs/>
                <w:color w:val="FFFFFF"/>
                <w:sz w:val="20"/>
                <w:szCs w:val="20"/>
              </w:rPr>
            </w:pPr>
            <w:r>
              <w:rPr>
                <w:rFonts w:hint="eastAsia" w:ascii="Times New Roman" w:hAnsi="Times New Roman" w:eastAsia="等线" w:cs="Times New Roman"/>
                <w:b/>
                <w:bCs/>
                <w:color w:val="FFFFFF"/>
                <w:sz w:val="20"/>
                <w:szCs w:val="20"/>
              </w:rPr>
              <w:t>4</w:t>
            </w:r>
          </w:p>
        </w:tc>
        <w:tc>
          <w:tcPr>
            <w:tcW w:w="1192" w:type="pct"/>
            <w:shd w:val="clear" w:color="auto" w:fill="D9E2F3"/>
            <w:vAlign w:val="center"/>
          </w:tcPr>
          <w:p>
            <w:pPr>
              <w:spacing w:before="0" w:beforeLines="0" w:after="0" w:afterLines="0" w:line="240" w:lineRule="auto"/>
              <w:ind w:firstLine="0" w:firstLineChars="0"/>
              <w:jc w:val="center"/>
              <w:rPr>
                <w:rFonts w:hint="eastAsia" w:ascii="Times New Roman" w:hAnsi="Times New Roman" w:eastAsia="等线" w:cs="Times New Roman"/>
                <w:sz w:val="20"/>
                <w:szCs w:val="20"/>
              </w:rPr>
            </w:pPr>
            <w:r>
              <w:rPr>
                <w:rFonts w:hint="eastAsia" w:ascii="Times New Roman" w:hAnsi="Times New Roman" w:eastAsia="等线" w:cs="Times New Roman"/>
                <w:sz w:val="20"/>
                <w:szCs w:val="20"/>
              </w:rPr>
              <w:t>硅藻土（载体）</w:t>
            </w:r>
          </w:p>
        </w:tc>
        <w:tc>
          <w:tcPr>
            <w:tcW w:w="703" w:type="pct"/>
            <w:shd w:val="clear" w:color="auto" w:fill="D9E2F3"/>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ascii="Times New Roman" w:hAnsi="Times New Roman" w:eastAsia="等线" w:cs="Times New Roman"/>
                <w:sz w:val="20"/>
                <w:szCs w:val="20"/>
              </w:rPr>
              <w:t>0.216</w:t>
            </w:r>
          </w:p>
        </w:tc>
        <w:tc>
          <w:tcPr>
            <w:tcW w:w="929" w:type="pct"/>
            <w:shd w:val="clear" w:color="auto" w:fill="D9E2F3"/>
          </w:tcPr>
          <w:p>
            <w:pPr>
              <w:spacing w:before="0" w:beforeLines="0" w:after="0" w:afterLines="0" w:line="240" w:lineRule="auto"/>
              <w:ind w:firstLine="0" w:firstLineChars="0"/>
              <w:jc w:val="center"/>
              <w:rPr>
                <w:rFonts w:ascii="Times New Roman" w:hAnsi="Times New Roman" w:eastAsia="等线" w:cs="Times New Roman"/>
                <w:sz w:val="20"/>
                <w:szCs w:val="20"/>
              </w:rPr>
            </w:pPr>
            <w:r>
              <w:rPr>
                <w:rFonts w:ascii="Times New Roman" w:hAnsi="Times New Roman" w:eastAsia="等线" w:cs="Times New Roman"/>
                <w:sz w:val="20"/>
                <w:szCs w:val="20"/>
              </w:rPr>
              <w:t>外购</w:t>
            </w:r>
          </w:p>
        </w:tc>
        <w:tc>
          <w:tcPr>
            <w:tcW w:w="1756" w:type="pct"/>
            <w:shd w:val="clear" w:color="auto" w:fill="D9E2F3"/>
            <w:vAlign w:val="center"/>
          </w:tcPr>
          <w:p>
            <w:pPr>
              <w:spacing w:before="0" w:beforeLines="0" w:after="0" w:afterLines="0" w:line="240" w:lineRule="auto"/>
              <w:ind w:firstLine="0" w:firstLineChars="0"/>
              <w:jc w:val="center"/>
              <w:rPr>
                <w:rFonts w:hint="eastAsia" w:ascii="Times New Roman" w:hAnsi="Times New Roman" w:eastAsia="等线" w:cs="Times New Roman"/>
                <w:sz w:val="20"/>
                <w:szCs w:val="20"/>
              </w:rPr>
            </w:pPr>
            <w:r>
              <w:rPr>
                <w:rFonts w:hint="eastAsia" w:ascii="Times New Roman" w:hAnsi="Times New Roman" w:eastAsia="等线" w:cs="Times New Roman"/>
                <w:sz w:val="20"/>
                <w:szCs w:val="20"/>
              </w:rPr>
              <w:t>武汉卡诺斯科技有限公司</w:t>
            </w:r>
          </w:p>
        </w:tc>
      </w:tr>
    </w:tbl>
    <w:p>
      <w:pPr>
        <w:pStyle w:val="3"/>
        <w:spacing w:before="156" w:after="156"/>
        <w:ind w:firstLine="562"/>
      </w:pPr>
      <w:bookmarkStart w:id="49" w:name="_Toc108206480"/>
      <w:bookmarkStart w:id="50" w:name="_Toc141203889"/>
      <w:r>
        <w:rPr>
          <w:rFonts w:hint="eastAsia"/>
        </w:rPr>
        <w:t>2</w:t>
      </w:r>
      <w:r>
        <w:t>.5</w:t>
      </w:r>
      <w:r>
        <w:rPr>
          <w:rFonts w:hint="eastAsia"/>
        </w:rPr>
        <w:t>工艺流程</w:t>
      </w:r>
      <w:bookmarkEnd w:id="49"/>
      <w:bookmarkEnd w:id="50"/>
    </w:p>
    <w:p>
      <w:pPr>
        <w:spacing w:before="156" w:after="156"/>
        <w:ind w:firstLine="420"/>
      </w:pPr>
      <w:r>
        <w:drawing>
          <wp:inline distT="0" distB="0" distL="0" distR="0">
            <wp:extent cx="4716780" cy="2143125"/>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717058" cy="2143206"/>
                    </a:xfrm>
                    <a:prstGeom prst="rect">
                      <a:avLst/>
                    </a:prstGeom>
                  </pic:spPr>
                </pic:pic>
              </a:graphicData>
            </a:graphic>
          </wp:inline>
        </w:drawing>
      </w:r>
    </w:p>
    <w:p>
      <w:pPr>
        <w:spacing w:before="156" w:after="156"/>
        <w:ind w:firstLine="361"/>
        <w:jc w:val="center"/>
        <w:rPr>
          <w:b/>
          <w:sz w:val="18"/>
          <w:szCs w:val="18"/>
        </w:rPr>
      </w:pPr>
      <w:r>
        <w:rPr>
          <w:rFonts w:hint="eastAsia"/>
          <w:b/>
          <w:sz w:val="18"/>
          <w:szCs w:val="18"/>
        </w:rPr>
        <w:t>图</w:t>
      </w:r>
      <w:r>
        <w:rPr>
          <w:b/>
          <w:sz w:val="18"/>
          <w:szCs w:val="18"/>
        </w:rPr>
        <w:t xml:space="preserve">2-2 </w:t>
      </w:r>
      <w:r>
        <w:rPr>
          <w:rFonts w:hint="eastAsia"/>
          <w:b/>
          <w:sz w:val="18"/>
          <w:szCs w:val="18"/>
        </w:rPr>
        <w:t>全厂工艺流程图</w:t>
      </w:r>
    </w:p>
    <w:p>
      <w:pPr>
        <w:pStyle w:val="3"/>
        <w:spacing w:before="156" w:after="156"/>
        <w:ind w:firstLine="562"/>
      </w:pPr>
      <w:bookmarkStart w:id="51" w:name="_Toc108206481"/>
      <w:bookmarkStart w:id="52" w:name="_Toc141203890"/>
      <w:r>
        <w:t>2.6</w:t>
      </w:r>
      <w:r>
        <w:rPr>
          <w:rFonts w:hint="eastAsia"/>
        </w:rPr>
        <w:t>主要设备</w:t>
      </w:r>
      <w:bookmarkEnd w:id="51"/>
      <w:bookmarkEnd w:id="52"/>
    </w:p>
    <w:p>
      <w:pPr>
        <w:autoSpaceDE/>
        <w:autoSpaceDN/>
        <w:spacing w:before="120" w:beforeLines="0" w:after="120" w:afterLines="0"/>
        <w:ind w:firstLine="420"/>
        <w:jc w:val="both"/>
        <w:rPr>
          <w:rFonts w:ascii="Times New Roman" w:hAnsi="Times New Roman" w:cs="Times New Roman"/>
          <w:kern w:val="2"/>
        </w:rPr>
      </w:pPr>
      <w:r>
        <w:rPr>
          <w:rFonts w:hint="eastAsia" w:ascii="Times New Roman" w:hAnsi="Times New Roman" w:cs="Times New Roman"/>
          <w:kern w:val="2"/>
        </w:rPr>
        <w:t>本工艺设计包括</w:t>
      </w:r>
      <w:r>
        <w:rPr>
          <w:rFonts w:ascii="Times New Roman" w:hAnsi="Times New Roman" w:cs="Times New Roman"/>
          <w:kern w:val="2"/>
        </w:rPr>
        <w:t>ADN合成以及提纯技术。</w:t>
      </w:r>
    </w:p>
    <w:p>
      <w:pPr>
        <w:autoSpaceDE/>
        <w:autoSpaceDN/>
        <w:spacing w:before="120" w:beforeLines="0" w:after="120" w:afterLines="0"/>
        <w:ind w:firstLine="420"/>
        <w:jc w:val="both"/>
        <w:rPr>
          <w:rFonts w:ascii="Times New Roman" w:hAnsi="Times New Roman" w:cs="Times New Roman"/>
          <w:kern w:val="2"/>
        </w:rPr>
      </w:pPr>
      <w:r>
        <w:rPr>
          <w:rFonts w:hint="eastAsia" w:ascii="Times New Roman" w:hAnsi="Times New Roman" w:cs="Times New Roman"/>
          <w:kern w:val="2"/>
        </w:rPr>
        <w:t>工艺包括氨化反应、分离精制和氨气回收三个工段设备及其参数的确定。</w:t>
      </w:r>
    </w:p>
    <w:p>
      <w:pPr>
        <w:autoSpaceDE/>
        <w:autoSpaceDN/>
        <w:spacing w:before="120" w:beforeLines="0" w:after="120" w:afterLines="0"/>
        <w:ind w:firstLine="420"/>
        <w:jc w:val="both"/>
        <w:rPr>
          <w:rFonts w:ascii="Times New Roman" w:hAnsi="Times New Roman" w:cs="Times New Roman"/>
          <w:kern w:val="2"/>
        </w:rPr>
      </w:pPr>
      <w:r>
        <w:rPr>
          <w:rFonts w:hint="eastAsia" w:ascii="Times New Roman" w:hAnsi="Times New Roman" w:cs="Times New Roman"/>
          <w:kern w:val="2"/>
        </w:rPr>
        <w:t>本项目包括</w:t>
      </w:r>
      <w:r>
        <w:rPr>
          <w:rFonts w:ascii="Times New Roman" w:hAnsi="Times New Roman" w:cs="Times New Roman"/>
          <w:kern w:val="2"/>
        </w:rPr>
        <w:t>6台反应器设计；7座分离塔的设计、选型校核；4台气液分离器的设计；22台换热器的设计；6台压缩机、24台泵、3个储罐、7个回流罐、9个缓冲罐的选型。</w:t>
      </w:r>
    </w:p>
    <w:p>
      <w:pPr>
        <w:spacing w:before="156" w:after="156"/>
        <w:ind w:firstLine="420"/>
      </w:pPr>
      <w:r>
        <w:rPr>
          <w:rFonts w:hint="eastAsia"/>
        </w:rPr>
        <w:t>详情见《设备选型一览表》。</w:t>
      </w:r>
    </w:p>
    <w:p>
      <w:pPr>
        <w:widowControl/>
        <w:autoSpaceDE/>
        <w:autoSpaceDN/>
        <w:spacing w:before="0" w:beforeLines="0" w:after="0" w:afterLines="0" w:line="240" w:lineRule="auto"/>
        <w:ind w:firstLine="0" w:firstLineChars="0"/>
      </w:pPr>
      <w:r>
        <w:br w:type="page"/>
      </w:r>
    </w:p>
    <w:p>
      <w:pPr>
        <w:pStyle w:val="2"/>
        <w:spacing w:before="156" w:after="156"/>
        <w:ind w:firstLine="883"/>
      </w:pPr>
      <w:bookmarkStart w:id="53" w:name="_Toc108206482"/>
      <w:bookmarkStart w:id="54" w:name="_Toc141203891"/>
      <w:r>
        <w:rPr>
          <w:rFonts w:hint="eastAsia"/>
        </w:rPr>
        <w:t>第三章 主要危险、有害因素分析</w:t>
      </w:r>
      <w:bookmarkEnd w:id="53"/>
      <w:bookmarkEnd w:id="54"/>
    </w:p>
    <w:p>
      <w:pPr>
        <w:pStyle w:val="3"/>
        <w:spacing w:before="156" w:after="156"/>
        <w:ind w:firstLine="562"/>
      </w:pPr>
      <w:bookmarkStart w:id="55" w:name="_Toc108206483"/>
      <w:bookmarkStart w:id="56" w:name="_Toc141203892"/>
      <w:r>
        <w:rPr>
          <w:rFonts w:hint="eastAsia"/>
        </w:rPr>
        <w:t>3</w:t>
      </w:r>
      <w:r>
        <w:t>.1</w:t>
      </w:r>
      <w:r>
        <w:rPr>
          <w:rFonts w:hint="eastAsia"/>
        </w:rPr>
        <w:t>主要危险、有害物质固有危险性分析</w:t>
      </w:r>
      <w:bookmarkEnd w:id="55"/>
      <w:bookmarkEnd w:id="56"/>
    </w:p>
    <w:p>
      <w:pPr>
        <w:spacing w:before="156" w:after="156"/>
        <w:ind w:firstLine="420"/>
      </w:pPr>
      <w:r>
        <w:rPr>
          <w:rFonts w:hint="eastAsia"/>
        </w:rPr>
        <w:t>重庆华峰化工有限公司</w:t>
      </w:r>
      <w:r>
        <w:t>年产10.5</w:t>
      </w:r>
      <w:r>
        <w:rPr>
          <w:rFonts w:hint="eastAsia"/>
        </w:rPr>
        <w:t>万吨</w:t>
      </w:r>
      <w:r>
        <w:t>ADN</w:t>
      </w:r>
      <w:r>
        <w:rPr>
          <w:rFonts w:hint="eastAsia"/>
        </w:rPr>
        <w:t>与</w:t>
      </w:r>
      <w:r>
        <w:t>1.74</w:t>
      </w:r>
      <w:r>
        <w:rPr>
          <w:rFonts w:hint="eastAsia"/>
        </w:rPr>
        <w:t>吨</w:t>
      </w:r>
      <w:r>
        <w:t>ICCP项目</w:t>
      </w:r>
      <w:r>
        <w:rPr>
          <w:rFonts w:hint="eastAsia"/>
        </w:rPr>
        <w:t>生产</w:t>
      </w:r>
      <w:r>
        <w:t>工艺中的主要原料为来自总厂</w:t>
      </w:r>
      <w:r>
        <w:rPr>
          <w:rFonts w:hint="eastAsia"/>
        </w:rPr>
        <w:t>的己二酸和园区内企业提供的液氨。大部分物质</w:t>
      </w:r>
      <w:r>
        <w:t>均具有</w:t>
      </w:r>
      <w:r>
        <w:rPr>
          <w:rFonts w:hint="eastAsia"/>
        </w:rPr>
        <w:t>可</w:t>
      </w:r>
      <w:r>
        <w:t>燃性</w:t>
      </w:r>
      <w:r>
        <w:rPr>
          <w:rFonts w:hint="eastAsia"/>
        </w:rPr>
        <w:t>。因此</w:t>
      </w:r>
      <w:r>
        <w:t>生产工艺具有典型的化工生产特点，而且企业具有大量电气设备，所以该项目生产过程中存在火灾、爆炸、中毒、灼伤、触电等危险有害因素。</w:t>
      </w:r>
    </w:p>
    <w:p>
      <w:pPr>
        <w:spacing w:before="156" w:after="156"/>
        <w:ind w:firstLine="420"/>
      </w:pPr>
      <w:r>
        <w:rPr>
          <w:rFonts w:hint="eastAsia"/>
        </w:rPr>
        <w:t>根据</w:t>
      </w:r>
      <w:r>
        <w:t>《</w:t>
      </w:r>
      <w:r>
        <w:rPr>
          <w:rFonts w:hint="eastAsia"/>
        </w:rPr>
        <w:t>国家</w:t>
      </w:r>
      <w:r>
        <w:t>安全监管总局公布首批重点监管的危险化学品名录》</w:t>
      </w:r>
      <w:r>
        <w:rPr>
          <w:rFonts w:hint="eastAsia"/>
        </w:rPr>
        <w:t>（安监</w:t>
      </w:r>
      <w:r>
        <w:t>总管三[2011]95</w:t>
      </w:r>
      <w:r>
        <w:rPr>
          <w:rFonts w:hint="eastAsia"/>
        </w:rPr>
        <w:t>号）</w:t>
      </w:r>
      <w:r>
        <w:t>的危险化学品</w:t>
      </w:r>
      <w:r>
        <w:rPr>
          <w:rFonts w:hint="eastAsia"/>
        </w:rPr>
        <w:t>有己二腈、氨、磷酸、环戊酮</w:t>
      </w:r>
      <w:r>
        <w:t>。</w:t>
      </w:r>
    </w:p>
    <w:p>
      <w:pPr>
        <w:spacing w:before="156" w:after="156"/>
        <w:ind w:firstLine="420"/>
      </w:pPr>
      <w:r>
        <w:rPr>
          <w:rFonts w:hint="eastAsia"/>
        </w:rPr>
        <w:t>此外</w:t>
      </w:r>
      <w:r>
        <w:t>，企业中使用的加热器</w:t>
      </w:r>
      <w:r>
        <w:rPr>
          <w:rFonts w:hint="eastAsia"/>
        </w:rPr>
        <w:t>、</w:t>
      </w:r>
      <w:r>
        <w:t>精馏塔、压力管道、冷凝器、回流罐、重</w:t>
      </w:r>
      <w:r>
        <w:rPr>
          <w:rFonts w:hint="eastAsia"/>
        </w:rPr>
        <w:t>沸器、</w:t>
      </w:r>
      <w:r>
        <w:t>冷却器、换热器等均</w:t>
      </w:r>
      <w:r>
        <w:rPr>
          <w:rFonts w:hint="eastAsia"/>
        </w:rPr>
        <w:t>属于</w:t>
      </w:r>
      <w:r>
        <w:t>特种设备，易造成各种类型的事故发生。</w:t>
      </w:r>
    </w:p>
    <w:p>
      <w:pPr>
        <w:spacing w:before="156" w:after="156"/>
        <w:ind w:firstLine="420"/>
      </w:pPr>
      <w:r>
        <w:rPr>
          <w:rFonts w:hint="eastAsia"/>
        </w:rPr>
        <w:t>主要</w:t>
      </w:r>
      <w:r>
        <w:t>危险、有害物质的理化性质详见</w:t>
      </w:r>
      <w:r>
        <w:rPr>
          <w:rFonts w:hint="eastAsia"/>
        </w:rPr>
        <w:t>《</w:t>
      </w:r>
      <w:r>
        <w:t>附录</w:t>
      </w:r>
      <w:r>
        <w:rPr>
          <w:rFonts w:hint="eastAsia"/>
        </w:rPr>
        <w:t>四 物质MSDS》。</w:t>
      </w:r>
    </w:p>
    <w:p>
      <w:pPr>
        <w:pStyle w:val="3"/>
        <w:spacing w:before="156" w:after="156"/>
        <w:ind w:firstLine="562"/>
      </w:pPr>
      <w:bookmarkStart w:id="57" w:name="_Toc108206484"/>
      <w:bookmarkStart w:id="58" w:name="_Toc141203893"/>
      <w:r>
        <w:rPr>
          <w:rFonts w:hint="eastAsia"/>
        </w:rPr>
        <w:t>3</w:t>
      </w:r>
      <w:r>
        <w:t>.2</w:t>
      </w:r>
      <w:r>
        <w:rPr>
          <w:rFonts w:hint="eastAsia"/>
        </w:rPr>
        <w:t>工艺与生产过程危险因素</w:t>
      </w:r>
      <w:bookmarkEnd w:id="57"/>
      <w:bookmarkEnd w:id="58"/>
    </w:p>
    <w:p>
      <w:pPr>
        <w:spacing w:before="156" w:after="156"/>
        <w:ind w:firstLine="420"/>
        <w:rPr>
          <w:color w:val="000000" w:themeColor="text1"/>
          <w14:textFill>
            <w14:solidFill>
              <w14:schemeClr w14:val="tx1"/>
            </w14:solidFill>
          </w14:textFill>
        </w:rPr>
      </w:pPr>
      <w:r>
        <w:rPr>
          <w:rFonts w:hint="eastAsia"/>
        </w:rPr>
        <w:t>本项目的工艺过程中涉及到的主要工艺有加热、冷凝、冷却、气体分离、回流等，主要设备有机泵、换热器、板式塔等；己二酸等都属于可燃物，又具有一定的毒性。如果系统的工作参数温度、压力、流量、液位等偏离较大，可能会带来严重的后果。</w:t>
      </w:r>
    </w:p>
    <w:p>
      <w:pPr>
        <w:pStyle w:val="39"/>
        <w:spacing w:before="156" w:after="156"/>
        <w:ind w:firstLine="420"/>
      </w:pPr>
      <w:r>
        <w:rPr>
          <w:rFonts w:hint="eastAsia"/>
        </w:rPr>
        <w:t>表3-1 生产工艺、储存过程危险、有害因素预测</w:t>
      </w:r>
    </w:p>
    <w:tbl>
      <w:tblPr>
        <w:tblStyle w:val="32"/>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555"/>
        <w:gridCol w:w="1134"/>
        <w:gridCol w:w="866"/>
        <w:gridCol w:w="1185"/>
        <w:gridCol w:w="1185"/>
        <w:gridCol w:w="1185"/>
        <w:gridCol w:w="1186"/>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vMerge w:val="restart"/>
            <w:tcBorders>
              <w:top w:val="single" w:color="FFFFFF" w:sz="4" w:space="0"/>
              <w:left w:val="single" w:color="FFFFFF" w:sz="4" w:space="0"/>
              <w:right w:val="nil"/>
              <w:insideV w:val="nil"/>
            </w:tcBorders>
            <w:shd w:val="clear" w:color="auto" w:fill="4472C4"/>
          </w:tcPr>
          <w:p>
            <w:pPr>
              <w:pStyle w:val="37"/>
              <w:spacing w:line="240" w:lineRule="auto"/>
              <w:rPr>
                <w:b w:val="0"/>
                <w:bCs w:val="0"/>
                <w:color w:val="FFFFFF"/>
                <w:sz w:val="20"/>
                <w:szCs w:val="20"/>
              </w:rPr>
            </w:pPr>
            <w:r>
              <w:rPr>
                <w:rFonts w:hint="eastAsia"/>
                <w:b/>
                <w:bCs/>
                <w:color w:val="FFFFFF"/>
                <w:sz w:val="20"/>
                <w:szCs w:val="20"/>
              </w:rPr>
              <w:t>作业场所危害、有害类别</w:t>
            </w:r>
          </w:p>
        </w:tc>
        <w:tc>
          <w:tcPr>
            <w:tcW w:w="6741" w:type="dxa"/>
            <w:gridSpan w:val="6"/>
            <w:tcBorders>
              <w:top w:val="single" w:color="FFFFFF" w:sz="4" w:space="0"/>
              <w:right w:val="single" w:color="FFFFFF" w:sz="4" w:space="0"/>
              <w:insideV w:val="nil"/>
            </w:tcBorders>
            <w:shd w:val="clear" w:color="auto" w:fill="4472C4"/>
          </w:tcPr>
          <w:p>
            <w:pPr>
              <w:pStyle w:val="37"/>
              <w:spacing w:line="240" w:lineRule="auto"/>
              <w:rPr>
                <w:b w:val="0"/>
                <w:bCs w:val="0"/>
                <w:color w:val="FFFFFF"/>
                <w:sz w:val="20"/>
                <w:szCs w:val="20"/>
              </w:rPr>
            </w:pPr>
            <w:r>
              <w:rPr>
                <w:rFonts w:hint="eastAsia"/>
                <w:b/>
                <w:bCs/>
                <w:color w:val="FFFFFF"/>
                <w:sz w:val="20"/>
                <w:szCs w:val="20"/>
              </w:rPr>
              <w:t>生产工艺、储存过程危险、有害因素分析</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vMerge w:val="continue"/>
            <w:tcBorders>
              <w:left w:val="single" w:color="FFFFFF" w:sz="4" w:space="0"/>
            </w:tcBorders>
            <w:shd w:val="clear" w:color="auto" w:fill="4472C4"/>
          </w:tcPr>
          <w:p>
            <w:pPr>
              <w:pStyle w:val="37"/>
              <w:spacing w:line="240" w:lineRule="auto"/>
              <w:rPr>
                <w:b w:val="0"/>
                <w:bCs w:val="0"/>
                <w:color w:val="FFFFFF"/>
                <w:sz w:val="20"/>
                <w:szCs w:val="20"/>
              </w:rPr>
            </w:pPr>
          </w:p>
        </w:tc>
        <w:tc>
          <w:tcPr>
            <w:tcW w:w="1134" w:type="dxa"/>
            <w:shd w:val="clear" w:color="auto" w:fill="B4C6E7"/>
          </w:tcPr>
          <w:p>
            <w:pPr>
              <w:pStyle w:val="37"/>
              <w:spacing w:line="240" w:lineRule="auto"/>
              <w:rPr>
                <w:sz w:val="20"/>
                <w:szCs w:val="20"/>
              </w:rPr>
            </w:pPr>
            <w:r>
              <w:rPr>
                <w:rFonts w:hint="eastAsia"/>
                <w:sz w:val="20"/>
                <w:szCs w:val="20"/>
              </w:rPr>
              <w:t>气瓶</w:t>
            </w:r>
          </w:p>
          <w:p>
            <w:pPr>
              <w:pStyle w:val="37"/>
              <w:spacing w:line="240" w:lineRule="auto"/>
              <w:rPr>
                <w:sz w:val="20"/>
                <w:szCs w:val="20"/>
              </w:rPr>
            </w:pPr>
            <w:r>
              <w:rPr>
                <w:sz w:val="20"/>
                <w:szCs w:val="20"/>
              </w:rPr>
              <w:t>装卸</w:t>
            </w:r>
          </w:p>
        </w:tc>
        <w:tc>
          <w:tcPr>
            <w:tcW w:w="866" w:type="dxa"/>
            <w:shd w:val="clear" w:color="auto" w:fill="B4C6E7"/>
          </w:tcPr>
          <w:p>
            <w:pPr>
              <w:pStyle w:val="37"/>
              <w:spacing w:line="240" w:lineRule="auto"/>
              <w:rPr>
                <w:sz w:val="20"/>
                <w:szCs w:val="20"/>
              </w:rPr>
            </w:pPr>
            <w:r>
              <w:rPr>
                <w:rFonts w:hint="eastAsia"/>
                <w:sz w:val="20"/>
                <w:szCs w:val="20"/>
              </w:rPr>
              <w:t>放空</w:t>
            </w:r>
          </w:p>
        </w:tc>
        <w:tc>
          <w:tcPr>
            <w:tcW w:w="1185" w:type="dxa"/>
            <w:shd w:val="clear" w:color="auto" w:fill="B4C6E7"/>
          </w:tcPr>
          <w:p>
            <w:pPr>
              <w:pStyle w:val="37"/>
              <w:spacing w:line="240" w:lineRule="auto"/>
              <w:rPr>
                <w:sz w:val="20"/>
                <w:szCs w:val="20"/>
              </w:rPr>
            </w:pPr>
            <w:r>
              <w:rPr>
                <w:rFonts w:hint="eastAsia"/>
                <w:sz w:val="20"/>
                <w:szCs w:val="20"/>
              </w:rPr>
              <w:t>合成</w:t>
            </w:r>
          </w:p>
        </w:tc>
        <w:tc>
          <w:tcPr>
            <w:tcW w:w="1185" w:type="dxa"/>
            <w:shd w:val="clear" w:color="auto" w:fill="B4C6E7"/>
          </w:tcPr>
          <w:p>
            <w:pPr>
              <w:pStyle w:val="37"/>
              <w:spacing w:line="240" w:lineRule="auto"/>
              <w:rPr>
                <w:sz w:val="20"/>
                <w:szCs w:val="20"/>
              </w:rPr>
            </w:pPr>
            <w:r>
              <w:rPr>
                <w:rFonts w:hint="eastAsia"/>
                <w:sz w:val="20"/>
                <w:szCs w:val="20"/>
              </w:rPr>
              <w:t>净化</w:t>
            </w:r>
          </w:p>
        </w:tc>
        <w:tc>
          <w:tcPr>
            <w:tcW w:w="1185" w:type="dxa"/>
            <w:shd w:val="clear" w:color="auto" w:fill="B4C6E7"/>
          </w:tcPr>
          <w:p>
            <w:pPr>
              <w:pStyle w:val="37"/>
              <w:spacing w:line="240" w:lineRule="auto"/>
              <w:rPr>
                <w:sz w:val="20"/>
                <w:szCs w:val="20"/>
              </w:rPr>
            </w:pPr>
            <w:r>
              <w:rPr>
                <w:rFonts w:hint="eastAsia"/>
                <w:sz w:val="20"/>
                <w:szCs w:val="20"/>
              </w:rPr>
              <w:t>精制</w:t>
            </w:r>
          </w:p>
          <w:p>
            <w:pPr>
              <w:pStyle w:val="37"/>
              <w:spacing w:line="240" w:lineRule="auto"/>
              <w:rPr>
                <w:sz w:val="20"/>
                <w:szCs w:val="20"/>
              </w:rPr>
            </w:pPr>
            <w:r>
              <w:rPr>
                <w:rFonts w:hint="eastAsia"/>
                <w:sz w:val="20"/>
                <w:szCs w:val="20"/>
              </w:rPr>
              <w:t>罐</w:t>
            </w:r>
            <w:r>
              <w:rPr>
                <w:sz w:val="20"/>
                <w:szCs w:val="20"/>
              </w:rPr>
              <w:t>装</w:t>
            </w:r>
          </w:p>
        </w:tc>
        <w:tc>
          <w:tcPr>
            <w:tcW w:w="1186" w:type="dxa"/>
            <w:shd w:val="clear" w:color="auto" w:fill="B4C6E7"/>
          </w:tcPr>
          <w:p>
            <w:pPr>
              <w:pStyle w:val="37"/>
              <w:spacing w:line="240" w:lineRule="auto"/>
              <w:rPr>
                <w:sz w:val="20"/>
                <w:szCs w:val="20"/>
              </w:rPr>
            </w:pPr>
            <w:r>
              <w:rPr>
                <w:rFonts w:hint="eastAsia"/>
                <w:sz w:val="20"/>
                <w:szCs w:val="20"/>
              </w:rPr>
              <w:t>检、维修</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火灾</w:t>
            </w:r>
          </w:p>
        </w:tc>
        <w:tc>
          <w:tcPr>
            <w:tcW w:w="1134" w:type="dxa"/>
            <w:shd w:val="clear" w:color="auto" w:fill="D9E2F3"/>
          </w:tcPr>
          <w:p>
            <w:pPr>
              <w:pStyle w:val="37"/>
              <w:spacing w:line="240" w:lineRule="auto"/>
              <w:rPr>
                <w:sz w:val="20"/>
                <w:szCs w:val="20"/>
              </w:rPr>
            </w:pPr>
            <w:r>
              <w:rPr>
                <w:sz w:val="20"/>
                <w:szCs w:val="20"/>
              </w:rPr>
              <w:t>＋</w:t>
            </w:r>
          </w:p>
        </w:tc>
        <w:tc>
          <w:tcPr>
            <w:tcW w:w="866" w:type="dxa"/>
            <w:shd w:val="clear" w:color="auto" w:fill="D9E2F3"/>
          </w:tcPr>
          <w:p>
            <w:pPr>
              <w:pStyle w:val="37"/>
              <w:spacing w:line="240" w:lineRule="auto"/>
              <w:rPr>
                <w:sz w:val="20"/>
                <w:szCs w:val="20"/>
              </w:rPr>
            </w:pPr>
            <w:r>
              <w:rPr>
                <w:sz w:val="20"/>
                <w:szCs w:val="20"/>
              </w:rPr>
              <w:t>＋</w:t>
            </w:r>
          </w:p>
        </w:tc>
        <w:tc>
          <w:tcPr>
            <w:tcW w:w="1185" w:type="dxa"/>
            <w:shd w:val="clear" w:color="auto" w:fill="D9E2F3"/>
          </w:tcPr>
          <w:p>
            <w:pPr>
              <w:pStyle w:val="37"/>
              <w:spacing w:line="240" w:lineRule="auto"/>
              <w:rPr>
                <w:sz w:val="20"/>
                <w:szCs w:val="20"/>
              </w:rPr>
            </w:pPr>
            <w:r>
              <w:rPr>
                <w:sz w:val="20"/>
                <w:szCs w:val="20"/>
              </w:rPr>
              <w:t>＋</w:t>
            </w:r>
          </w:p>
        </w:tc>
        <w:tc>
          <w:tcPr>
            <w:tcW w:w="1185" w:type="dxa"/>
            <w:shd w:val="clear" w:color="auto" w:fill="D9E2F3"/>
          </w:tcPr>
          <w:p>
            <w:pPr>
              <w:pStyle w:val="37"/>
              <w:spacing w:line="240" w:lineRule="auto"/>
              <w:rPr>
                <w:sz w:val="20"/>
                <w:szCs w:val="20"/>
              </w:rPr>
            </w:pPr>
            <w:r>
              <w:rPr>
                <w:sz w:val="20"/>
                <w:szCs w:val="20"/>
              </w:rPr>
              <w:t>＋</w:t>
            </w:r>
          </w:p>
        </w:tc>
        <w:tc>
          <w:tcPr>
            <w:tcW w:w="1185" w:type="dxa"/>
            <w:shd w:val="clear" w:color="auto" w:fill="D9E2F3"/>
          </w:tcPr>
          <w:p>
            <w:pPr>
              <w:pStyle w:val="37"/>
              <w:spacing w:line="240" w:lineRule="auto"/>
              <w:rPr>
                <w:sz w:val="20"/>
                <w:szCs w:val="20"/>
              </w:rPr>
            </w:pPr>
          </w:p>
        </w:tc>
        <w:tc>
          <w:tcPr>
            <w:tcW w:w="1186" w:type="dxa"/>
            <w:shd w:val="clear" w:color="auto" w:fill="D9E2F3"/>
          </w:tcPr>
          <w:p>
            <w:pPr>
              <w:pStyle w:val="37"/>
              <w:spacing w:line="240" w:lineRule="auto"/>
              <w:rPr>
                <w:sz w:val="20"/>
                <w:szCs w:val="20"/>
              </w:rPr>
            </w:pPr>
            <w:r>
              <w:rPr>
                <w:sz w:val="20"/>
                <w:szCs w:val="20"/>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化学爆炸</w:t>
            </w:r>
          </w:p>
        </w:tc>
        <w:tc>
          <w:tcPr>
            <w:tcW w:w="1134" w:type="dxa"/>
            <w:shd w:val="clear" w:color="auto" w:fill="B4C6E7"/>
          </w:tcPr>
          <w:p>
            <w:pPr>
              <w:pStyle w:val="37"/>
              <w:spacing w:line="240" w:lineRule="auto"/>
              <w:rPr>
                <w:sz w:val="20"/>
                <w:szCs w:val="20"/>
              </w:rPr>
            </w:pPr>
            <w:r>
              <w:rPr>
                <w:sz w:val="20"/>
                <w:szCs w:val="20"/>
              </w:rPr>
              <w:t>＋</w:t>
            </w:r>
          </w:p>
        </w:tc>
        <w:tc>
          <w:tcPr>
            <w:tcW w:w="866" w:type="dxa"/>
            <w:shd w:val="clear" w:color="auto" w:fill="B4C6E7"/>
          </w:tcPr>
          <w:p>
            <w:pPr>
              <w:pStyle w:val="37"/>
              <w:spacing w:line="240" w:lineRule="auto"/>
              <w:rPr>
                <w:sz w:val="20"/>
                <w:szCs w:val="20"/>
              </w:rPr>
            </w:pPr>
            <w:r>
              <w:rPr>
                <w:sz w:val="20"/>
                <w:szCs w:val="20"/>
              </w:rPr>
              <w:t>＋</w:t>
            </w:r>
          </w:p>
        </w:tc>
        <w:tc>
          <w:tcPr>
            <w:tcW w:w="1185" w:type="dxa"/>
            <w:shd w:val="clear" w:color="auto" w:fill="B4C6E7"/>
          </w:tcPr>
          <w:p>
            <w:pPr>
              <w:pStyle w:val="37"/>
              <w:spacing w:line="240" w:lineRule="auto"/>
              <w:rPr>
                <w:sz w:val="20"/>
                <w:szCs w:val="20"/>
              </w:rPr>
            </w:pPr>
            <w:r>
              <w:rPr>
                <w:sz w:val="20"/>
                <w:szCs w:val="20"/>
              </w:rPr>
              <w:t>＋</w:t>
            </w:r>
          </w:p>
        </w:tc>
        <w:tc>
          <w:tcPr>
            <w:tcW w:w="1185" w:type="dxa"/>
            <w:shd w:val="clear" w:color="auto" w:fill="B4C6E7"/>
          </w:tcPr>
          <w:p>
            <w:pPr>
              <w:pStyle w:val="37"/>
              <w:spacing w:line="240" w:lineRule="auto"/>
              <w:rPr>
                <w:sz w:val="20"/>
                <w:szCs w:val="20"/>
              </w:rPr>
            </w:pPr>
            <w:r>
              <w:rPr>
                <w:sz w:val="20"/>
                <w:szCs w:val="20"/>
              </w:rPr>
              <w:t>＋</w:t>
            </w:r>
          </w:p>
        </w:tc>
        <w:tc>
          <w:tcPr>
            <w:tcW w:w="1185" w:type="dxa"/>
            <w:shd w:val="clear" w:color="auto" w:fill="B4C6E7"/>
          </w:tcPr>
          <w:p>
            <w:pPr>
              <w:pStyle w:val="37"/>
              <w:spacing w:line="240" w:lineRule="auto"/>
              <w:rPr>
                <w:sz w:val="20"/>
                <w:szCs w:val="20"/>
              </w:rPr>
            </w:pPr>
          </w:p>
        </w:tc>
        <w:tc>
          <w:tcPr>
            <w:tcW w:w="1186" w:type="dxa"/>
            <w:shd w:val="clear" w:color="auto" w:fill="B4C6E7"/>
          </w:tcPr>
          <w:p>
            <w:pPr>
              <w:pStyle w:val="37"/>
              <w:spacing w:line="240" w:lineRule="auto"/>
              <w:rPr>
                <w:sz w:val="20"/>
                <w:szCs w:val="20"/>
              </w:rPr>
            </w:pPr>
            <w:r>
              <w:rPr>
                <w:sz w:val="20"/>
                <w:szCs w:val="20"/>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设备物理爆炸</w:t>
            </w:r>
          </w:p>
        </w:tc>
        <w:tc>
          <w:tcPr>
            <w:tcW w:w="1134" w:type="dxa"/>
            <w:shd w:val="clear" w:color="auto" w:fill="D9E2F3"/>
          </w:tcPr>
          <w:p>
            <w:pPr>
              <w:pStyle w:val="37"/>
              <w:spacing w:line="240" w:lineRule="auto"/>
              <w:rPr>
                <w:sz w:val="20"/>
                <w:szCs w:val="20"/>
              </w:rPr>
            </w:pPr>
            <w:r>
              <w:rPr>
                <w:sz w:val="20"/>
                <w:szCs w:val="20"/>
              </w:rPr>
              <w:t>＋</w:t>
            </w:r>
          </w:p>
        </w:tc>
        <w:tc>
          <w:tcPr>
            <w:tcW w:w="866"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r>
              <w:rPr>
                <w:sz w:val="20"/>
                <w:szCs w:val="20"/>
              </w:rPr>
              <w:t>＋</w:t>
            </w:r>
          </w:p>
        </w:tc>
        <w:tc>
          <w:tcPr>
            <w:tcW w:w="1185" w:type="dxa"/>
            <w:shd w:val="clear" w:color="auto" w:fill="D9E2F3"/>
          </w:tcPr>
          <w:p>
            <w:pPr>
              <w:pStyle w:val="37"/>
              <w:spacing w:line="240" w:lineRule="auto"/>
              <w:rPr>
                <w:sz w:val="20"/>
                <w:szCs w:val="20"/>
              </w:rPr>
            </w:pPr>
            <w:r>
              <w:rPr>
                <w:sz w:val="20"/>
                <w:szCs w:val="20"/>
              </w:rPr>
              <w:t>＋</w:t>
            </w:r>
          </w:p>
        </w:tc>
        <w:tc>
          <w:tcPr>
            <w:tcW w:w="1185" w:type="dxa"/>
            <w:shd w:val="clear" w:color="auto" w:fill="D9E2F3"/>
          </w:tcPr>
          <w:p>
            <w:pPr>
              <w:pStyle w:val="37"/>
              <w:spacing w:line="240" w:lineRule="auto"/>
              <w:rPr>
                <w:sz w:val="20"/>
                <w:szCs w:val="20"/>
              </w:rPr>
            </w:pPr>
          </w:p>
        </w:tc>
        <w:tc>
          <w:tcPr>
            <w:tcW w:w="1186" w:type="dxa"/>
            <w:shd w:val="clear" w:color="auto" w:fill="D9E2F3"/>
          </w:tcPr>
          <w:p>
            <w:pPr>
              <w:pStyle w:val="37"/>
              <w:spacing w:line="240" w:lineRule="auto"/>
              <w:rPr>
                <w:sz w:val="20"/>
                <w:szCs w:val="20"/>
              </w:rPr>
            </w:pPr>
            <w:r>
              <w:rPr>
                <w:sz w:val="20"/>
                <w:szCs w:val="20"/>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中毒窒息</w:t>
            </w:r>
          </w:p>
        </w:tc>
        <w:tc>
          <w:tcPr>
            <w:tcW w:w="1134" w:type="dxa"/>
            <w:shd w:val="clear" w:color="auto" w:fill="B4C6E7"/>
          </w:tcPr>
          <w:p>
            <w:pPr>
              <w:pStyle w:val="37"/>
              <w:spacing w:line="240" w:lineRule="auto"/>
              <w:rPr>
                <w:sz w:val="20"/>
                <w:szCs w:val="20"/>
              </w:rPr>
            </w:pPr>
            <w:r>
              <w:rPr>
                <w:sz w:val="20"/>
                <w:szCs w:val="20"/>
              </w:rPr>
              <w:t>＋</w:t>
            </w:r>
          </w:p>
        </w:tc>
        <w:tc>
          <w:tcPr>
            <w:tcW w:w="866" w:type="dxa"/>
            <w:shd w:val="clear" w:color="auto" w:fill="B4C6E7"/>
          </w:tcPr>
          <w:p>
            <w:pPr>
              <w:pStyle w:val="37"/>
              <w:spacing w:line="240" w:lineRule="auto"/>
              <w:rPr>
                <w:sz w:val="20"/>
                <w:szCs w:val="20"/>
              </w:rPr>
            </w:pPr>
          </w:p>
        </w:tc>
        <w:tc>
          <w:tcPr>
            <w:tcW w:w="1185" w:type="dxa"/>
            <w:shd w:val="clear" w:color="auto" w:fill="B4C6E7"/>
          </w:tcPr>
          <w:p>
            <w:pPr>
              <w:pStyle w:val="37"/>
              <w:spacing w:line="240" w:lineRule="auto"/>
              <w:rPr>
                <w:sz w:val="20"/>
                <w:szCs w:val="20"/>
              </w:rPr>
            </w:pPr>
            <w:r>
              <w:rPr>
                <w:sz w:val="20"/>
                <w:szCs w:val="20"/>
              </w:rPr>
              <w:t>＋</w:t>
            </w:r>
          </w:p>
        </w:tc>
        <w:tc>
          <w:tcPr>
            <w:tcW w:w="1185" w:type="dxa"/>
            <w:shd w:val="clear" w:color="auto" w:fill="B4C6E7"/>
          </w:tcPr>
          <w:p>
            <w:pPr>
              <w:pStyle w:val="37"/>
              <w:spacing w:line="240" w:lineRule="auto"/>
              <w:rPr>
                <w:sz w:val="20"/>
                <w:szCs w:val="20"/>
              </w:rPr>
            </w:pPr>
            <w:r>
              <w:rPr>
                <w:sz w:val="20"/>
                <w:szCs w:val="20"/>
              </w:rPr>
              <w:t>＋</w:t>
            </w:r>
          </w:p>
        </w:tc>
        <w:tc>
          <w:tcPr>
            <w:tcW w:w="1185" w:type="dxa"/>
            <w:shd w:val="clear" w:color="auto" w:fill="B4C6E7"/>
          </w:tcPr>
          <w:p>
            <w:pPr>
              <w:pStyle w:val="37"/>
              <w:spacing w:line="240" w:lineRule="auto"/>
              <w:rPr>
                <w:sz w:val="20"/>
                <w:szCs w:val="20"/>
              </w:rPr>
            </w:pPr>
          </w:p>
        </w:tc>
        <w:tc>
          <w:tcPr>
            <w:tcW w:w="1186" w:type="dxa"/>
            <w:shd w:val="clear" w:color="auto" w:fill="B4C6E7"/>
          </w:tcPr>
          <w:p>
            <w:pPr>
              <w:pStyle w:val="37"/>
              <w:spacing w:line="240" w:lineRule="auto"/>
              <w:rPr>
                <w:sz w:val="20"/>
                <w:szCs w:val="20"/>
              </w:rPr>
            </w:pPr>
            <w:r>
              <w:rPr>
                <w:sz w:val="20"/>
                <w:szCs w:val="20"/>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化学灼伤</w:t>
            </w:r>
          </w:p>
        </w:tc>
        <w:tc>
          <w:tcPr>
            <w:tcW w:w="1134" w:type="dxa"/>
            <w:shd w:val="clear" w:color="auto" w:fill="D9E2F3"/>
          </w:tcPr>
          <w:p>
            <w:pPr>
              <w:pStyle w:val="37"/>
              <w:spacing w:line="240" w:lineRule="auto"/>
              <w:rPr>
                <w:sz w:val="20"/>
                <w:szCs w:val="20"/>
              </w:rPr>
            </w:pPr>
            <w:r>
              <w:rPr>
                <w:sz w:val="20"/>
                <w:szCs w:val="20"/>
              </w:rPr>
              <w:t>＋</w:t>
            </w:r>
          </w:p>
        </w:tc>
        <w:tc>
          <w:tcPr>
            <w:tcW w:w="866"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r>
              <w:rPr>
                <w:sz w:val="20"/>
                <w:szCs w:val="20"/>
              </w:rPr>
              <w:t>＋</w:t>
            </w:r>
          </w:p>
        </w:tc>
        <w:tc>
          <w:tcPr>
            <w:tcW w:w="1185" w:type="dxa"/>
            <w:shd w:val="clear" w:color="auto" w:fill="D9E2F3"/>
          </w:tcPr>
          <w:p>
            <w:pPr>
              <w:pStyle w:val="37"/>
              <w:spacing w:line="240" w:lineRule="auto"/>
              <w:rPr>
                <w:sz w:val="20"/>
                <w:szCs w:val="20"/>
              </w:rPr>
            </w:pPr>
            <w:r>
              <w:rPr>
                <w:sz w:val="20"/>
                <w:szCs w:val="20"/>
              </w:rPr>
              <w:t>＋</w:t>
            </w:r>
          </w:p>
        </w:tc>
        <w:tc>
          <w:tcPr>
            <w:tcW w:w="1185" w:type="dxa"/>
            <w:shd w:val="clear" w:color="auto" w:fill="D9E2F3"/>
          </w:tcPr>
          <w:p>
            <w:pPr>
              <w:pStyle w:val="37"/>
              <w:spacing w:line="240" w:lineRule="auto"/>
              <w:rPr>
                <w:sz w:val="20"/>
                <w:szCs w:val="20"/>
              </w:rPr>
            </w:pPr>
          </w:p>
        </w:tc>
        <w:tc>
          <w:tcPr>
            <w:tcW w:w="1186" w:type="dxa"/>
            <w:shd w:val="clear" w:color="auto" w:fill="D9E2F3"/>
          </w:tcPr>
          <w:p>
            <w:pPr>
              <w:pStyle w:val="37"/>
              <w:spacing w:line="240" w:lineRule="auto"/>
              <w:rPr>
                <w:sz w:val="20"/>
                <w:szCs w:val="20"/>
              </w:rPr>
            </w:pP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电气伤害</w:t>
            </w:r>
          </w:p>
        </w:tc>
        <w:tc>
          <w:tcPr>
            <w:tcW w:w="1134" w:type="dxa"/>
            <w:shd w:val="clear" w:color="auto" w:fill="B4C6E7"/>
          </w:tcPr>
          <w:p>
            <w:pPr>
              <w:pStyle w:val="37"/>
              <w:spacing w:line="240" w:lineRule="auto"/>
              <w:rPr>
                <w:sz w:val="20"/>
                <w:szCs w:val="20"/>
              </w:rPr>
            </w:pPr>
          </w:p>
        </w:tc>
        <w:tc>
          <w:tcPr>
            <w:tcW w:w="866" w:type="dxa"/>
            <w:shd w:val="clear" w:color="auto" w:fill="B4C6E7"/>
          </w:tcPr>
          <w:p>
            <w:pPr>
              <w:pStyle w:val="37"/>
              <w:spacing w:line="240" w:lineRule="auto"/>
              <w:rPr>
                <w:sz w:val="20"/>
                <w:szCs w:val="20"/>
              </w:rPr>
            </w:pPr>
          </w:p>
        </w:tc>
        <w:tc>
          <w:tcPr>
            <w:tcW w:w="1185" w:type="dxa"/>
            <w:shd w:val="clear" w:color="auto" w:fill="B4C6E7"/>
          </w:tcPr>
          <w:p>
            <w:pPr>
              <w:pStyle w:val="37"/>
              <w:spacing w:line="240" w:lineRule="auto"/>
              <w:rPr>
                <w:sz w:val="20"/>
                <w:szCs w:val="20"/>
              </w:rPr>
            </w:pPr>
            <w:r>
              <w:rPr>
                <w:sz w:val="20"/>
                <w:szCs w:val="20"/>
              </w:rPr>
              <w:t>＋</w:t>
            </w:r>
          </w:p>
        </w:tc>
        <w:tc>
          <w:tcPr>
            <w:tcW w:w="1185" w:type="dxa"/>
            <w:shd w:val="clear" w:color="auto" w:fill="B4C6E7"/>
          </w:tcPr>
          <w:p>
            <w:pPr>
              <w:pStyle w:val="37"/>
              <w:spacing w:line="240" w:lineRule="auto"/>
              <w:rPr>
                <w:sz w:val="20"/>
                <w:szCs w:val="20"/>
              </w:rPr>
            </w:pPr>
            <w:r>
              <w:rPr>
                <w:sz w:val="20"/>
                <w:szCs w:val="20"/>
              </w:rPr>
              <w:t>＋</w:t>
            </w:r>
          </w:p>
        </w:tc>
        <w:tc>
          <w:tcPr>
            <w:tcW w:w="1185" w:type="dxa"/>
            <w:shd w:val="clear" w:color="auto" w:fill="B4C6E7"/>
          </w:tcPr>
          <w:p>
            <w:pPr>
              <w:pStyle w:val="37"/>
              <w:spacing w:line="240" w:lineRule="auto"/>
              <w:rPr>
                <w:sz w:val="20"/>
                <w:szCs w:val="20"/>
              </w:rPr>
            </w:pPr>
          </w:p>
        </w:tc>
        <w:tc>
          <w:tcPr>
            <w:tcW w:w="1186" w:type="dxa"/>
            <w:shd w:val="clear" w:color="auto" w:fill="B4C6E7"/>
          </w:tcPr>
          <w:p>
            <w:pPr>
              <w:pStyle w:val="37"/>
              <w:spacing w:line="240" w:lineRule="auto"/>
              <w:rPr>
                <w:sz w:val="20"/>
                <w:szCs w:val="20"/>
              </w:rPr>
            </w:pPr>
            <w:r>
              <w:rPr>
                <w:sz w:val="20"/>
                <w:szCs w:val="20"/>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机械伤害</w:t>
            </w:r>
          </w:p>
        </w:tc>
        <w:tc>
          <w:tcPr>
            <w:tcW w:w="1134" w:type="dxa"/>
            <w:shd w:val="clear" w:color="auto" w:fill="D9E2F3"/>
          </w:tcPr>
          <w:p>
            <w:pPr>
              <w:pStyle w:val="37"/>
              <w:spacing w:line="240" w:lineRule="auto"/>
              <w:rPr>
                <w:sz w:val="20"/>
                <w:szCs w:val="20"/>
              </w:rPr>
            </w:pPr>
          </w:p>
        </w:tc>
        <w:tc>
          <w:tcPr>
            <w:tcW w:w="866"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r>
              <w:rPr>
                <w:sz w:val="20"/>
                <w:szCs w:val="20"/>
              </w:rPr>
              <w:t>＋</w:t>
            </w:r>
          </w:p>
        </w:tc>
        <w:tc>
          <w:tcPr>
            <w:tcW w:w="1185" w:type="dxa"/>
            <w:shd w:val="clear" w:color="auto" w:fill="D9E2F3"/>
          </w:tcPr>
          <w:p>
            <w:pPr>
              <w:pStyle w:val="37"/>
              <w:spacing w:line="240" w:lineRule="auto"/>
              <w:rPr>
                <w:sz w:val="20"/>
                <w:szCs w:val="20"/>
              </w:rPr>
            </w:pPr>
          </w:p>
        </w:tc>
        <w:tc>
          <w:tcPr>
            <w:tcW w:w="1186" w:type="dxa"/>
            <w:shd w:val="clear" w:color="auto" w:fill="D9E2F3"/>
          </w:tcPr>
          <w:p>
            <w:pPr>
              <w:pStyle w:val="37"/>
              <w:spacing w:line="240" w:lineRule="auto"/>
              <w:rPr>
                <w:sz w:val="20"/>
                <w:szCs w:val="20"/>
              </w:rPr>
            </w:pPr>
            <w:r>
              <w:rPr>
                <w:sz w:val="20"/>
                <w:szCs w:val="20"/>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物体打击</w:t>
            </w:r>
          </w:p>
        </w:tc>
        <w:tc>
          <w:tcPr>
            <w:tcW w:w="1134" w:type="dxa"/>
            <w:shd w:val="clear" w:color="auto" w:fill="B4C6E7"/>
          </w:tcPr>
          <w:p>
            <w:pPr>
              <w:pStyle w:val="37"/>
              <w:spacing w:line="240" w:lineRule="auto"/>
              <w:rPr>
                <w:sz w:val="20"/>
                <w:szCs w:val="20"/>
              </w:rPr>
            </w:pPr>
            <w:r>
              <w:rPr>
                <w:sz w:val="20"/>
                <w:szCs w:val="20"/>
              </w:rPr>
              <w:t>＋</w:t>
            </w:r>
          </w:p>
        </w:tc>
        <w:tc>
          <w:tcPr>
            <w:tcW w:w="866" w:type="dxa"/>
            <w:shd w:val="clear" w:color="auto" w:fill="B4C6E7"/>
          </w:tcPr>
          <w:p>
            <w:pPr>
              <w:pStyle w:val="37"/>
              <w:spacing w:line="240" w:lineRule="auto"/>
              <w:rPr>
                <w:sz w:val="20"/>
                <w:szCs w:val="20"/>
              </w:rPr>
            </w:pPr>
          </w:p>
        </w:tc>
        <w:tc>
          <w:tcPr>
            <w:tcW w:w="1185" w:type="dxa"/>
            <w:shd w:val="clear" w:color="auto" w:fill="B4C6E7"/>
          </w:tcPr>
          <w:p>
            <w:pPr>
              <w:pStyle w:val="37"/>
              <w:spacing w:line="240" w:lineRule="auto"/>
              <w:rPr>
                <w:sz w:val="20"/>
                <w:szCs w:val="20"/>
              </w:rPr>
            </w:pPr>
          </w:p>
        </w:tc>
        <w:tc>
          <w:tcPr>
            <w:tcW w:w="1185" w:type="dxa"/>
            <w:shd w:val="clear" w:color="auto" w:fill="B4C6E7"/>
          </w:tcPr>
          <w:p>
            <w:pPr>
              <w:pStyle w:val="37"/>
              <w:spacing w:line="240" w:lineRule="auto"/>
              <w:rPr>
                <w:sz w:val="20"/>
                <w:szCs w:val="20"/>
              </w:rPr>
            </w:pPr>
          </w:p>
        </w:tc>
        <w:tc>
          <w:tcPr>
            <w:tcW w:w="1185" w:type="dxa"/>
            <w:shd w:val="clear" w:color="auto" w:fill="B4C6E7"/>
          </w:tcPr>
          <w:p>
            <w:pPr>
              <w:pStyle w:val="37"/>
              <w:spacing w:line="240" w:lineRule="auto"/>
              <w:rPr>
                <w:sz w:val="20"/>
                <w:szCs w:val="20"/>
              </w:rPr>
            </w:pPr>
          </w:p>
        </w:tc>
        <w:tc>
          <w:tcPr>
            <w:tcW w:w="1186" w:type="dxa"/>
            <w:shd w:val="clear" w:color="auto" w:fill="B4C6E7"/>
          </w:tcPr>
          <w:p>
            <w:pPr>
              <w:pStyle w:val="37"/>
              <w:spacing w:line="240" w:lineRule="auto"/>
              <w:rPr>
                <w:sz w:val="20"/>
                <w:szCs w:val="20"/>
              </w:rPr>
            </w:pPr>
            <w:r>
              <w:rPr>
                <w:sz w:val="20"/>
                <w:szCs w:val="20"/>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高处坠落</w:t>
            </w:r>
          </w:p>
        </w:tc>
        <w:tc>
          <w:tcPr>
            <w:tcW w:w="1134" w:type="dxa"/>
            <w:shd w:val="clear" w:color="auto" w:fill="D9E2F3"/>
          </w:tcPr>
          <w:p>
            <w:pPr>
              <w:pStyle w:val="37"/>
              <w:spacing w:line="240" w:lineRule="auto"/>
              <w:rPr>
                <w:sz w:val="20"/>
                <w:szCs w:val="20"/>
              </w:rPr>
            </w:pPr>
            <w:r>
              <w:rPr>
                <w:sz w:val="20"/>
                <w:szCs w:val="20"/>
              </w:rPr>
              <w:t>＋</w:t>
            </w:r>
          </w:p>
        </w:tc>
        <w:tc>
          <w:tcPr>
            <w:tcW w:w="866"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p>
        </w:tc>
        <w:tc>
          <w:tcPr>
            <w:tcW w:w="1186" w:type="dxa"/>
            <w:shd w:val="clear" w:color="auto" w:fill="D9E2F3"/>
          </w:tcPr>
          <w:p>
            <w:pPr>
              <w:pStyle w:val="37"/>
              <w:spacing w:line="240" w:lineRule="auto"/>
              <w:rPr>
                <w:sz w:val="20"/>
                <w:szCs w:val="20"/>
              </w:rPr>
            </w:pPr>
            <w:r>
              <w:rPr>
                <w:sz w:val="20"/>
                <w:szCs w:val="20"/>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热灼烫</w:t>
            </w:r>
          </w:p>
        </w:tc>
        <w:tc>
          <w:tcPr>
            <w:tcW w:w="1134" w:type="dxa"/>
            <w:shd w:val="clear" w:color="auto" w:fill="B4C6E7"/>
          </w:tcPr>
          <w:p>
            <w:pPr>
              <w:pStyle w:val="37"/>
              <w:spacing w:line="240" w:lineRule="auto"/>
              <w:rPr>
                <w:sz w:val="20"/>
                <w:szCs w:val="20"/>
              </w:rPr>
            </w:pPr>
          </w:p>
        </w:tc>
        <w:tc>
          <w:tcPr>
            <w:tcW w:w="866" w:type="dxa"/>
            <w:shd w:val="clear" w:color="auto" w:fill="B4C6E7"/>
          </w:tcPr>
          <w:p>
            <w:pPr>
              <w:pStyle w:val="37"/>
              <w:spacing w:line="240" w:lineRule="auto"/>
              <w:rPr>
                <w:sz w:val="20"/>
                <w:szCs w:val="20"/>
              </w:rPr>
            </w:pPr>
            <w:r>
              <w:rPr>
                <w:sz w:val="20"/>
                <w:szCs w:val="20"/>
              </w:rPr>
              <w:t>＋</w:t>
            </w:r>
          </w:p>
        </w:tc>
        <w:tc>
          <w:tcPr>
            <w:tcW w:w="1185" w:type="dxa"/>
            <w:shd w:val="clear" w:color="auto" w:fill="B4C6E7"/>
          </w:tcPr>
          <w:p>
            <w:pPr>
              <w:pStyle w:val="37"/>
              <w:spacing w:line="240" w:lineRule="auto"/>
              <w:rPr>
                <w:sz w:val="20"/>
                <w:szCs w:val="20"/>
              </w:rPr>
            </w:pPr>
            <w:r>
              <w:rPr>
                <w:sz w:val="20"/>
                <w:szCs w:val="20"/>
              </w:rPr>
              <w:t>＋</w:t>
            </w:r>
          </w:p>
        </w:tc>
        <w:tc>
          <w:tcPr>
            <w:tcW w:w="1185" w:type="dxa"/>
            <w:shd w:val="clear" w:color="auto" w:fill="B4C6E7"/>
          </w:tcPr>
          <w:p>
            <w:pPr>
              <w:pStyle w:val="37"/>
              <w:spacing w:line="240" w:lineRule="auto"/>
              <w:rPr>
                <w:sz w:val="20"/>
                <w:szCs w:val="20"/>
              </w:rPr>
            </w:pPr>
            <w:r>
              <w:rPr>
                <w:sz w:val="20"/>
                <w:szCs w:val="20"/>
              </w:rPr>
              <w:t>＋</w:t>
            </w:r>
          </w:p>
        </w:tc>
        <w:tc>
          <w:tcPr>
            <w:tcW w:w="1185" w:type="dxa"/>
            <w:shd w:val="clear" w:color="auto" w:fill="B4C6E7"/>
          </w:tcPr>
          <w:p>
            <w:pPr>
              <w:pStyle w:val="37"/>
              <w:spacing w:line="240" w:lineRule="auto"/>
              <w:rPr>
                <w:sz w:val="20"/>
                <w:szCs w:val="20"/>
              </w:rPr>
            </w:pPr>
          </w:p>
        </w:tc>
        <w:tc>
          <w:tcPr>
            <w:tcW w:w="1186" w:type="dxa"/>
            <w:shd w:val="clear" w:color="auto" w:fill="B4C6E7"/>
          </w:tcPr>
          <w:p>
            <w:pPr>
              <w:pStyle w:val="37"/>
              <w:spacing w:line="240" w:lineRule="auto"/>
              <w:rPr>
                <w:sz w:val="20"/>
                <w:szCs w:val="20"/>
              </w:rPr>
            </w:pP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腐蚀</w:t>
            </w:r>
          </w:p>
        </w:tc>
        <w:tc>
          <w:tcPr>
            <w:tcW w:w="1134" w:type="dxa"/>
            <w:shd w:val="clear" w:color="auto" w:fill="D9E2F3"/>
          </w:tcPr>
          <w:p>
            <w:pPr>
              <w:pStyle w:val="37"/>
              <w:spacing w:line="240" w:lineRule="auto"/>
              <w:rPr>
                <w:sz w:val="20"/>
                <w:szCs w:val="20"/>
              </w:rPr>
            </w:pPr>
          </w:p>
        </w:tc>
        <w:tc>
          <w:tcPr>
            <w:tcW w:w="866" w:type="dxa"/>
            <w:shd w:val="clear" w:color="auto" w:fill="D9E2F3"/>
          </w:tcPr>
          <w:p>
            <w:pPr>
              <w:pStyle w:val="37"/>
              <w:spacing w:line="240" w:lineRule="auto"/>
              <w:rPr>
                <w:sz w:val="20"/>
                <w:szCs w:val="20"/>
              </w:rPr>
            </w:pPr>
            <w:r>
              <w:rPr>
                <w:sz w:val="20"/>
                <w:szCs w:val="20"/>
              </w:rPr>
              <w:t>＋</w:t>
            </w:r>
          </w:p>
        </w:tc>
        <w:tc>
          <w:tcPr>
            <w:tcW w:w="1185" w:type="dxa"/>
            <w:shd w:val="clear" w:color="auto" w:fill="D9E2F3"/>
          </w:tcPr>
          <w:p>
            <w:pPr>
              <w:pStyle w:val="37"/>
              <w:spacing w:line="240" w:lineRule="auto"/>
              <w:rPr>
                <w:sz w:val="20"/>
                <w:szCs w:val="20"/>
              </w:rPr>
            </w:pPr>
            <w:r>
              <w:rPr>
                <w:sz w:val="20"/>
                <w:szCs w:val="20"/>
              </w:rPr>
              <w:t>＋</w:t>
            </w:r>
          </w:p>
        </w:tc>
        <w:tc>
          <w:tcPr>
            <w:tcW w:w="1185" w:type="dxa"/>
            <w:shd w:val="clear" w:color="auto" w:fill="D9E2F3"/>
          </w:tcPr>
          <w:p>
            <w:pPr>
              <w:pStyle w:val="37"/>
              <w:spacing w:line="240" w:lineRule="auto"/>
              <w:rPr>
                <w:sz w:val="20"/>
                <w:szCs w:val="20"/>
              </w:rPr>
            </w:pPr>
            <w:r>
              <w:rPr>
                <w:sz w:val="20"/>
                <w:szCs w:val="20"/>
              </w:rPr>
              <w:t>＋</w:t>
            </w:r>
          </w:p>
        </w:tc>
        <w:tc>
          <w:tcPr>
            <w:tcW w:w="1185" w:type="dxa"/>
            <w:shd w:val="clear" w:color="auto" w:fill="D9E2F3"/>
          </w:tcPr>
          <w:p>
            <w:pPr>
              <w:pStyle w:val="37"/>
              <w:spacing w:line="240" w:lineRule="auto"/>
              <w:rPr>
                <w:sz w:val="20"/>
                <w:szCs w:val="20"/>
              </w:rPr>
            </w:pPr>
          </w:p>
        </w:tc>
        <w:tc>
          <w:tcPr>
            <w:tcW w:w="1186" w:type="dxa"/>
            <w:shd w:val="clear" w:color="auto" w:fill="D9E2F3"/>
          </w:tcPr>
          <w:p>
            <w:pPr>
              <w:pStyle w:val="37"/>
              <w:spacing w:line="240" w:lineRule="auto"/>
              <w:rPr>
                <w:sz w:val="20"/>
                <w:szCs w:val="20"/>
              </w:rPr>
            </w:pP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低温</w:t>
            </w:r>
          </w:p>
        </w:tc>
        <w:tc>
          <w:tcPr>
            <w:tcW w:w="1134" w:type="dxa"/>
            <w:shd w:val="clear" w:color="auto" w:fill="B4C6E7"/>
          </w:tcPr>
          <w:p>
            <w:pPr>
              <w:pStyle w:val="37"/>
              <w:spacing w:line="240" w:lineRule="auto"/>
              <w:rPr>
                <w:sz w:val="20"/>
                <w:szCs w:val="20"/>
              </w:rPr>
            </w:pPr>
          </w:p>
        </w:tc>
        <w:tc>
          <w:tcPr>
            <w:tcW w:w="866" w:type="dxa"/>
            <w:shd w:val="clear" w:color="auto" w:fill="B4C6E7"/>
          </w:tcPr>
          <w:p>
            <w:pPr>
              <w:pStyle w:val="37"/>
              <w:spacing w:line="240" w:lineRule="auto"/>
              <w:rPr>
                <w:sz w:val="20"/>
                <w:szCs w:val="20"/>
              </w:rPr>
            </w:pPr>
          </w:p>
        </w:tc>
        <w:tc>
          <w:tcPr>
            <w:tcW w:w="1185" w:type="dxa"/>
            <w:shd w:val="clear" w:color="auto" w:fill="B4C6E7"/>
          </w:tcPr>
          <w:p>
            <w:pPr>
              <w:pStyle w:val="37"/>
              <w:spacing w:line="240" w:lineRule="auto"/>
              <w:rPr>
                <w:sz w:val="20"/>
                <w:szCs w:val="20"/>
              </w:rPr>
            </w:pPr>
          </w:p>
        </w:tc>
        <w:tc>
          <w:tcPr>
            <w:tcW w:w="1185" w:type="dxa"/>
            <w:shd w:val="clear" w:color="auto" w:fill="B4C6E7"/>
          </w:tcPr>
          <w:p>
            <w:pPr>
              <w:pStyle w:val="37"/>
              <w:spacing w:line="240" w:lineRule="auto"/>
              <w:rPr>
                <w:sz w:val="20"/>
                <w:szCs w:val="20"/>
              </w:rPr>
            </w:pPr>
          </w:p>
        </w:tc>
        <w:tc>
          <w:tcPr>
            <w:tcW w:w="1185" w:type="dxa"/>
            <w:shd w:val="clear" w:color="auto" w:fill="B4C6E7"/>
          </w:tcPr>
          <w:p>
            <w:pPr>
              <w:pStyle w:val="37"/>
              <w:spacing w:line="240" w:lineRule="auto"/>
              <w:rPr>
                <w:sz w:val="20"/>
                <w:szCs w:val="20"/>
              </w:rPr>
            </w:pPr>
          </w:p>
        </w:tc>
        <w:tc>
          <w:tcPr>
            <w:tcW w:w="1186" w:type="dxa"/>
            <w:shd w:val="clear" w:color="auto" w:fill="B4C6E7"/>
          </w:tcPr>
          <w:p>
            <w:pPr>
              <w:pStyle w:val="37"/>
              <w:spacing w:line="240" w:lineRule="auto"/>
              <w:rPr>
                <w:sz w:val="20"/>
                <w:szCs w:val="20"/>
              </w:rPr>
            </w:pP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车辆伤害</w:t>
            </w:r>
          </w:p>
        </w:tc>
        <w:tc>
          <w:tcPr>
            <w:tcW w:w="1134" w:type="dxa"/>
            <w:shd w:val="clear" w:color="auto" w:fill="D9E2F3"/>
          </w:tcPr>
          <w:p>
            <w:pPr>
              <w:pStyle w:val="37"/>
              <w:spacing w:line="240" w:lineRule="auto"/>
              <w:rPr>
                <w:sz w:val="20"/>
                <w:szCs w:val="20"/>
              </w:rPr>
            </w:pPr>
            <w:r>
              <w:rPr>
                <w:sz w:val="20"/>
                <w:szCs w:val="20"/>
              </w:rPr>
              <w:t>＋</w:t>
            </w:r>
          </w:p>
        </w:tc>
        <w:tc>
          <w:tcPr>
            <w:tcW w:w="866"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p>
        </w:tc>
        <w:tc>
          <w:tcPr>
            <w:tcW w:w="1186" w:type="dxa"/>
            <w:shd w:val="clear" w:color="auto" w:fill="D9E2F3"/>
          </w:tcPr>
          <w:p>
            <w:pPr>
              <w:pStyle w:val="37"/>
              <w:spacing w:line="240" w:lineRule="auto"/>
              <w:rPr>
                <w:sz w:val="20"/>
                <w:szCs w:val="20"/>
              </w:rPr>
            </w:pP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tcBorders>
            <w:shd w:val="clear" w:color="auto" w:fill="4472C4"/>
          </w:tcPr>
          <w:p>
            <w:pPr>
              <w:pStyle w:val="37"/>
              <w:spacing w:line="240" w:lineRule="auto"/>
              <w:rPr>
                <w:b w:val="0"/>
                <w:bCs w:val="0"/>
                <w:color w:val="FFFFFF"/>
                <w:sz w:val="20"/>
                <w:szCs w:val="20"/>
              </w:rPr>
            </w:pPr>
            <w:r>
              <w:rPr>
                <w:b w:val="0"/>
                <w:bCs/>
                <w:color w:val="FFFFFF"/>
                <w:sz w:val="20"/>
                <w:szCs w:val="20"/>
              </w:rPr>
              <w:t>起重伤害</w:t>
            </w:r>
          </w:p>
        </w:tc>
        <w:tc>
          <w:tcPr>
            <w:tcW w:w="1134" w:type="dxa"/>
            <w:shd w:val="clear" w:color="auto" w:fill="B4C6E7"/>
          </w:tcPr>
          <w:p>
            <w:pPr>
              <w:pStyle w:val="37"/>
              <w:spacing w:line="240" w:lineRule="auto"/>
              <w:rPr>
                <w:sz w:val="20"/>
                <w:szCs w:val="20"/>
              </w:rPr>
            </w:pPr>
            <w:r>
              <w:rPr>
                <w:sz w:val="20"/>
                <w:szCs w:val="20"/>
              </w:rPr>
              <w:t>＋</w:t>
            </w:r>
          </w:p>
        </w:tc>
        <w:tc>
          <w:tcPr>
            <w:tcW w:w="866" w:type="dxa"/>
            <w:shd w:val="clear" w:color="auto" w:fill="B4C6E7"/>
          </w:tcPr>
          <w:p>
            <w:pPr>
              <w:pStyle w:val="37"/>
              <w:spacing w:line="240" w:lineRule="auto"/>
              <w:rPr>
                <w:sz w:val="20"/>
                <w:szCs w:val="20"/>
              </w:rPr>
            </w:pPr>
          </w:p>
        </w:tc>
        <w:tc>
          <w:tcPr>
            <w:tcW w:w="1185" w:type="dxa"/>
            <w:shd w:val="clear" w:color="auto" w:fill="B4C6E7"/>
          </w:tcPr>
          <w:p>
            <w:pPr>
              <w:pStyle w:val="37"/>
              <w:spacing w:line="240" w:lineRule="auto"/>
              <w:rPr>
                <w:sz w:val="20"/>
                <w:szCs w:val="20"/>
              </w:rPr>
            </w:pPr>
          </w:p>
        </w:tc>
        <w:tc>
          <w:tcPr>
            <w:tcW w:w="1185" w:type="dxa"/>
            <w:shd w:val="clear" w:color="auto" w:fill="B4C6E7"/>
          </w:tcPr>
          <w:p>
            <w:pPr>
              <w:pStyle w:val="37"/>
              <w:spacing w:line="240" w:lineRule="auto"/>
              <w:rPr>
                <w:sz w:val="20"/>
                <w:szCs w:val="20"/>
              </w:rPr>
            </w:pPr>
          </w:p>
        </w:tc>
        <w:tc>
          <w:tcPr>
            <w:tcW w:w="1185" w:type="dxa"/>
            <w:shd w:val="clear" w:color="auto" w:fill="B4C6E7"/>
          </w:tcPr>
          <w:p>
            <w:pPr>
              <w:pStyle w:val="37"/>
              <w:spacing w:line="240" w:lineRule="auto"/>
              <w:rPr>
                <w:sz w:val="20"/>
                <w:szCs w:val="20"/>
              </w:rPr>
            </w:pPr>
          </w:p>
        </w:tc>
        <w:tc>
          <w:tcPr>
            <w:tcW w:w="1186" w:type="dxa"/>
            <w:shd w:val="clear" w:color="auto" w:fill="B4C6E7"/>
          </w:tcPr>
          <w:p>
            <w:pPr>
              <w:pStyle w:val="37"/>
              <w:spacing w:line="240" w:lineRule="auto"/>
              <w:rPr>
                <w:sz w:val="20"/>
                <w:szCs w:val="20"/>
              </w:rPr>
            </w:pPr>
            <w:r>
              <w:rPr>
                <w:sz w:val="20"/>
                <w:szCs w:val="20"/>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555" w:type="dxa"/>
            <w:tcBorders>
              <w:left w:val="single" w:color="FFFFFF" w:sz="4" w:space="0"/>
              <w:bottom w:val="single" w:color="FFFFFF" w:sz="4" w:space="0"/>
            </w:tcBorders>
            <w:shd w:val="clear" w:color="auto" w:fill="4472C4"/>
          </w:tcPr>
          <w:p>
            <w:pPr>
              <w:pStyle w:val="37"/>
              <w:spacing w:line="240" w:lineRule="auto"/>
              <w:rPr>
                <w:b/>
                <w:bCs w:val="0"/>
                <w:color w:val="FFFFFF"/>
                <w:sz w:val="20"/>
                <w:szCs w:val="20"/>
              </w:rPr>
            </w:pPr>
            <w:r>
              <w:rPr>
                <w:rFonts w:hint="eastAsia"/>
                <w:b w:val="0"/>
                <w:bCs/>
                <w:color w:val="FFFFFF"/>
                <w:sz w:val="20"/>
                <w:szCs w:val="20"/>
              </w:rPr>
              <w:t>其他</w:t>
            </w:r>
          </w:p>
        </w:tc>
        <w:tc>
          <w:tcPr>
            <w:tcW w:w="1134" w:type="dxa"/>
            <w:shd w:val="clear" w:color="auto" w:fill="D9E2F3"/>
          </w:tcPr>
          <w:p>
            <w:pPr>
              <w:pStyle w:val="37"/>
              <w:spacing w:line="240" w:lineRule="auto"/>
              <w:rPr>
                <w:sz w:val="20"/>
                <w:szCs w:val="20"/>
              </w:rPr>
            </w:pPr>
            <w:r>
              <w:rPr>
                <w:sz w:val="20"/>
                <w:szCs w:val="20"/>
              </w:rPr>
              <w:t>＋</w:t>
            </w:r>
          </w:p>
        </w:tc>
        <w:tc>
          <w:tcPr>
            <w:tcW w:w="866"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p>
        </w:tc>
        <w:tc>
          <w:tcPr>
            <w:tcW w:w="1185" w:type="dxa"/>
            <w:shd w:val="clear" w:color="auto" w:fill="D9E2F3"/>
          </w:tcPr>
          <w:p>
            <w:pPr>
              <w:pStyle w:val="37"/>
              <w:spacing w:line="240" w:lineRule="auto"/>
              <w:rPr>
                <w:sz w:val="20"/>
                <w:szCs w:val="20"/>
              </w:rPr>
            </w:pPr>
          </w:p>
        </w:tc>
        <w:tc>
          <w:tcPr>
            <w:tcW w:w="1186" w:type="dxa"/>
            <w:shd w:val="clear" w:color="auto" w:fill="D9E2F3"/>
          </w:tcPr>
          <w:p>
            <w:pPr>
              <w:pStyle w:val="37"/>
              <w:spacing w:line="240" w:lineRule="auto"/>
              <w:rPr>
                <w:sz w:val="20"/>
                <w:szCs w:val="20"/>
              </w:rPr>
            </w:pPr>
            <w:r>
              <w:rPr>
                <w:sz w:val="20"/>
                <w:szCs w:val="20"/>
              </w:rPr>
              <w:t>＋</w:t>
            </w:r>
          </w:p>
        </w:tc>
      </w:tr>
    </w:tbl>
    <w:p>
      <w:pPr>
        <w:spacing w:before="156" w:after="156"/>
        <w:ind w:firstLine="420"/>
      </w:pPr>
      <w:r>
        <w:rPr>
          <w:rFonts w:hint="eastAsia"/>
        </w:rPr>
        <w:t>注：“＋”表示该场所存在对应的危险有害因素。物料储存过程包括装卸搬运、储存设施和存放。工艺过程包括工艺操作和所用工艺设备。</w:t>
      </w:r>
    </w:p>
    <w:p>
      <w:pPr>
        <w:pStyle w:val="3"/>
        <w:spacing w:before="156" w:after="156"/>
        <w:ind w:firstLine="562"/>
      </w:pPr>
      <w:bookmarkStart w:id="59" w:name="_Toc108206485"/>
      <w:bookmarkStart w:id="60" w:name="_Toc141203894"/>
      <w:r>
        <w:rPr>
          <w:rFonts w:hint="eastAsia"/>
        </w:rPr>
        <w:t>3</w:t>
      </w:r>
      <w:r>
        <w:t>.3</w:t>
      </w:r>
      <w:r>
        <w:rPr>
          <w:rFonts w:hint="eastAsia"/>
        </w:rPr>
        <w:t>生产过程中的主要危险、有害因素预测结果</w:t>
      </w:r>
      <w:bookmarkEnd w:id="59"/>
      <w:bookmarkEnd w:id="60"/>
    </w:p>
    <w:p>
      <w:pPr>
        <w:spacing w:before="156" w:after="156"/>
        <w:ind w:firstLine="420"/>
      </w:pPr>
      <w:r>
        <w:rPr>
          <w:rFonts w:hint="eastAsia"/>
        </w:rPr>
        <w:t>生产过程指的是劳动者在生产领域从事生产活动的全过程。生产过程中的危险有害因素指的是可对人造成伤亡、影响人的身体健康甚至导致疾病的因素。按照可能导致生产过程中的危险和有害因素的性质进行分类，生产过程危险和有害因素可分为四大类：人的因素、物的因素、环境因素、管理因素。</w:t>
      </w:r>
    </w:p>
    <w:p>
      <w:pPr>
        <w:pStyle w:val="4"/>
        <w:spacing w:before="156" w:after="156"/>
        <w:ind w:firstLine="482"/>
      </w:pPr>
      <w:bookmarkStart w:id="61" w:name="_Toc108206486"/>
      <w:bookmarkStart w:id="62" w:name="_Toc141203895"/>
      <w:r>
        <w:rPr>
          <w:rFonts w:hint="eastAsia"/>
        </w:rPr>
        <w:t>3</w:t>
      </w:r>
      <w:r>
        <w:t>.3.1</w:t>
      </w:r>
      <w:r>
        <w:rPr>
          <w:rFonts w:hint="eastAsia"/>
        </w:rPr>
        <w:t>火灾、化学性爆炸危险性分析</w:t>
      </w:r>
      <w:bookmarkEnd w:id="61"/>
      <w:bookmarkEnd w:id="62"/>
    </w:p>
    <w:p>
      <w:pPr>
        <w:spacing w:before="156" w:after="156"/>
        <w:ind w:firstLine="420"/>
      </w:pPr>
      <w:r>
        <w:rPr>
          <w:rFonts w:hint="eastAsia"/>
        </w:rPr>
        <w:t>该项目生产过程中原料甲醇、氢气等都为易燃、爆炸物质，都属于甲类火灾危险性。在生产过程中，使用了加热器、再沸器、反应精馏塔等设备、而且有人员操作的参与，很大程度上增加了火灾、化学性爆炸的危险性。一旦物料泄漏并接触点火源，很有可能造成火灾爆炸事故。</w:t>
      </w:r>
    </w:p>
    <w:p>
      <w:pPr>
        <w:spacing w:before="156" w:after="156"/>
        <w:ind w:firstLine="420"/>
      </w:pPr>
      <w:r>
        <w:rPr>
          <w:rFonts w:hint="eastAsia"/>
        </w:rPr>
        <w:t>所以要注意在生产过程中控制点火源和物质泄漏。</w:t>
      </w:r>
    </w:p>
    <w:p>
      <w:pPr>
        <w:spacing w:before="156" w:after="156"/>
        <w:ind w:firstLine="420"/>
      </w:pPr>
      <w:r>
        <w:rPr>
          <w:rFonts w:hint="eastAsia"/>
        </w:rPr>
        <w:t>下面详细叙述生产过程中易引起火灾爆炸危险和有害因素：</w:t>
      </w:r>
    </w:p>
    <w:p>
      <w:pPr>
        <w:spacing w:before="156" w:after="156"/>
        <w:ind w:firstLine="420"/>
      </w:pPr>
      <w:r>
        <w:rPr>
          <w:rFonts w:hint="eastAsia"/>
        </w:rPr>
        <w:t>（</w:t>
      </w:r>
      <w:r>
        <w:t>1）本项目原料和产物都是易燃爆炸物品，如果在生产过程中因为管道、加热器、塔或是泵等设备的密闭性不好或设施老化，导致物料产物泄漏与空气混合，达到火灾爆炸极限，当遇点火源会发生火灾或爆炸；</w:t>
      </w:r>
    </w:p>
    <w:p>
      <w:pPr>
        <w:spacing w:before="156" w:after="156"/>
        <w:ind w:firstLine="420"/>
      </w:pPr>
      <w:r>
        <w:rPr>
          <w:rFonts w:hint="eastAsia"/>
        </w:rPr>
        <w:t>（</w:t>
      </w:r>
      <w:r>
        <w:t>2）人员在检修过程中，可能会动用电气焊或产生撞击摩擦火花，且停车检修时未进行氮气、空气吹扫，导致装置内易燃物未排至安全浓度，可能造成火灾爆炸；</w:t>
      </w:r>
    </w:p>
    <w:p>
      <w:pPr>
        <w:spacing w:before="156" w:after="156"/>
        <w:ind w:firstLine="420"/>
      </w:pPr>
      <w:r>
        <w:rPr>
          <w:rFonts w:hint="eastAsia"/>
        </w:rPr>
        <w:t>（</w:t>
      </w:r>
      <w:r>
        <w:t>3）管道内、或泵内的易燃物质，在流速过大而且没有做防静电措施时，可能产生静电积聚，引起静电火花造成物质点燃，导致火灾；</w:t>
      </w:r>
    </w:p>
    <w:p>
      <w:pPr>
        <w:spacing w:before="156" w:after="156"/>
        <w:ind w:firstLine="420"/>
      </w:pPr>
      <w:r>
        <w:rPr>
          <w:rFonts w:hint="eastAsia"/>
        </w:rPr>
        <w:t>（</w:t>
      </w:r>
      <w:r>
        <w:t>4）生产过程中，可能因为使用非防爆或防爆等级不符合要求的电气设备的时候，或电缆质量不好，电缆隔热、散热不良，过载等引起电缆发热；电缆接头不好，接头材料选择不当，接头氧化等，或可能会因线路老化、短路、接触不良等原因引起电气火花，引起易燃物质的燃烧爆炸；</w:t>
      </w:r>
    </w:p>
    <w:p>
      <w:pPr>
        <w:spacing w:before="156" w:after="156"/>
        <w:ind w:firstLine="420"/>
      </w:pPr>
      <w:r>
        <w:rPr>
          <w:rFonts w:hint="eastAsia"/>
        </w:rPr>
        <w:t>（</w:t>
      </w:r>
      <w:r>
        <w:t>5）该项目中涉及装置配电室，可能因为线路、变电器短路等原因引起电气火灾，更有可能影响到旁边正在进行生产的装置，进料罐等，导致更严重的火灾或是爆炸；</w:t>
      </w:r>
    </w:p>
    <w:p>
      <w:pPr>
        <w:spacing w:before="156" w:after="156"/>
        <w:ind w:firstLine="420"/>
      </w:pPr>
      <w:r>
        <w:rPr>
          <w:rFonts w:hint="eastAsia"/>
        </w:rPr>
        <w:t>（</w:t>
      </w:r>
      <w:r>
        <w:t>6）在生产过程中，因为操作人员的失误、错开阀门、或是不按规范操作等原因造成工艺过程的失控或易燃物料的泄漏，可能引起火灾爆炸；</w:t>
      </w:r>
    </w:p>
    <w:p>
      <w:pPr>
        <w:spacing w:before="156" w:after="156"/>
        <w:ind w:firstLine="420"/>
      </w:pPr>
      <w:r>
        <w:rPr>
          <w:rFonts w:hint="eastAsia"/>
        </w:rPr>
        <w:t>（</w:t>
      </w:r>
      <w:r>
        <w:t>7）未设检测报警系统，或检测报警系统失效，未发现已泄漏的物料，然后遇到点火源引起火灾或爆炸；</w:t>
      </w:r>
    </w:p>
    <w:p>
      <w:pPr>
        <w:spacing w:before="156" w:after="156"/>
        <w:ind w:firstLine="420"/>
      </w:pPr>
      <w:r>
        <w:rPr>
          <w:rFonts w:hint="eastAsia"/>
        </w:rPr>
        <w:t>（</w:t>
      </w:r>
      <w:r>
        <w:t>8）若装置未设置防雷设施或防雷设施不符合要求，也可能导致设备发生雷击事故，进而可能引起火灾爆炸；</w:t>
      </w:r>
    </w:p>
    <w:p>
      <w:pPr>
        <w:spacing w:before="156" w:after="156"/>
        <w:ind w:firstLine="420"/>
      </w:pPr>
      <w:r>
        <w:rPr>
          <w:rFonts w:hint="eastAsia"/>
        </w:rPr>
        <w:t>（</w:t>
      </w:r>
      <w:r>
        <w:t>9）生产前，未用氮气惰性气体进行吹扫，将管道、设备内的空气排尽，或未设有监测设备监测氧气含量或监测设备出现故障，则在正式生产的过程中极易与物料形成爆炸混合物，发生火灾爆炸事故；</w:t>
      </w:r>
    </w:p>
    <w:p>
      <w:pPr>
        <w:spacing w:before="156" w:after="156"/>
        <w:ind w:firstLine="420"/>
      </w:pPr>
      <w:r>
        <w:rPr>
          <w:rFonts w:hint="eastAsia"/>
        </w:rPr>
        <w:t>（</w:t>
      </w:r>
      <w:r>
        <w:t>10）在人员检修的过程中，未有其他人员在旁监护，或未挂警示牌提示，冒然开车，导致形成爆炸混合物，使人员伤亡和火灾爆炸事故。</w:t>
      </w:r>
    </w:p>
    <w:p>
      <w:pPr>
        <w:spacing w:before="156" w:after="156"/>
        <w:ind w:firstLine="420"/>
      </w:pPr>
      <w:r>
        <w:rPr>
          <w:rFonts w:hint="eastAsia"/>
        </w:rPr>
        <w:t>在生产过程中的点火源主要包括：明火、雷电、静电、电气火花、撞击摩擦火花等。</w:t>
      </w:r>
    </w:p>
    <w:p>
      <w:pPr>
        <w:spacing w:before="156" w:after="156"/>
        <w:ind w:firstLine="422"/>
        <w:rPr>
          <w:b/>
        </w:rPr>
      </w:pPr>
      <w:r>
        <w:rPr>
          <w:rFonts w:hint="eastAsia"/>
          <w:b/>
        </w:rPr>
        <w:t>明火</w:t>
      </w:r>
    </w:p>
    <w:p>
      <w:pPr>
        <w:spacing w:before="156" w:after="156"/>
        <w:ind w:firstLine="420"/>
      </w:pPr>
      <w:r>
        <w:rPr>
          <w:rFonts w:hint="eastAsia"/>
        </w:rPr>
        <w:t>主要是检修动火、吸烟等，项目检修主要有电气焊动火。</w:t>
      </w:r>
    </w:p>
    <w:p>
      <w:pPr>
        <w:spacing w:before="156" w:after="156"/>
        <w:ind w:firstLine="422"/>
        <w:rPr>
          <w:b/>
        </w:rPr>
      </w:pPr>
      <w:r>
        <w:rPr>
          <w:rFonts w:hint="eastAsia"/>
          <w:b/>
        </w:rPr>
        <w:t>雷电和静电</w:t>
      </w:r>
    </w:p>
    <w:p>
      <w:pPr>
        <w:spacing w:before="156" w:after="156"/>
        <w:ind w:firstLine="420"/>
      </w:pPr>
      <w:r>
        <w:rPr>
          <w:rFonts w:hint="eastAsia"/>
        </w:rPr>
        <w:t>项目涉及装置内配电室，所以应该考虑雷电放电产生的高温，还有其产生的感应电主要点火源。</w:t>
      </w:r>
    </w:p>
    <w:p>
      <w:pPr>
        <w:spacing w:before="156" w:after="156"/>
        <w:ind w:firstLine="420"/>
      </w:pPr>
      <w:r>
        <w:rPr>
          <w:rFonts w:hint="eastAsia"/>
        </w:rPr>
        <w:t>项目中各易燃气液体在流动的过程中可能产生静电，而且生产过程中的操作检修人员也带有静电，都有很大的潜伏性，不易发觉。</w:t>
      </w:r>
    </w:p>
    <w:p>
      <w:pPr>
        <w:spacing w:before="156" w:after="156"/>
        <w:ind w:firstLine="422"/>
        <w:rPr>
          <w:b/>
        </w:rPr>
      </w:pPr>
      <w:r>
        <w:rPr>
          <w:rFonts w:hint="eastAsia"/>
          <w:b/>
        </w:rPr>
        <w:t>电气火花</w:t>
      </w:r>
    </w:p>
    <w:p>
      <w:pPr>
        <w:spacing w:before="156" w:after="156"/>
        <w:ind w:firstLine="420"/>
      </w:pPr>
      <w:r>
        <w:rPr>
          <w:rFonts w:hint="eastAsia"/>
        </w:rPr>
        <w:t>项目涉及泵、照明灯等各项电气设备，在不防爆或安装不合理、或发生电接点接触不良、线路短路、漏电、接地、过负荷等故障，产生电火花、电弧、高热等。</w:t>
      </w:r>
    </w:p>
    <w:p>
      <w:pPr>
        <w:spacing w:before="156" w:after="156"/>
        <w:ind w:firstLine="422"/>
        <w:rPr>
          <w:b/>
        </w:rPr>
      </w:pPr>
      <w:r>
        <w:rPr>
          <w:rFonts w:hint="eastAsia"/>
          <w:b/>
        </w:rPr>
        <w:t>撞击火花</w:t>
      </w:r>
    </w:p>
    <w:p>
      <w:pPr>
        <w:spacing w:before="156" w:after="156"/>
        <w:ind w:firstLine="420"/>
      </w:pPr>
      <w:r>
        <w:rPr>
          <w:rFonts w:hint="eastAsia"/>
        </w:rPr>
        <w:t>主要是操作、检修过程中使用的工具产生撞击火花。</w:t>
      </w:r>
    </w:p>
    <w:p>
      <w:pPr>
        <w:pStyle w:val="4"/>
        <w:spacing w:before="156" w:after="156"/>
        <w:ind w:firstLine="482"/>
      </w:pPr>
      <w:bookmarkStart w:id="63" w:name="_Toc141203896"/>
      <w:bookmarkStart w:id="64" w:name="_Toc108206487"/>
      <w:r>
        <w:rPr>
          <w:rFonts w:hint="eastAsia"/>
        </w:rPr>
        <w:t>3</w:t>
      </w:r>
      <w:r>
        <w:t>.3.2</w:t>
      </w:r>
      <w:r>
        <w:rPr>
          <w:rFonts w:hint="eastAsia"/>
        </w:rPr>
        <w:t>物理爆炸（容器爆炸）危险性分析</w:t>
      </w:r>
      <w:bookmarkEnd w:id="63"/>
      <w:bookmarkEnd w:id="64"/>
    </w:p>
    <w:p>
      <w:pPr>
        <w:spacing w:before="156" w:after="156"/>
        <w:ind w:firstLine="420"/>
      </w:pPr>
      <w:r>
        <w:t>该生产过程涉及压力容器和管道，需要注意容器超压的危险。</w:t>
      </w:r>
    </w:p>
    <w:p>
      <w:pPr>
        <w:spacing w:before="156" w:after="156"/>
        <w:ind w:firstLine="420"/>
      </w:pPr>
      <w:r>
        <w:t>下面详细叙述物理爆炸的危险性分析结果：</w:t>
      </w:r>
    </w:p>
    <w:p>
      <w:pPr>
        <w:spacing w:before="156" w:after="156"/>
        <w:ind w:firstLine="420"/>
      </w:pPr>
      <w:r>
        <w:t>（1）</w:t>
      </w:r>
      <w:r>
        <w:rPr>
          <w:rFonts w:hint="eastAsia"/>
          <w:color w:val="000000" w:themeColor="text1"/>
          <w14:textFill>
            <w14:solidFill>
              <w14:schemeClr w14:val="tx1"/>
            </w14:solidFill>
          </w14:textFill>
        </w:rPr>
        <w:t>加热器、再沸器、酯化反应器、分离塔</w:t>
      </w:r>
      <w:r>
        <w:rPr>
          <w:color w:val="000000" w:themeColor="text1"/>
          <w14:textFill>
            <w14:solidFill>
              <w14:schemeClr w14:val="tx1"/>
            </w14:solidFill>
          </w14:textFill>
        </w:rPr>
        <w:t>等</w:t>
      </w:r>
      <w:r>
        <w:rPr>
          <w:rFonts w:hint="eastAsia"/>
          <w:color w:val="000000" w:themeColor="text1"/>
          <w14:textFill>
            <w14:solidFill>
              <w14:schemeClr w14:val="tx1"/>
            </w14:solidFill>
          </w14:textFill>
        </w:rPr>
        <w:t>加热容器</w:t>
      </w:r>
      <w:r>
        <w:rPr>
          <w:color w:val="000000" w:themeColor="text1"/>
          <w14:textFill>
            <w14:solidFill>
              <w14:schemeClr w14:val="tx1"/>
            </w14:solidFill>
          </w14:textFill>
        </w:rPr>
        <w:t>、压力容器、设备若没有设</w:t>
      </w:r>
      <w:r>
        <w:t>置相应的安全装置（安全阀、安全泄压装置等），或安全装置失效，很有可能引起管道和设备无法及时泄压的超压现象，然后引起容器的物理爆炸；</w:t>
      </w:r>
    </w:p>
    <w:p>
      <w:pPr>
        <w:spacing w:before="156" w:after="156"/>
        <w:ind w:firstLine="420"/>
      </w:pPr>
      <w:r>
        <w:t>（2）主要生产装置和管道因为年久腐蚀、疲劳等原因，耐压强度降低，在正常工作压力下导致物理爆炸事故；</w:t>
      </w:r>
    </w:p>
    <w:p>
      <w:pPr>
        <w:spacing w:before="156" w:after="156"/>
        <w:ind w:firstLine="420"/>
      </w:pPr>
      <w:r>
        <w:t>（3）生产过程中需要严格控制各设备的压力，例如在生产过程中回流系统出现异常，且泄压安全装置失效，可能引起某设备的压力过高，导致物理性爆炸；</w:t>
      </w:r>
    </w:p>
    <w:p>
      <w:pPr>
        <w:spacing w:before="156" w:after="156"/>
        <w:ind w:firstLine="420"/>
      </w:pPr>
      <w:r>
        <w:t>（4）在装置内需要耐高温、耐低温的各种设备可能因为在选材的过程中，选材错误，其耐高温或是耐低温的性能较差，引起其设备的耐压能力降低，引起压力爆炸事故；</w:t>
      </w:r>
    </w:p>
    <w:p>
      <w:pPr>
        <w:spacing w:before="156" w:after="156"/>
        <w:ind w:firstLine="420"/>
      </w:pPr>
      <w:r>
        <w:t>生产过程中各装置仪表损坏或是管道堵塞都可能引起容器的物理性爆炸。</w:t>
      </w:r>
    </w:p>
    <w:p>
      <w:pPr>
        <w:pStyle w:val="4"/>
        <w:spacing w:before="156" w:after="156"/>
        <w:ind w:firstLine="482"/>
      </w:pPr>
      <w:bookmarkStart w:id="65" w:name="_Toc108206488"/>
      <w:bookmarkStart w:id="66" w:name="_Toc141203897"/>
      <w:r>
        <w:rPr>
          <w:rFonts w:hint="eastAsia"/>
        </w:rPr>
        <w:t>3</w:t>
      </w:r>
      <w:r>
        <w:t>.3.3</w:t>
      </w:r>
      <w:r>
        <w:rPr>
          <w:rFonts w:hint="eastAsia"/>
        </w:rPr>
        <w:t>中毒及窒息危险性分析</w:t>
      </w:r>
      <w:bookmarkEnd w:id="65"/>
      <w:bookmarkEnd w:id="66"/>
    </w:p>
    <w:p>
      <w:pPr>
        <w:spacing w:before="156" w:after="156"/>
        <w:ind w:firstLine="420"/>
      </w:pPr>
      <w:r>
        <w:t>在本生产过程中，主要涉及的原料、中间产品和成品等基本都具有急性中毒和窒息的危险性。</w:t>
      </w:r>
    </w:p>
    <w:p>
      <w:pPr>
        <w:spacing w:before="156" w:after="156"/>
        <w:ind w:firstLine="420"/>
      </w:pPr>
      <w:r>
        <w:t>其中毒的途径主要是短时间内吸入大量高浓度泄漏的物料，或是误食。</w:t>
      </w:r>
    </w:p>
    <w:p>
      <w:pPr>
        <w:spacing w:before="156" w:after="156"/>
        <w:ind w:firstLine="420"/>
      </w:pPr>
      <w:r>
        <w:t>（1）在设备或管道密封不严、长期使用、设备缺陷或误操作造成物料泄漏，导致中毒窒息的发生。</w:t>
      </w:r>
    </w:p>
    <w:p>
      <w:pPr>
        <w:spacing w:before="156" w:after="156"/>
        <w:ind w:firstLine="420"/>
      </w:pPr>
      <w:r>
        <w:t>（2）在检修维护的过程中，操作人员个体防护不到位，不按规范操作会引起中毒窒息。</w:t>
      </w:r>
    </w:p>
    <w:p>
      <w:pPr>
        <w:spacing w:before="156" w:after="156"/>
        <w:ind w:firstLine="420"/>
      </w:pPr>
      <w:r>
        <w:t>（3）在检修停车后，未进行氮气吹扫、空气吹扫；或对可燃物含量和氧气含量监测系统发生故障，导致检修人员进入时急性中毒或窒息。</w:t>
      </w:r>
    </w:p>
    <w:p>
      <w:pPr>
        <w:spacing w:before="156" w:after="156"/>
        <w:ind w:firstLine="420"/>
      </w:pPr>
      <w:r>
        <w:t>（4）生产过程中有物料泄漏，为及时发现，现场厂区内部监测报警仪失效，造成现场泄漏浓度过高引起中毒窒息。</w:t>
      </w:r>
    </w:p>
    <w:p>
      <w:pPr>
        <w:pStyle w:val="4"/>
        <w:spacing w:before="156" w:after="156"/>
        <w:ind w:firstLine="482"/>
      </w:pPr>
      <w:bookmarkStart w:id="67" w:name="_Toc108206489"/>
      <w:bookmarkStart w:id="68" w:name="_Toc141203898"/>
      <w:r>
        <w:rPr>
          <w:rFonts w:hint="eastAsia"/>
        </w:rPr>
        <w:t>3</w:t>
      </w:r>
      <w:r>
        <w:t>.3.4</w:t>
      </w:r>
      <w:r>
        <w:rPr>
          <w:rFonts w:hint="eastAsia"/>
        </w:rPr>
        <w:t>灼烫危险性分析</w:t>
      </w:r>
      <w:bookmarkEnd w:id="67"/>
      <w:bookmarkEnd w:id="68"/>
    </w:p>
    <w:p>
      <w:pPr>
        <w:spacing w:before="156" w:after="156"/>
        <w:ind w:firstLine="420"/>
        <w:rPr>
          <w:rFonts w:ascii="宋体" w:hAnsi="宋体"/>
        </w:rPr>
      </w:pPr>
      <w:r>
        <w:rPr>
          <w:rFonts w:ascii="宋体" w:hAnsi="宋体"/>
        </w:rPr>
        <w:t>（1）该生产过程中涉及使用</w:t>
      </w:r>
      <w:r>
        <w:rPr>
          <w:rFonts w:hint="eastAsia" w:ascii="宋体" w:hAnsi="宋体"/>
        </w:rPr>
        <w:t>12</w:t>
      </w:r>
      <w:r>
        <w:rPr>
          <w:rFonts w:ascii="宋体" w:hAnsi="宋体"/>
        </w:rPr>
        <w:t>5</w:t>
      </w:r>
      <w:r>
        <w:rPr>
          <w:rFonts w:hint="eastAsia" w:ascii="宋体" w:hAnsi="宋体"/>
        </w:rPr>
        <w:t>℃的饱和</w:t>
      </w:r>
      <w:r>
        <w:rPr>
          <w:rFonts w:ascii="宋体" w:hAnsi="宋体"/>
        </w:rPr>
        <w:t>低压蒸汽</w:t>
      </w:r>
      <w:r>
        <w:rPr>
          <w:rFonts w:hint="eastAsia" w:ascii="宋体" w:hAnsi="宋体"/>
        </w:rPr>
        <w:t>；</w:t>
      </w:r>
      <w:r>
        <w:rPr>
          <w:rFonts w:ascii="宋体" w:hAnsi="宋体"/>
        </w:rPr>
        <w:t>250</w:t>
      </w:r>
      <w:r>
        <w:rPr>
          <w:rFonts w:hint="eastAsia" w:ascii="宋体" w:hAnsi="宋体"/>
        </w:rPr>
        <w:t>℃，</w:t>
      </w:r>
      <w:r>
        <w:rPr>
          <w:rFonts w:ascii="宋体" w:hAnsi="宋体"/>
        </w:rPr>
        <w:t>4</w:t>
      </w:r>
      <w:r>
        <w:rPr>
          <w:rFonts w:hint="eastAsia" w:ascii="宋体" w:hAnsi="宋体"/>
        </w:rPr>
        <w:t>MPa的中</w:t>
      </w:r>
      <w:r>
        <w:rPr>
          <w:rFonts w:ascii="宋体" w:hAnsi="宋体"/>
        </w:rPr>
        <w:t>压蒸汽</w:t>
      </w:r>
      <w:r>
        <w:rPr>
          <w:rFonts w:hint="eastAsia" w:ascii="宋体" w:hAnsi="宋体"/>
        </w:rPr>
        <w:t>，以及</w:t>
      </w:r>
      <w:r>
        <w:rPr>
          <w:rFonts w:ascii="宋体" w:hAnsi="宋体"/>
        </w:rPr>
        <w:t>换热器、再沸器等各类用热设备，同样涉及各类塔（表面温度均超过60</w:t>
      </w:r>
      <w:r>
        <w:rPr>
          <w:rFonts w:hint="eastAsia" w:ascii="宋体" w:hAnsi="宋体"/>
        </w:rPr>
        <w:t>℃</w:t>
      </w:r>
      <w:r>
        <w:rPr>
          <w:rFonts w:ascii="宋体" w:hAnsi="宋体"/>
        </w:rPr>
        <w:t>可致使人员烫伤的温度），部分相连管道、阀门、法兰温度较高。人员在操作过程中可能因为失误、不规范操作造成灼、烫伤害；</w:t>
      </w:r>
    </w:p>
    <w:p>
      <w:pPr>
        <w:spacing w:before="156" w:after="156"/>
        <w:ind w:firstLine="420"/>
        <w:rPr>
          <w:rFonts w:ascii="宋体" w:hAnsi="宋体"/>
        </w:rPr>
      </w:pPr>
      <w:r>
        <w:rPr>
          <w:rFonts w:ascii="宋体" w:hAnsi="宋体"/>
        </w:rPr>
        <w:t>（2）泵在运行过程中机械件损坏造成泵体损坏，发生泄漏，引起人员灼伤</w:t>
      </w:r>
      <w:r>
        <w:rPr>
          <w:rFonts w:hint="eastAsia" w:ascii="宋体" w:hAnsi="宋体"/>
        </w:rPr>
        <w:t>；</w:t>
      </w:r>
    </w:p>
    <w:p>
      <w:pPr>
        <w:spacing w:before="156" w:after="156"/>
        <w:ind w:firstLine="420"/>
        <w:rPr>
          <w:rFonts w:ascii="宋体" w:hAnsi="宋体"/>
        </w:rPr>
      </w:pPr>
      <w:r>
        <w:rPr>
          <w:rFonts w:ascii="宋体" w:hAnsi="宋体"/>
        </w:rPr>
        <w:t>（3）未做或不按要求做雷击防范措施，雷击会引起人员触电事故；</w:t>
      </w:r>
    </w:p>
    <w:p>
      <w:pPr>
        <w:spacing w:before="156" w:after="156"/>
        <w:ind w:firstLine="420"/>
        <w:rPr>
          <w:rFonts w:ascii="宋体" w:hAnsi="宋体"/>
        </w:rPr>
      </w:pPr>
      <w:r>
        <w:rPr>
          <w:rFonts w:ascii="宋体" w:hAnsi="宋体"/>
        </w:rPr>
        <w:t>（4）电器设备、材料本身有缺陷，或设备保护接地失效，可能引起触电；</w:t>
      </w:r>
    </w:p>
    <w:p>
      <w:pPr>
        <w:spacing w:before="156" w:after="156"/>
        <w:ind w:firstLine="420"/>
        <w:rPr>
          <w:rFonts w:ascii="宋体" w:hAnsi="宋体"/>
        </w:rPr>
      </w:pPr>
      <w:r>
        <w:rPr>
          <w:rFonts w:ascii="宋体" w:hAnsi="宋体"/>
        </w:rPr>
        <w:t>（5）非电气人员进行电气操作、电气设备标识不明引起触电事故。</w:t>
      </w:r>
    </w:p>
    <w:p>
      <w:pPr>
        <w:spacing w:before="156" w:after="156"/>
        <w:ind w:firstLine="420"/>
        <w:rPr>
          <w:rFonts w:ascii="宋体" w:hAnsi="宋体"/>
        </w:rPr>
      </w:pPr>
      <w:r>
        <w:rPr>
          <w:rFonts w:ascii="宋体" w:hAnsi="宋体"/>
        </w:rPr>
        <w:t>其中触电事故类型主要有：人直接与带电体接触、与绝缘损坏的电气设备接触、与带电体的距离小于安全距离、跨步电压触电。</w:t>
      </w:r>
    </w:p>
    <w:p>
      <w:pPr>
        <w:spacing w:before="156" w:after="156"/>
        <w:ind w:firstLine="420"/>
        <w:rPr>
          <w:rFonts w:ascii="宋体" w:hAnsi="宋体"/>
        </w:rPr>
      </w:pPr>
      <w:r>
        <w:rPr>
          <w:rFonts w:ascii="宋体" w:hAnsi="宋体"/>
        </w:rPr>
        <w:t>在本项目中，存在的主要电气危险因素归纳如下：</w:t>
      </w:r>
    </w:p>
    <w:p>
      <w:pPr>
        <w:spacing w:before="156" w:after="156"/>
        <w:ind w:firstLine="420"/>
        <w:rPr>
          <w:rFonts w:ascii="宋体" w:hAnsi="宋体"/>
        </w:rPr>
      </w:pPr>
      <w:r>
        <w:rPr>
          <w:rFonts w:ascii="宋体" w:hAnsi="宋体"/>
        </w:rPr>
        <w:t>a.设备故障：可造成人员伤害及财产损失；</w:t>
      </w:r>
    </w:p>
    <w:p>
      <w:pPr>
        <w:spacing w:before="156" w:after="156"/>
        <w:ind w:firstLine="420"/>
        <w:rPr>
          <w:rFonts w:ascii="宋体" w:hAnsi="宋体"/>
        </w:rPr>
      </w:pPr>
      <w:r>
        <w:rPr>
          <w:rFonts w:ascii="宋体" w:hAnsi="宋体"/>
        </w:rPr>
        <w:t>b.输电线路故障：如线路断路、短路等造成触电事故或设备损坏；</w:t>
      </w:r>
    </w:p>
    <w:p>
      <w:pPr>
        <w:spacing w:before="156" w:after="156"/>
        <w:ind w:firstLine="420"/>
        <w:rPr>
          <w:rFonts w:ascii="宋体" w:hAnsi="宋体"/>
        </w:rPr>
      </w:pPr>
      <w:r>
        <w:rPr>
          <w:rFonts w:ascii="宋体" w:hAnsi="宋体"/>
        </w:rPr>
        <w:t>c.带电体裸露：设备或线路绝缘性能不良造成人员伤害；</w:t>
      </w:r>
    </w:p>
    <w:p>
      <w:pPr>
        <w:spacing w:before="156" w:after="156"/>
        <w:ind w:firstLine="420"/>
        <w:rPr>
          <w:rFonts w:ascii="宋体" w:hAnsi="宋体"/>
        </w:rPr>
      </w:pPr>
      <w:r>
        <w:rPr>
          <w:rFonts w:ascii="宋体" w:hAnsi="宋体"/>
        </w:rPr>
        <w:t>d.电气设备或输电线路短路或故障造成监控失灵或电气火灾；</w:t>
      </w:r>
    </w:p>
    <w:p>
      <w:pPr>
        <w:spacing w:before="156" w:after="156"/>
        <w:ind w:firstLine="420"/>
        <w:rPr>
          <w:rFonts w:ascii="宋体" w:hAnsi="宋体"/>
        </w:rPr>
      </w:pPr>
      <w:r>
        <w:rPr>
          <w:rFonts w:ascii="宋体" w:hAnsi="宋体"/>
        </w:rPr>
        <w:t>e.工作人员对电气设备的误操作引发事故。</w:t>
      </w:r>
    </w:p>
    <w:p>
      <w:pPr>
        <w:pStyle w:val="4"/>
        <w:spacing w:before="156" w:after="156"/>
        <w:ind w:firstLine="482"/>
      </w:pPr>
      <w:bookmarkStart w:id="69" w:name="_Toc108206490"/>
      <w:bookmarkStart w:id="70" w:name="_Toc141203899"/>
      <w:r>
        <w:rPr>
          <w:rFonts w:hint="eastAsia"/>
        </w:rPr>
        <w:t>3</w:t>
      </w:r>
      <w:r>
        <w:t>.3.5</w:t>
      </w:r>
      <w:r>
        <w:rPr>
          <w:rFonts w:hint="eastAsia"/>
        </w:rPr>
        <w:t>高处坠落危险性分析</w:t>
      </w:r>
      <w:bookmarkEnd w:id="69"/>
      <w:bookmarkEnd w:id="70"/>
    </w:p>
    <w:p>
      <w:pPr>
        <w:spacing w:before="156" w:after="156"/>
        <w:ind w:firstLine="420"/>
      </w:pPr>
      <w:r>
        <w:t>装置区内需要高处检修作业的需要，所以存在有高处坠落的危险</w:t>
      </w:r>
    </w:p>
    <w:p>
      <w:pPr>
        <w:spacing w:before="156" w:after="156"/>
        <w:ind w:firstLine="420"/>
      </w:pPr>
      <w:r>
        <w:t>（1）高处作业有洞无盖、临边无栏，无脚手架、板，不小心造成坠落；</w:t>
      </w:r>
    </w:p>
    <w:p>
      <w:pPr>
        <w:spacing w:before="156" w:after="156"/>
        <w:ind w:firstLine="420"/>
      </w:pPr>
      <w:r>
        <w:t>（2）梯子无防滑措施，或强度不够、固定不牢造成跌落；</w:t>
      </w:r>
    </w:p>
    <w:p>
      <w:pPr>
        <w:spacing w:before="156" w:after="156"/>
        <w:ind w:firstLine="420"/>
      </w:pPr>
      <w:r>
        <w:t>（3）高处行道、塔杆、贮罐扶梯、管线架桥及护栏等锈蚀，或强度不够造成坠落；</w:t>
      </w:r>
    </w:p>
    <w:p>
      <w:pPr>
        <w:spacing w:before="156" w:after="156"/>
        <w:ind w:firstLine="420"/>
      </w:pPr>
      <w:r>
        <w:t>（4）检修操作人员未穿防滑鞋或防护用品穿戴不当，或未系安全带或安全带挂结不可靠、或安全带、安全网损坏或不合格造成滑跌坠落；</w:t>
      </w:r>
    </w:p>
    <w:p>
      <w:pPr>
        <w:spacing w:before="156" w:after="156"/>
        <w:ind w:firstLine="420"/>
      </w:pPr>
      <w:r>
        <w:t>（5）检修人员在大风、暴雨、雷电、霜冻、积雪条件下登高作业，不慎跌落；</w:t>
      </w:r>
    </w:p>
    <w:p>
      <w:pPr>
        <w:spacing w:before="156" w:after="156"/>
        <w:ind w:firstLine="420"/>
      </w:pPr>
      <w:r>
        <w:t>（6）检修人员在进入塔、罐之前未进行氮气吹扫、空气吹扫，吸入有毒、有害气体或氧气不足、身体不适造成跌落；</w:t>
      </w:r>
    </w:p>
    <w:p>
      <w:pPr>
        <w:spacing w:before="156" w:after="156"/>
        <w:ind w:firstLine="420"/>
      </w:pPr>
      <w:r>
        <w:t>（7）操作、检修人员在作业时情绪不稳定，疲劳作业、身体有疾病、工作时精力不集中，或嬉戏打闹造成高处坠落。</w:t>
      </w:r>
    </w:p>
    <w:p>
      <w:pPr>
        <w:pStyle w:val="4"/>
        <w:spacing w:before="156" w:after="156"/>
        <w:ind w:firstLine="482"/>
      </w:pPr>
      <w:bookmarkStart w:id="71" w:name="_Toc141203900"/>
      <w:bookmarkStart w:id="72" w:name="_Toc108206491"/>
      <w:r>
        <w:rPr>
          <w:rFonts w:hint="eastAsia"/>
        </w:rPr>
        <w:t>3</w:t>
      </w:r>
      <w:r>
        <w:t>.3.6</w:t>
      </w:r>
      <w:r>
        <w:rPr>
          <w:rFonts w:hint="eastAsia"/>
        </w:rPr>
        <w:t>机械伤害（机泵）危险性分析</w:t>
      </w:r>
      <w:bookmarkEnd w:id="71"/>
      <w:bookmarkEnd w:id="72"/>
    </w:p>
    <w:p>
      <w:pPr>
        <w:spacing w:before="156" w:after="156"/>
        <w:ind w:firstLine="420"/>
      </w:pPr>
      <w:r>
        <w:t>在装置区内，有多台机泵，而且机泵的种类也涉及很多，在人员检修和在旁边操作的过程中有可能会出现机泵对操作、检修人员的机械伤害（绞、割、碾、碰、挤、戳，伤及人体）</w:t>
      </w:r>
      <w:r>
        <w:rPr>
          <w:rFonts w:hint="eastAsia"/>
        </w:rPr>
        <w:t>。</w:t>
      </w:r>
    </w:p>
    <w:p>
      <w:pPr>
        <w:spacing w:before="156" w:after="156"/>
        <w:ind w:firstLine="420"/>
      </w:pPr>
      <w:r>
        <w:t>（1）操作人员在生产检查、维修设备时，不注意而被碰、割、戳、碾、挤；</w:t>
      </w:r>
    </w:p>
    <w:p>
      <w:pPr>
        <w:spacing w:before="156" w:after="156"/>
        <w:ind w:firstLine="420"/>
      </w:pPr>
      <w:r>
        <w:t>（2）操作人员的衣物等被绞入转动设备，造成人员的机械伤害；</w:t>
      </w:r>
    </w:p>
    <w:p>
      <w:pPr>
        <w:spacing w:before="156" w:after="156"/>
        <w:ind w:firstLine="420"/>
      </w:pPr>
      <w:r>
        <w:t>（3）机泵的旋转、往复、滑动等部分出现事故，飞出撞击伤人；</w:t>
      </w:r>
    </w:p>
    <w:p>
      <w:pPr>
        <w:spacing w:before="156" w:after="156"/>
        <w:ind w:firstLine="420"/>
      </w:pPr>
      <w:r>
        <w:t>（4）操作人员在工作时注意力不集中，或劳动防护用品未正确穿戴，或违章作业导致受到机泵的伤害。</w:t>
      </w:r>
    </w:p>
    <w:p>
      <w:pPr>
        <w:pStyle w:val="4"/>
        <w:spacing w:before="156" w:after="156"/>
        <w:ind w:firstLine="482"/>
      </w:pPr>
      <w:bookmarkStart w:id="73" w:name="_Toc141203901"/>
      <w:bookmarkStart w:id="74" w:name="_Toc108206492"/>
      <w:r>
        <w:rPr>
          <w:rFonts w:hint="eastAsia"/>
        </w:rPr>
        <w:t>3</w:t>
      </w:r>
      <w:r>
        <w:t>.3.7</w:t>
      </w:r>
      <w:r>
        <w:rPr>
          <w:rFonts w:hint="eastAsia"/>
        </w:rPr>
        <w:t>开停车、检维修危险性分析</w:t>
      </w:r>
      <w:bookmarkEnd w:id="73"/>
      <w:bookmarkEnd w:id="74"/>
    </w:p>
    <w:p>
      <w:pPr>
        <w:spacing w:before="156" w:after="156"/>
        <w:ind w:firstLine="420"/>
      </w:pPr>
      <w:r>
        <w:t>据统计，化工生产设备检修过程中，由于种种原因经常发生各类检修人身伤害事故。从某公司历史上人身伤害事故的统计资料分析，检修过程中发生的事故占75％以上，如1990</w:t>
      </w:r>
      <w:r>
        <w:rPr>
          <w:rFonts w:hint="eastAsia"/>
        </w:rPr>
        <w:t>-</w:t>
      </w:r>
      <w:r>
        <w:t>2000年共发生人身工伤事故74人次，有56人次是检修过程中发生的，占事故总人次的</w:t>
      </w:r>
      <w:r>
        <w:rPr>
          <w:rFonts w:hint="eastAsia"/>
        </w:rPr>
        <w:t>76.67</w:t>
      </w:r>
      <w:r>
        <w:t>％。所以在生产过程中，开停车、检维修过程是一个很重要的部分，而且也是相对操作人员来说伤害最大的，应特别提出分析。</w:t>
      </w:r>
    </w:p>
    <w:p>
      <w:pPr>
        <w:spacing w:before="156" w:after="156"/>
        <w:ind w:firstLine="420"/>
      </w:pPr>
      <w:r>
        <w:t>（1）停车检修时未进行氮气、空气吹扫，导致装置内易燃物未排至安全浓度，人员在检修过程中，可能会动用电气焊或产生撞击摩擦火花造成火灾爆炸；</w:t>
      </w:r>
    </w:p>
    <w:p>
      <w:pPr>
        <w:spacing w:before="156" w:after="156"/>
        <w:ind w:firstLine="420"/>
      </w:pPr>
      <w:r>
        <w:t>（2）开车生产前，未用氮气惰性气体进行吹扫，将管道、设备内的空气排尽，或未设有监测设备监测氧气含量或监测设备出现故障，则在正式开车生产的过程中空气极易与物料形成爆炸混合物，发生火灾爆炸事故；</w:t>
      </w:r>
    </w:p>
    <w:p>
      <w:pPr>
        <w:spacing w:before="156" w:after="156"/>
        <w:ind w:firstLine="420"/>
      </w:pPr>
      <w:r>
        <w:t>（3）在停车后检维修前，未进行氮气吹扫、空气吹扫；或对可燃物含量和氧气含量监测系统发生故障，或检维修过程中检维修人员未带防护用具，或不安规范操作，导致检修人员进入时急性中毒或窒息；</w:t>
      </w:r>
    </w:p>
    <w:p>
      <w:pPr>
        <w:spacing w:before="156" w:after="156"/>
        <w:ind w:firstLine="420"/>
      </w:pPr>
      <w:r>
        <w:t>（4）检维修过程中，有高处操作作业，若未做足安全保护措施，或检维修作业人员麻痹大意、不按规范操作则有可能造成高处坠落的危险；</w:t>
      </w:r>
    </w:p>
    <w:p>
      <w:pPr>
        <w:spacing w:before="156" w:after="156"/>
        <w:ind w:firstLine="420"/>
      </w:pPr>
      <w:r>
        <w:t>（5）在人员检修的过程中，未有其他人员在旁监护，或未挂警示牌提示，贸然开车，导致形成爆炸混合物，使人员伤亡和火灾爆炸事故；</w:t>
      </w:r>
    </w:p>
    <w:p>
      <w:pPr>
        <w:spacing w:before="156" w:after="156"/>
        <w:ind w:firstLine="420"/>
      </w:pPr>
      <w:r>
        <w:t>（6）检维修完毕之后，开车前未检查盲板数量、操作人员数目等，冒然开车，导致人员伤亡、火灾爆炸事故的发生；</w:t>
      </w:r>
    </w:p>
    <w:p>
      <w:pPr>
        <w:spacing w:before="156" w:after="156"/>
        <w:ind w:firstLine="420"/>
      </w:pPr>
      <w:r>
        <w:t>（7）在管理制度上缺少动火令制度等危险作业制度，或缺少盲板管理制度等物资管理制度则有可能引起事故的发生，具有潜在的危险性。</w:t>
      </w:r>
    </w:p>
    <w:p>
      <w:pPr>
        <w:pStyle w:val="4"/>
        <w:spacing w:before="156" w:after="156"/>
        <w:ind w:firstLine="482"/>
      </w:pPr>
      <w:bookmarkStart w:id="75" w:name="_Toc141203902"/>
      <w:bookmarkStart w:id="76" w:name="_Toc108206493"/>
      <w:r>
        <w:rPr>
          <w:rFonts w:hint="eastAsia"/>
        </w:rPr>
        <w:t>3</w:t>
      </w:r>
      <w:r>
        <w:t>.3.8</w:t>
      </w:r>
      <w:r>
        <w:rPr>
          <w:rFonts w:hint="eastAsia"/>
        </w:rPr>
        <w:t>其他伤害—噪音伤害</w:t>
      </w:r>
      <w:bookmarkEnd w:id="75"/>
      <w:bookmarkEnd w:id="76"/>
    </w:p>
    <w:p>
      <w:pPr>
        <w:spacing w:before="156" w:after="156"/>
        <w:ind w:firstLine="420"/>
      </w:pPr>
      <w:r>
        <w:t>装置区内主要涉及的噪音伤害主要来自各类机泵发出的噪声对在装置区里工作的人员的伤害</w:t>
      </w:r>
    </w:p>
    <w:p>
      <w:pPr>
        <w:spacing w:before="156" w:after="156"/>
        <w:ind w:firstLine="420"/>
      </w:pPr>
      <w:r>
        <w:t>（1）作业人员在泵房或机泵旁噪声强度大的地点长时间作业；</w:t>
      </w:r>
    </w:p>
    <w:p>
      <w:pPr>
        <w:spacing w:before="156" w:after="156"/>
        <w:ind w:firstLine="420"/>
      </w:pPr>
      <w:r>
        <w:t>（2）机泵没有减振、降噪设施，或减振、降噪设施无效；</w:t>
      </w:r>
    </w:p>
    <w:p>
      <w:pPr>
        <w:spacing w:before="156" w:after="156"/>
        <w:ind w:firstLine="420"/>
      </w:pPr>
      <w:r>
        <w:t>（3）操作人员未戴个体护耳器；因故、或故意不戴护耳器；无护耳器，或护耳器无效（选型不当；使用不当；护耳器已经失效）；工作人员在这样的情况下长时间工作后，造成噪音对人体的伤害</w:t>
      </w:r>
      <w:r>
        <w:rPr>
          <w:rFonts w:hint="eastAsia"/>
        </w:rPr>
        <w:t>。</w:t>
      </w:r>
    </w:p>
    <w:p>
      <w:pPr>
        <w:pStyle w:val="3"/>
        <w:spacing w:before="156" w:after="156"/>
        <w:ind w:firstLine="562"/>
      </w:pPr>
      <w:bookmarkStart w:id="77" w:name="_Toc141203903"/>
      <w:bookmarkStart w:id="78" w:name="_Toc108206494"/>
      <w:r>
        <w:rPr>
          <w:rFonts w:hint="eastAsia"/>
        </w:rPr>
        <w:t>3</w:t>
      </w:r>
      <w:r>
        <w:t>.4</w:t>
      </w:r>
      <w:r>
        <w:rPr>
          <w:rFonts w:hint="eastAsia"/>
        </w:rPr>
        <w:t>工艺过程中的危险、有害因素分析</w:t>
      </w:r>
      <w:bookmarkEnd w:id="77"/>
      <w:bookmarkEnd w:id="78"/>
    </w:p>
    <w:p>
      <w:pPr>
        <w:spacing w:before="156" w:after="156"/>
        <w:ind w:firstLine="420"/>
      </w:pPr>
      <w:r>
        <w:rPr>
          <w:rFonts w:hint="eastAsia"/>
        </w:rPr>
        <w:t>本项目</w:t>
      </w:r>
      <w:r>
        <w:t>的工艺过程中涉及到的主要工艺有加热、冷凝、冷却、气体分离、回流等；涉及到的主要设备有机泵、换热器、精馏塔等；</w:t>
      </w:r>
      <w:r>
        <w:rPr>
          <w:rFonts w:hint="eastAsia"/>
        </w:rPr>
        <w:t>乙炔属于易燃易爆物，又有些物质具有强烈</w:t>
      </w:r>
      <w:r>
        <w:t>刺激性、</w:t>
      </w:r>
      <w:r>
        <w:rPr>
          <w:rFonts w:hint="eastAsia"/>
        </w:rPr>
        <w:t>窒息性、毒性等。如果系统的工作参数温度、压力、流量、液位等偏离较大，可能会带来严重的后果。</w:t>
      </w:r>
      <w:r>
        <w:t>如果系统的工作参数温度、压力、流量、液位等偏离较大，可能会带来严重的后果。此生产工艺具有典型的化工生产特点，企业具有大量电气设备，所以该项目生产过程中存在火灾、爆炸、中毒、灼伤、触电等危险有害因素。此外，企业中使用的加热器、精馏塔、压力管道、冷凝器、回流罐、再沸器、冷却器、换热器等均属于特种设备，易造成各种类型的事故发生。</w:t>
      </w:r>
    </w:p>
    <w:p>
      <w:pPr>
        <w:pStyle w:val="4"/>
        <w:spacing w:before="156" w:after="156"/>
        <w:ind w:firstLine="482"/>
      </w:pPr>
      <w:bookmarkStart w:id="79" w:name="_Toc141203904"/>
      <w:bookmarkStart w:id="80" w:name="_Toc108206495"/>
      <w:r>
        <w:rPr>
          <w:rFonts w:hint="eastAsia"/>
        </w:rPr>
        <w:t>3</w:t>
      </w:r>
      <w:r>
        <w:t>.4.1</w:t>
      </w:r>
      <w:r>
        <w:rPr>
          <w:rFonts w:hint="eastAsia"/>
        </w:rPr>
        <w:t>温度失控</w:t>
      </w:r>
      <w:bookmarkEnd w:id="79"/>
      <w:bookmarkEnd w:id="80"/>
    </w:p>
    <w:p>
      <w:pPr>
        <w:pStyle w:val="5"/>
        <w:spacing w:before="156" w:after="156"/>
        <w:ind w:firstLine="560"/>
      </w:pPr>
      <w:r>
        <w:t>3.4.1.1</w:t>
      </w:r>
      <w:r>
        <w:rPr>
          <w:rFonts w:hint="eastAsia"/>
        </w:rPr>
        <w:t>可能引发温度失控的危险因素</w:t>
      </w:r>
    </w:p>
    <w:p>
      <w:pPr>
        <w:spacing w:before="156" w:after="156"/>
        <w:ind w:firstLine="420"/>
      </w:pPr>
      <w:r>
        <w:t>（1）冷却、冷凝用的冷却水不能中断，否则，热量不能及时导出，致使系统温度过高；</w:t>
      </w:r>
    </w:p>
    <w:p>
      <w:pPr>
        <w:spacing w:before="156" w:after="156"/>
        <w:ind w:firstLine="420"/>
      </w:pPr>
      <w:r>
        <w:t>（2）随着加热的进行，温度升高过快，并且没有严格控制温度上升的上限和升温的速度；</w:t>
      </w:r>
    </w:p>
    <w:p>
      <w:pPr>
        <w:spacing w:before="156" w:after="156"/>
        <w:ind w:firstLine="420"/>
      </w:pPr>
      <w:r>
        <w:t>（3）再沸器开始工作时，若没有先打开塔顶冷凝器的冷却水，然后再通蒸汽加热，可能造成精馏塔内温度过高；</w:t>
      </w:r>
    </w:p>
    <w:p>
      <w:pPr>
        <w:spacing w:before="156" w:after="156"/>
        <w:ind w:firstLine="420"/>
      </w:pPr>
      <w:r>
        <w:t>（4）停车时没有先停止进料，再停再沸器，停止产品采出，降压降温后再停冷却水；</w:t>
      </w:r>
    </w:p>
    <w:p>
      <w:pPr>
        <w:spacing w:before="156" w:after="156"/>
        <w:ind w:firstLine="420"/>
      </w:pPr>
      <w:r>
        <w:rPr>
          <w:rFonts w:hint="eastAsia"/>
        </w:rPr>
        <w:t>（5）</w:t>
      </w:r>
      <w:r>
        <w:t>再沸器的热源要控制好流量，若流速过快，而导致精馏塔内的温度升高，在冷却系统无法将温度回复正常的情况下，可能会引起系统内温度过高；</w:t>
      </w:r>
    </w:p>
    <w:p>
      <w:pPr>
        <w:spacing w:before="156" w:after="156"/>
        <w:ind w:firstLine="420"/>
      </w:pPr>
      <w:r>
        <w:t>（6）再沸器内部容易结垢，很容易造成局部受热不均匀；</w:t>
      </w:r>
    </w:p>
    <w:p>
      <w:pPr>
        <w:spacing w:before="156" w:after="156"/>
        <w:ind w:firstLine="420"/>
      </w:pPr>
      <w:r>
        <w:t>（7）机泵在运行过程会发热发烫，因机泵本身的质量问题影响散热，或区域内通风不良，造成机泵内温度远远高于正常值；</w:t>
      </w:r>
    </w:p>
    <w:p>
      <w:pPr>
        <w:spacing w:before="156" w:after="156"/>
        <w:ind w:firstLine="420"/>
      </w:pPr>
      <w:r>
        <w:t>（8）离心泵滑动轴承使用的是透明油作润滑剂，在水泵运行过程中轴承的温度最高可达85</w:t>
      </w:r>
      <w:r>
        <w:rPr>
          <w:rFonts w:hint="eastAsia"/>
        </w:rPr>
        <w:t>℃</w:t>
      </w:r>
      <w:r>
        <w:t>，一般运行也在60</w:t>
      </w:r>
      <w:r>
        <w:rPr>
          <w:rFonts w:hint="eastAsia"/>
        </w:rPr>
        <w:t>℃</w:t>
      </w:r>
      <w:r>
        <w:t>左右，润滑剂太少，轴承会因过热而烧坏；</w:t>
      </w:r>
    </w:p>
    <w:p>
      <w:pPr>
        <w:spacing w:before="156" w:after="156"/>
        <w:ind w:firstLine="420"/>
      </w:pPr>
      <w:r>
        <w:t>（9）因气候原因，输送物料的管道内温度过低；</w:t>
      </w:r>
    </w:p>
    <w:p>
      <w:pPr>
        <w:spacing w:before="156" w:after="156"/>
        <w:ind w:firstLine="420"/>
      </w:pPr>
      <w:r>
        <w:rPr>
          <w:rFonts w:hint="eastAsia"/>
        </w:rPr>
        <w:t>（1</w:t>
      </w:r>
      <w:r>
        <w:t>0</w:t>
      </w:r>
      <w:r>
        <w:rPr>
          <w:rFonts w:hint="eastAsia"/>
        </w:rPr>
        <w:t>）</w:t>
      </w:r>
      <w:r>
        <w:t>热交换不充分，换热器骤冷骤热。</w:t>
      </w:r>
    </w:p>
    <w:p>
      <w:pPr>
        <w:pStyle w:val="5"/>
        <w:spacing w:before="156" w:after="156"/>
        <w:ind w:firstLine="560"/>
      </w:pPr>
      <w:r>
        <w:rPr>
          <w:rFonts w:hint="eastAsia"/>
        </w:rPr>
        <w:t>3</w:t>
      </w:r>
      <w:r>
        <w:t>.4.1.2</w:t>
      </w:r>
      <w:r>
        <w:rPr>
          <w:rFonts w:hint="eastAsia"/>
        </w:rPr>
        <w:t>温度失控的后果</w:t>
      </w:r>
    </w:p>
    <w:p>
      <w:pPr>
        <w:spacing w:before="156" w:after="156"/>
        <w:ind w:firstLine="420"/>
      </w:pPr>
      <w:r>
        <w:t>（1）温度过高的后果：</w:t>
      </w:r>
    </w:p>
    <w:p>
      <w:pPr>
        <w:spacing w:before="156" w:after="156"/>
        <w:ind w:firstLine="420"/>
      </w:pPr>
      <w:r>
        <w:t>a.造成物料焦化</w:t>
      </w:r>
      <w:r>
        <w:rPr>
          <w:rFonts w:hint="eastAsia"/>
        </w:rPr>
        <w:t>，</w:t>
      </w:r>
      <w:r>
        <w:t>反应不能进行；</w:t>
      </w:r>
    </w:p>
    <w:p>
      <w:pPr>
        <w:spacing w:before="156" w:after="156"/>
        <w:ind w:firstLine="420"/>
      </w:pPr>
      <w:r>
        <w:t>b.使气体迅速膨胀，造成设备或管道内压力过高而发生物理爆炸事故；</w:t>
      </w:r>
    </w:p>
    <w:p>
      <w:pPr>
        <w:spacing w:before="156" w:after="156"/>
        <w:ind w:firstLine="420"/>
      </w:pPr>
      <w:r>
        <w:t>c.未冷凝的危险气体外逸排空，可能导致燃烧或爆炸事故；</w:t>
      </w:r>
    </w:p>
    <w:p>
      <w:pPr>
        <w:spacing w:before="156" w:after="156"/>
        <w:ind w:firstLine="420"/>
      </w:pPr>
      <w:r>
        <w:t>d.如果没有严格控制温度上升的上限和升温的速度，物料在机泵内容易发生冲料现象，聚集在车间内与空气形成爆炸性混合物；</w:t>
      </w:r>
    </w:p>
    <w:p>
      <w:pPr>
        <w:spacing w:before="156" w:after="156"/>
        <w:ind w:firstLine="420"/>
      </w:pPr>
      <w:r>
        <w:t>e.设备局部温度过高，容易烧坏设备，从而引发爆炸或紧急停车等事故；</w:t>
      </w:r>
    </w:p>
    <w:p>
      <w:pPr>
        <w:spacing w:before="156" w:after="156"/>
        <w:ind w:firstLine="420"/>
      </w:pPr>
      <w:r>
        <w:t>f.热交换不充分会造成能量过量积聚，导致换热器或管道等破裂、泄漏。</w:t>
      </w:r>
    </w:p>
    <w:p>
      <w:pPr>
        <w:spacing w:before="156" w:after="156"/>
        <w:ind w:firstLine="420"/>
      </w:pPr>
      <w:r>
        <w:t>（2）温度过低的后果：</w:t>
      </w:r>
    </w:p>
    <w:p>
      <w:pPr>
        <w:spacing w:before="156" w:after="156"/>
        <w:ind w:firstLine="420"/>
      </w:pPr>
      <w:r>
        <w:t>a.原料气进入精馏塔内的温度过低，可导致产品质量达不到要求；</w:t>
      </w:r>
    </w:p>
    <w:p>
      <w:pPr>
        <w:spacing w:before="156" w:after="156"/>
        <w:ind w:firstLine="420"/>
      </w:pPr>
      <w:r>
        <w:t>b.管道内温度太低，液化合成气中带有的水分冷凝并结冰堵塞管道。</w:t>
      </w:r>
    </w:p>
    <w:p>
      <w:pPr>
        <w:pStyle w:val="4"/>
        <w:spacing w:before="156" w:after="156"/>
        <w:ind w:firstLine="482"/>
      </w:pPr>
      <w:bookmarkStart w:id="81" w:name="_Toc108206496"/>
      <w:bookmarkStart w:id="82" w:name="_Toc141203905"/>
      <w:r>
        <w:rPr>
          <w:rFonts w:hint="eastAsia"/>
        </w:rPr>
        <w:t>3</w:t>
      </w:r>
      <w:r>
        <w:t>.4.2</w:t>
      </w:r>
      <w:r>
        <w:rPr>
          <w:rFonts w:hint="eastAsia"/>
        </w:rPr>
        <w:t>压力失控</w:t>
      </w:r>
      <w:bookmarkEnd w:id="81"/>
      <w:bookmarkEnd w:id="82"/>
    </w:p>
    <w:p>
      <w:pPr>
        <w:pStyle w:val="5"/>
        <w:spacing w:before="156" w:after="156"/>
        <w:ind w:firstLine="560"/>
      </w:pPr>
      <w:r>
        <w:rPr>
          <w:rFonts w:hint="eastAsia"/>
        </w:rPr>
        <w:t>3</w:t>
      </w:r>
      <w:r>
        <w:t>.4.2.1</w:t>
      </w:r>
      <w:r>
        <w:rPr>
          <w:rFonts w:hint="eastAsia"/>
        </w:rPr>
        <w:t>可能引起压力失控的危险因素</w:t>
      </w:r>
    </w:p>
    <w:p>
      <w:pPr>
        <w:spacing w:before="156" w:after="156"/>
        <w:ind w:firstLine="420"/>
      </w:pPr>
      <w:r>
        <w:t>（1）若冷凝和冷却所用的冷却水中断，反应热不能及时导出，致使系统内气体因温度升高而膨胀，使压力过高；</w:t>
      </w:r>
    </w:p>
    <w:p>
      <w:pPr>
        <w:spacing w:before="156" w:after="156"/>
        <w:ind w:firstLine="420"/>
      </w:pPr>
      <w:r>
        <w:t>（2）加热器和再沸器加热过程中物料温度升高，液化气迅速汽化或者气体膨胀过快，压力剧增；</w:t>
      </w:r>
    </w:p>
    <w:p>
      <w:pPr>
        <w:spacing w:before="156" w:after="156"/>
        <w:ind w:firstLine="420"/>
      </w:pPr>
      <w:r>
        <w:t>（3）液环泵的气缸可能因物料流量过大，从而导致气缸内压力过高；</w:t>
      </w:r>
    </w:p>
    <w:p>
      <w:pPr>
        <w:spacing w:before="156" w:after="156"/>
        <w:ind w:firstLine="420"/>
      </w:pPr>
      <w:r>
        <w:t>（4）在往复泵工作过程中严禁用出口阀调节流量，否则可能造成缸内压力急剧变化；</w:t>
      </w:r>
    </w:p>
    <w:p>
      <w:pPr>
        <w:spacing w:before="156" w:after="156"/>
        <w:ind w:firstLine="420"/>
      </w:pPr>
      <w:r>
        <w:t>（5）再沸器开始工作时，若没有先打开塔顶冷凝器的冷却水，可能会造成物料温度过高或设备内部压力剧增；</w:t>
      </w:r>
    </w:p>
    <w:p>
      <w:pPr>
        <w:spacing w:before="156" w:after="156"/>
        <w:ind w:firstLine="420"/>
      </w:pPr>
      <w:r>
        <w:t>（6）在停车时，也要先停止进料，再停止冷却，否则也会造成温度和压力剧增的情况出现；</w:t>
      </w:r>
    </w:p>
    <w:p>
      <w:pPr>
        <w:spacing w:before="156" w:after="156"/>
        <w:ind w:firstLine="420"/>
      </w:pPr>
      <w:r>
        <w:t>（7）再沸器的热源要控制好流量，若流速过快，而导致精馏塔内的温度升高，在冷却系统无法将温度回复正常的情况下，可能会造成压力过大的现象；</w:t>
      </w:r>
    </w:p>
    <w:p>
      <w:pPr>
        <w:spacing w:before="156" w:after="156"/>
        <w:ind w:firstLine="420"/>
      </w:pPr>
      <w:r>
        <w:t>（8）机泵、精馏塔、换热器等设备因为年久腐蚀、疲劳等原因，耐压强度降低，在正常工作压力下导致物理爆炸事故。</w:t>
      </w:r>
    </w:p>
    <w:p>
      <w:pPr>
        <w:pStyle w:val="5"/>
        <w:spacing w:before="156" w:after="156"/>
        <w:ind w:firstLine="560"/>
      </w:pPr>
      <w:r>
        <w:rPr>
          <w:rFonts w:hint="eastAsia"/>
        </w:rPr>
        <w:t>3</w:t>
      </w:r>
      <w:r>
        <w:t>.4.2.2</w:t>
      </w:r>
      <w:r>
        <w:rPr>
          <w:rFonts w:hint="eastAsia"/>
        </w:rPr>
        <w:t>压力失控的后果</w:t>
      </w:r>
    </w:p>
    <w:p>
      <w:pPr>
        <w:spacing w:before="156" w:after="156"/>
        <w:ind w:firstLine="420"/>
      </w:pPr>
      <w:r>
        <w:t>（1）压力过高可能引发的后果</w:t>
      </w:r>
    </w:p>
    <w:p>
      <w:pPr>
        <w:spacing w:before="156" w:after="156"/>
        <w:ind w:firstLine="420"/>
      </w:pPr>
      <w:r>
        <w:t>若设备或管道内压力过高，超过设备的强度极限，在压力控制系统无力挽回的情况下，会发生压力容器爆炸。</w:t>
      </w:r>
    </w:p>
    <w:p>
      <w:pPr>
        <w:spacing w:before="156" w:after="156"/>
        <w:ind w:firstLine="420"/>
      </w:pPr>
      <w:r>
        <w:rPr>
          <w:rFonts w:hint="eastAsia"/>
        </w:rPr>
        <w:t>（2）</w:t>
      </w:r>
      <w:r>
        <w:t>该工艺系统不会有设备内压力过低的情况出现。</w:t>
      </w:r>
    </w:p>
    <w:p>
      <w:pPr>
        <w:pStyle w:val="4"/>
        <w:spacing w:before="156" w:after="156"/>
        <w:ind w:firstLine="482"/>
      </w:pPr>
      <w:bookmarkStart w:id="83" w:name="_Toc141203906"/>
      <w:bookmarkStart w:id="84" w:name="_Toc108206497"/>
      <w:r>
        <w:t>3.4.3</w:t>
      </w:r>
      <w:r>
        <w:rPr>
          <w:rFonts w:hint="eastAsia"/>
        </w:rPr>
        <w:t>流量失控</w:t>
      </w:r>
      <w:bookmarkEnd w:id="83"/>
      <w:bookmarkEnd w:id="84"/>
    </w:p>
    <w:p>
      <w:pPr>
        <w:pStyle w:val="5"/>
        <w:spacing w:before="156" w:after="156"/>
        <w:ind w:firstLine="560"/>
      </w:pPr>
      <w:r>
        <w:rPr>
          <w:rFonts w:hint="eastAsia"/>
        </w:rPr>
        <w:t>3</w:t>
      </w:r>
      <w:r>
        <w:t>.4.3.1</w:t>
      </w:r>
      <w:r>
        <w:rPr>
          <w:rFonts w:hint="eastAsia"/>
        </w:rPr>
        <w:t>可能引起流量失控的危险因素</w:t>
      </w:r>
    </w:p>
    <w:p>
      <w:pPr>
        <w:spacing w:before="156" w:after="156"/>
        <w:ind w:firstLine="420"/>
      </w:pPr>
      <w:r>
        <w:t>（1）工作人员调节流量阀时操作失误，将流量调节得过大或过小；</w:t>
      </w:r>
    </w:p>
    <w:p>
      <w:pPr>
        <w:spacing w:before="156" w:after="156"/>
        <w:ind w:firstLine="420"/>
      </w:pPr>
      <w:r>
        <w:t>（2）管道或设备内产生了泄漏，使得管道或设备内流量减小；</w:t>
      </w:r>
    </w:p>
    <w:p>
      <w:pPr>
        <w:spacing w:before="156" w:after="156"/>
        <w:ind w:firstLine="420"/>
      </w:pPr>
      <w:r>
        <w:rPr>
          <w:rFonts w:hint="eastAsia"/>
        </w:rPr>
        <w:t>（3）</w:t>
      </w:r>
      <w:r>
        <w:t>在往复泵工作过程中用出口阀调节流量。</w:t>
      </w:r>
    </w:p>
    <w:p>
      <w:pPr>
        <w:pStyle w:val="5"/>
        <w:spacing w:before="156" w:after="156"/>
        <w:ind w:firstLine="560"/>
      </w:pPr>
      <w:r>
        <w:rPr>
          <w:rFonts w:hint="eastAsia"/>
        </w:rPr>
        <w:t>3</w:t>
      </w:r>
      <w:r>
        <w:t>.4.3.2</w:t>
      </w:r>
      <w:r>
        <w:rPr>
          <w:rFonts w:hint="eastAsia"/>
        </w:rPr>
        <w:t>流量失控的后果</w:t>
      </w:r>
    </w:p>
    <w:p>
      <w:pPr>
        <w:spacing w:before="156" w:after="156"/>
        <w:ind w:firstLine="420"/>
      </w:pPr>
      <w:r>
        <w:t>1）流量过大可能引发的后果：</w:t>
      </w:r>
    </w:p>
    <w:p>
      <w:pPr>
        <w:spacing w:before="156" w:after="156"/>
        <w:ind w:firstLine="420"/>
      </w:pPr>
      <w:r>
        <w:t>a.管道内、或泵内的易燃物质，在流速过大而且没有做防静电措施时，可能产生静电积聚，引起静电火花造成物质点燃，导致火灾；</w:t>
      </w:r>
    </w:p>
    <w:p>
      <w:pPr>
        <w:spacing w:before="156" w:after="156"/>
        <w:ind w:firstLine="420"/>
      </w:pPr>
      <w:r>
        <w:t>b.物料进入泵、罐、塔内的物料流速过快，流量很大，造成设备内物料积聚太多，压力超过极限值而引发物理爆炸事故；</w:t>
      </w:r>
    </w:p>
    <w:p>
      <w:pPr>
        <w:spacing w:before="156" w:after="156"/>
        <w:ind w:firstLine="420"/>
      </w:pPr>
      <w:r>
        <w:t>c.液环泵的气缸强度比较小，较易因物料流量过大，压力过高而爆炸；</w:t>
      </w:r>
    </w:p>
    <w:p>
      <w:pPr>
        <w:spacing w:before="156" w:after="156"/>
        <w:ind w:firstLine="420"/>
      </w:pPr>
      <w:r>
        <w:t>d.若进入精馏塔的物料速度过快，在塔顶的冷却系统无法将物料冷却；</w:t>
      </w:r>
    </w:p>
    <w:p>
      <w:pPr>
        <w:spacing w:before="156" w:after="156"/>
        <w:ind w:firstLine="420"/>
      </w:pPr>
      <w:r>
        <w:t>e.若回流泵的流量过快，造成回流罐内储量过大，压力超过极限值而爆炸</w:t>
      </w:r>
      <w:r>
        <w:rPr>
          <w:rFonts w:hint="eastAsia"/>
        </w:rPr>
        <w:t>。</w:t>
      </w:r>
    </w:p>
    <w:p>
      <w:pPr>
        <w:spacing w:before="156" w:after="156"/>
        <w:ind w:firstLine="420"/>
      </w:pPr>
      <w:r>
        <w:rPr>
          <w:rFonts w:hint="eastAsia"/>
        </w:rPr>
        <w:t>（2）</w:t>
      </w:r>
      <w:r>
        <w:t>流量过小可能引发的后果：流量过小时，达不到规定的分离要求。</w:t>
      </w:r>
    </w:p>
    <w:p>
      <w:pPr>
        <w:pStyle w:val="4"/>
        <w:spacing w:before="156" w:after="156"/>
        <w:ind w:firstLine="482"/>
      </w:pPr>
      <w:bookmarkStart w:id="85" w:name="_Toc141203907"/>
      <w:bookmarkStart w:id="86" w:name="_Toc108206498"/>
      <w:r>
        <w:rPr>
          <w:rFonts w:hint="eastAsia"/>
        </w:rPr>
        <w:t>3</w:t>
      </w:r>
      <w:r>
        <w:t>.4.4</w:t>
      </w:r>
      <w:r>
        <w:rPr>
          <w:rFonts w:hint="eastAsia"/>
        </w:rPr>
        <w:t>液位失控</w:t>
      </w:r>
      <w:bookmarkEnd w:id="85"/>
      <w:bookmarkEnd w:id="86"/>
    </w:p>
    <w:p>
      <w:pPr>
        <w:pStyle w:val="5"/>
        <w:spacing w:before="156" w:after="156"/>
        <w:ind w:firstLine="560"/>
      </w:pPr>
      <w:r>
        <w:rPr>
          <w:rFonts w:hint="eastAsia"/>
        </w:rPr>
        <w:t>3</w:t>
      </w:r>
      <w:r>
        <w:t>.4.4.1</w:t>
      </w:r>
      <w:r>
        <w:rPr>
          <w:rFonts w:hint="eastAsia"/>
        </w:rPr>
        <w:t>可能引起液位失控的危险因素</w:t>
      </w:r>
    </w:p>
    <w:p>
      <w:pPr>
        <w:spacing w:before="156" w:after="156"/>
        <w:ind w:firstLine="420"/>
      </w:pPr>
      <w:r>
        <w:t>（1）原料含有一定的水分，原料中的水在低温中可能会生成烃类水化物，水化物是水和烃类的固溶体，如果温度压力适中，而且有充分的水量，固态水化物会不断地生成，直到将阀门堵塞，从而引起假液位；</w:t>
      </w:r>
    </w:p>
    <w:p>
      <w:pPr>
        <w:spacing w:before="156" w:after="156"/>
        <w:ind w:firstLine="420"/>
      </w:pPr>
      <w:r>
        <w:t>（2）液位计的连接管和针型阀不畅通造成假液位；</w:t>
      </w:r>
    </w:p>
    <w:p>
      <w:pPr>
        <w:spacing w:before="156" w:after="156"/>
        <w:ind w:firstLine="420"/>
      </w:pPr>
      <w:r>
        <w:t>（3）若液位检测系统失效，造成装置内物料输入过量；</w:t>
      </w:r>
    </w:p>
    <w:p>
      <w:pPr>
        <w:spacing w:before="156" w:after="156"/>
        <w:ind w:firstLine="420"/>
      </w:pPr>
      <w:r>
        <w:rPr>
          <w:rFonts w:hint="eastAsia"/>
        </w:rPr>
        <w:t>（4）</w:t>
      </w:r>
      <w:r>
        <w:t>液位控制系统硬件设备选型不当、质量存在问题或控制软件不适合工艺要求。</w:t>
      </w:r>
    </w:p>
    <w:p>
      <w:pPr>
        <w:pStyle w:val="5"/>
        <w:spacing w:before="156" w:after="156"/>
        <w:ind w:firstLine="560"/>
      </w:pPr>
      <w:r>
        <w:rPr>
          <w:rFonts w:hint="eastAsia"/>
        </w:rPr>
        <w:t>3</w:t>
      </w:r>
      <w:r>
        <w:t>.4.4.2</w:t>
      </w:r>
      <w:r>
        <w:rPr>
          <w:rFonts w:hint="eastAsia"/>
        </w:rPr>
        <w:t>液位失控的后果</w:t>
      </w:r>
    </w:p>
    <w:p>
      <w:pPr>
        <w:spacing w:before="156" w:after="156"/>
        <w:ind w:firstLine="420"/>
      </w:pPr>
      <w:r>
        <w:t>假</w:t>
      </w:r>
      <w:r>
        <w:rPr>
          <w:rFonts w:hint="eastAsia"/>
        </w:rPr>
        <w:t>设</w:t>
      </w:r>
      <w:r>
        <w:t>液位会使得罐、塔内超装，造成物料冒液；如果满液后，温度继续升高，可产生爆炸事故。</w:t>
      </w:r>
    </w:p>
    <w:p>
      <w:pPr>
        <w:pStyle w:val="3"/>
        <w:spacing w:before="156" w:after="156"/>
        <w:ind w:firstLine="562"/>
      </w:pPr>
      <w:bookmarkStart w:id="87" w:name="_Toc108206499"/>
      <w:bookmarkStart w:id="88" w:name="_Toc141203908"/>
      <w:r>
        <w:rPr>
          <w:rFonts w:hint="eastAsia"/>
        </w:rPr>
        <w:t>3</w:t>
      </w:r>
      <w:r>
        <w:t>.5</w:t>
      </w:r>
      <w:r>
        <w:rPr>
          <w:rFonts w:hint="eastAsia"/>
        </w:rPr>
        <w:t>其他危险、有害因素分析</w:t>
      </w:r>
      <w:bookmarkEnd w:id="87"/>
      <w:bookmarkEnd w:id="88"/>
    </w:p>
    <w:p>
      <w:pPr>
        <w:pStyle w:val="4"/>
        <w:spacing w:before="156" w:after="156"/>
        <w:ind w:firstLine="482"/>
      </w:pPr>
      <w:bookmarkStart w:id="89" w:name="_Toc141203909"/>
      <w:bookmarkStart w:id="90" w:name="_Toc108206500"/>
      <w:r>
        <w:t>3.5.1</w:t>
      </w:r>
      <w:r>
        <w:rPr>
          <w:rFonts w:hint="eastAsia"/>
        </w:rPr>
        <w:t>公用工程</w:t>
      </w:r>
      <w:bookmarkEnd w:id="89"/>
      <w:bookmarkEnd w:id="90"/>
    </w:p>
    <w:p>
      <w:pPr>
        <w:pStyle w:val="5"/>
        <w:spacing w:before="156" w:after="156"/>
        <w:ind w:firstLine="560"/>
      </w:pPr>
      <w:r>
        <w:rPr>
          <w:rFonts w:hint="eastAsia"/>
        </w:rPr>
        <w:t>3</w:t>
      </w:r>
      <w:r>
        <w:t>.5.1</w:t>
      </w:r>
      <w:r>
        <w:rPr>
          <w:rFonts w:hint="eastAsia"/>
        </w:rPr>
        <w:t>供水工程</w:t>
      </w:r>
    </w:p>
    <w:p>
      <w:pPr>
        <w:spacing w:before="156" w:after="156"/>
        <w:ind w:firstLine="420"/>
      </w:pPr>
      <w:r>
        <w:t>气体分离装置中多次使用循环水冷却器，因设备腐蚀或其他设备缺陷，</w:t>
      </w:r>
      <w:r>
        <w:rPr>
          <w:rFonts w:hint="eastAsia"/>
        </w:rPr>
        <w:t>高压气体</w:t>
      </w:r>
      <w:r>
        <w:t>不慎进入水系统后，压力突然释放，将导致冷却器发生爆炸，进而也会引起火灾爆炸危险。</w:t>
      </w:r>
    </w:p>
    <w:p>
      <w:pPr>
        <w:pStyle w:val="5"/>
        <w:spacing w:before="156" w:after="156"/>
        <w:ind w:firstLine="560"/>
      </w:pPr>
      <w:r>
        <w:rPr>
          <w:rFonts w:hint="eastAsia"/>
        </w:rPr>
        <w:t>3</w:t>
      </w:r>
      <w:r>
        <w:t>.5.2</w:t>
      </w:r>
      <w:r>
        <w:rPr>
          <w:rFonts w:hint="eastAsia"/>
        </w:rPr>
        <w:t>供气工程</w:t>
      </w:r>
    </w:p>
    <w:p>
      <w:pPr>
        <w:spacing w:before="156" w:after="156"/>
        <w:ind w:firstLine="420"/>
      </w:pPr>
      <w:r>
        <w:rPr>
          <w:rFonts w:hint="eastAsia"/>
        </w:rPr>
        <w:t>本装置涉及</w:t>
      </w:r>
      <w:r>
        <w:t>的供气工程主要是蒸汽供气</w:t>
      </w:r>
      <w:r>
        <w:rPr>
          <w:rFonts w:hint="eastAsia"/>
        </w:rPr>
        <w:t>和液化天然气</w:t>
      </w:r>
      <w:r>
        <w:t>供气。</w:t>
      </w:r>
    </w:p>
    <w:p>
      <w:pPr>
        <w:spacing w:before="156" w:after="156"/>
        <w:ind w:firstLine="420"/>
      </w:pPr>
      <w:r>
        <w:rPr>
          <w:rFonts w:hint="eastAsia"/>
        </w:rPr>
        <w:t>火灾</w:t>
      </w:r>
      <w:r>
        <w:t>爆炸危险性分析</w:t>
      </w:r>
    </w:p>
    <w:p>
      <w:pPr>
        <w:spacing w:before="156" w:after="156"/>
        <w:ind w:firstLine="420"/>
      </w:pPr>
      <w:r>
        <w:t>风（空气）中携大量氧气，因管网腐蚀或其他管道缺陷以及人员的误操作，致使液化气泄漏，与风供气系统中的空气形成爆炸性气体，发生化学性爆炸，并引发火灾。（非净化风中还含有较多杂质，更危险。）</w:t>
      </w:r>
    </w:p>
    <w:p>
      <w:pPr>
        <w:spacing w:before="156" w:after="156"/>
        <w:ind w:firstLine="422"/>
        <w:rPr>
          <w:b/>
        </w:rPr>
      </w:pPr>
      <w:r>
        <w:rPr>
          <w:rFonts w:hint="eastAsia"/>
          <w:b/>
        </w:rPr>
        <w:t>灼烫</w:t>
      </w:r>
      <w:r>
        <w:rPr>
          <w:b/>
        </w:rPr>
        <w:t>危险因素分析</w:t>
      </w:r>
    </w:p>
    <w:p>
      <w:pPr>
        <w:spacing w:before="156" w:after="156"/>
        <w:ind w:firstLine="420"/>
      </w:pPr>
      <w:r>
        <w:t>蒸汽有较高的温度，管道裸露处存在灼烫危险。因管道腐蚀或其他缺陷发生蒸汽泄漏，对人员会造成严重的灼烫伤害。</w:t>
      </w:r>
    </w:p>
    <w:p>
      <w:pPr>
        <w:spacing w:before="156" w:after="156"/>
        <w:ind w:firstLine="422"/>
        <w:rPr>
          <w:b/>
        </w:rPr>
      </w:pPr>
      <w:r>
        <w:rPr>
          <w:rFonts w:hint="eastAsia"/>
          <w:b/>
        </w:rPr>
        <w:t>中毒和</w:t>
      </w:r>
      <w:r>
        <w:rPr>
          <w:b/>
        </w:rPr>
        <w:t>窒息</w:t>
      </w:r>
    </w:p>
    <w:p>
      <w:pPr>
        <w:spacing w:before="156" w:after="156"/>
        <w:ind w:firstLine="420"/>
      </w:pPr>
      <w:r>
        <w:t>用于吹扫装置的氮气泄漏后会造成人员窒息和氮中毒。</w:t>
      </w:r>
    </w:p>
    <w:p>
      <w:pPr>
        <w:pStyle w:val="5"/>
        <w:spacing w:before="156" w:after="156"/>
        <w:ind w:firstLine="560"/>
      </w:pPr>
      <w:r>
        <w:rPr>
          <w:rFonts w:hint="eastAsia"/>
        </w:rPr>
        <w:t>3</w:t>
      </w:r>
      <w:r>
        <w:t>.5.3</w:t>
      </w:r>
      <w:r>
        <w:rPr>
          <w:rFonts w:hint="eastAsia"/>
        </w:rPr>
        <w:t>供电工程</w:t>
      </w:r>
    </w:p>
    <w:p>
      <w:pPr>
        <w:spacing w:before="156" w:after="156"/>
        <w:ind w:firstLine="420"/>
      </w:pPr>
      <w:r>
        <w:rPr>
          <w:rFonts w:hint="eastAsia"/>
        </w:rPr>
        <w:t>本装置涉及</w:t>
      </w:r>
      <w:r>
        <w:t>的供电工程主要是指配电室和外部</w:t>
      </w:r>
      <w:r>
        <w:rPr>
          <w:rFonts w:hint="eastAsia"/>
        </w:rPr>
        <w:t>电缆</w:t>
      </w:r>
      <w:r>
        <w:t>。</w:t>
      </w:r>
    </w:p>
    <w:p>
      <w:pPr>
        <w:spacing w:before="156" w:after="156"/>
        <w:ind w:firstLine="420"/>
      </w:pPr>
      <w:r>
        <w:rPr>
          <w:rFonts w:hint="eastAsia"/>
        </w:rPr>
        <w:t>火灾</w:t>
      </w:r>
      <w:r>
        <w:t>爆炸危险性分析</w:t>
      </w:r>
    </w:p>
    <w:p>
      <w:pPr>
        <w:spacing w:before="156" w:after="156"/>
        <w:ind w:firstLine="420"/>
      </w:pPr>
      <w:r>
        <w:rPr>
          <w:rFonts w:hint="eastAsia"/>
        </w:rPr>
        <w:t>（1）</w:t>
      </w:r>
      <w:r>
        <w:t>配电室内各类电气设备存在因短路或失控而发生电气火灾的危险</w:t>
      </w:r>
      <w:r>
        <w:rPr>
          <w:rFonts w:hint="eastAsia"/>
        </w:rPr>
        <w:t>。</w:t>
      </w:r>
    </w:p>
    <w:p>
      <w:pPr>
        <w:spacing w:before="156" w:after="156"/>
        <w:ind w:firstLine="420"/>
      </w:pPr>
      <w:r>
        <w:rPr>
          <w:rFonts w:hint="eastAsia"/>
        </w:rPr>
        <w:t>（2）</w:t>
      </w:r>
      <w:r>
        <w:t>外部动力电缆和控制电缆也易发热产生火灾，且电缆具有着火猛、燃烧快、易于蔓延等特点，并可导致相关电气设备和装置烧毁，进而引发更危险的爆炸事故。</w:t>
      </w:r>
    </w:p>
    <w:p>
      <w:pPr>
        <w:spacing w:before="156" w:after="156"/>
        <w:ind w:firstLine="420"/>
      </w:pPr>
      <w:r>
        <w:t>主要的危险因素有：</w:t>
      </w:r>
    </w:p>
    <w:p>
      <w:pPr>
        <w:spacing w:before="156" w:after="156"/>
        <w:ind w:firstLine="420"/>
      </w:pPr>
      <w:r>
        <w:t>a.电缆质量不好，未采用阻燃材料</w:t>
      </w:r>
      <w:r>
        <w:rPr>
          <w:rFonts w:hint="eastAsia"/>
        </w:rPr>
        <w:t>；</w:t>
      </w:r>
    </w:p>
    <w:p>
      <w:pPr>
        <w:spacing w:before="156" w:after="156"/>
        <w:ind w:firstLine="420"/>
      </w:pPr>
      <w:r>
        <w:t>b.虽采用阻燃材料，但由于与高温体接触或绝缘老化破坏、受水浸渍，电缆接地或短路，继电保护未动作发生火灾</w:t>
      </w:r>
      <w:r>
        <w:rPr>
          <w:rFonts w:hint="eastAsia"/>
        </w:rPr>
        <w:t>；</w:t>
      </w:r>
    </w:p>
    <w:p>
      <w:pPr>
        <w:spacing w:before="156" w:after="156"/>
        <w:ind w:firstLine="420"/>
      </w:pPr>
      <w:r>
        <w:t>c.铺设电缆密集的封闭通道场所存在易燃品，绝缘层过热或遇到漏电火花等点火源</w:t>
      </w:r>
      <w:r>
        <w:rPr>
          <w:rFonts w:hint="eastAsia"/>
        </w:rPr>
        <w:t>；</w:t>
      </w:r>
    </w:p>
    <w:p>
      <w:pPr>
        <w:spacing w:before="156" w:after="156"/>
        <w:ind w:firstLine="420"/>
      </w:pPr>
      <w:r>
        <w:t>d.电缆中间连接接头处不紧，电流过大局部过热自燃；电缆头相间距过小，导致闪络放电起火</w:t>
      </w:r>
      <w:r>
        <w:rPr>
          <w:rFonts w:hint="eastAsia"/>
        </w:rPr>
        <w:t>；</w:t>
      </w:r>
    </w:p>
    <w:p>
      <w:pPr>
        <w:spacing w:before="156" w:after="156"/>
        <w:ind w:firstLine="420"/>
      </w:pPr>
      <w:r>
        <w:t>e.电缆防护层受到机械性损伤，造成气隙引起局部放电，电弧使电缆发生树纹状裂纹，导致接地短路，发生火灾</w:t>
      </w:r>
      <w:r>
        <w:rPr>
          <w:rFonts w:hint="eastAsia"/>
        </w:rPr>
        <w:t>；</w:t>
      </w:r>
    </w:p>
    <w:p>
      <w:pPr>
        <w:spacing w:before="156" w:after="156"/>
        <w:ind w:firstLine="420"/>
      </w:pPr>
      <w:r>
        <w:t>f.开关故障发生爆炸引起母线短路导致电缆起火</w:t>
      </w:r>
      <w:r>
        <w:rPr>
          <w:rFonts w:hint="eastAsia"/>
        </w:rPr>
        <w:t>；</w:t>
      </w:r>
    </w:p>
    <w:p>
      <w:pPr>
        <w:spacing w:before="156" w:after="156"/>
        <w:ind w:firstLine="420"/>
      </w:pPr>
      <w:r>
        <w:t>g.电缆隔热、散热不良，过载等引起电缆发热。</w:t>
      </w:r>
    </w:p>
    <w:p>
      <w:pPr>
        <w:spacing w:before="156" w:after="156"/>
        <w:ind w:firstLine="420"/>
      </w:pPr>
      <w:r>
        <w:rPr>
          <w:rFonts w:hint="eastAsia"/>
        </w:rPr>
        <w:t>（3）</w:t>
      </w:r>
      <w:r>
        <w:t>雷击发生火灾。</w:t>
      </w:r>
    </w:p>
    <w:p>
      <w:pPr>
        <w:spacing w:before="156" w:after="156"/>
        <w:ind w:firstLine="420"/>
      </w:pPr>
      <w:r>
        <w:rPr>
          <w:rFonts w:hint="eastAsia"/>
        </w:rPr>
        <w:t>触电</w:t>
      </w:r>
    </w:p>
    <w:p>
      <w:pPr>
        <w:spacing w:before="156" w:after="156"/>
        <w:ind w:firstLine="420"/>
      </w:pPr>
      <w:r>
        <w:t>露天电器、线路经风吹日晒，可造成线路老化，锈蚀，导致绝缘失效，因而引发触电事故。</w:t>
      </w:r>
    </w:p>
    <w:p>
      <w:pPr>
        <w:pStyle w:val="4"/>
        <w:spacing w:before="156" w:after="156"/>
        <w:ind w:firstLine="482"/>
      </w:pPr>
      <w:bookmarkStart w:id="91" w:name="_Toc141203910"/>
      <w:bookmarkStart w:id="92" w:name="_Toc108206501"/>
      <w:r>
        <w:rPr>
          <w:rFonts w:hint="eastAsia"/>
        </w:rPr>
        <w:t>3</w:t>
      </w:r>
      <w:r>
        <w:t>.5.2</w:t>
      </w:r>
      <w:r>
        <w:rPr>
          <w:rFonts w:hint="eastAsia"/>
        </w:rPr>
        <w:t>周边设施</w:t>
      </w:r>
      <w:bookmarkEnd w:id="91"/>
      <w:bookmarkEnd w:id="92"/>
    </w:p>
    <w:p>
      <w:pPr>
        <w:pStyle w:val="5"/>
        <w:spacing w:before="156" w:after="156"/>
        <w:ind w:firstLine="560"/>
      </w:pPr>
      <w:r>
        <w:t>3.5.2.1</w:t>
      </w:r>
      <w:r>
        <w:rPr>
          <w:rFonts w:hint="eastAsia"/>
        </w:rPr>
        <w:t>储罐区</w:t>
      </w:r>
    </w:p>
    <w:p>
      <w:pPr>
        <w:spacing w:before="156" w:after="156"/>
        <w:ind w:firstLine="420"/>
      </w:pPr>
      <w:r>
        <w:t>（1）罐组不应毗邻布置在高于工艺装置的阶梯上，储罐区储存有大量液化石油气及其产品，装置区具有危险的操作环境，其一发生事故后，极易波及另一区域，致使事故的连环发展；</w:t>
      </w:r>
    </w:p>
    <w:p>
      <w:pPr>
        <w:spacing w:before="156" w:after="156"/>
        <w:ind w:firstLine="420"/>
      </w:pPr>
      <w:r>
        <w:t>（2）从装置区引往储罐区的管线因腐蚀或其他缺陷和意外，致使物料泄漏，发生火灾爆炸危险；</w:t>
      </w:r>
    </w:p>
    <w:p>
      <w:pPr>
        <w:spacing w:before="156" w:after="156"/>
        <w:ind w:firstLine="420"/>
      </w:pPr>
      <w:r>
        <w:t>（3）储罐进行检修时，致使空气或其他杂质通过管线引进分离装置，发生火灾爆炸危险；</w:t>
      </w:r>
    </w:p>
    <w:p>
      <w:pPr>
        <w:spacing w:before="156" w:after="156"/>
        <w:ind w:firstLine="420"/>
      </w:pPr>
      <w:r>
        <w:t>（4）因装置区与储罐区的管线上未设止逆阀，装置紧急停车后，产品物料将倒流回装置，发生火灾爆炸危险。</w:t>
      </w:r>
    </w:p>
    <w:p>
      <w:pPr>
        <w:pStyle w:val="5"/>
        <w:spacing w:before="156" w:after="156"/>
        <w:ind w:firstLine="560"/>
      </w:pPr>
      <w:r>
        <w:rPr>
          <w:rFonts w:hint="eastAsia"/>
        </w:rPr>
        <w:t>3</w:t>
      </w:r>
      <w:r>
        <w:t>.5.2.2</w:t>
      </w:r>
      <w:r>
        <w:rPr>
          <w:rFonts w:hint="eastAsia"/>
        </w:rPr>
        <w:t>办公区</w:t>
      </w:r>
    </w:p>
    <w:p>
      <w:pPr>
        <w:spacing w:before="156" w:after="156"/>
        <w:ind w:firstLine="420"/>
      </w:pPr>
      <w:r>
        <w:t>（1）办公区与装置区的安全防火间距为40m，若二者间距未达到安全距离，一旦装置区发生事故，将迅速蔓延至办公区，造成大量人员伤亡，扩大事故损失；</w:t>
      </w:r>
    </w:p>
    <w:p>
      <w:pPr>
        <w:spacing w:before="156" w:after="156"/>
        <w:ind w:firstLine="420"/>
      </w:pPr>
      <w:r>
        <w:t>（2）办公区进出的车辆的尾气排放口未安装阻火器，产生的火星一旦进入装置区，极易引发火灾爆炸事故；</w:t>
      </w:r>
    </w:p>
    <w:p>
      <w:pPr>
        <w:spacing w:before="156" w:after="156"/>
        <w:ind w:firstLine="420"/>
      </w:pPr>
      <w:r>
        <w:rPr>
          <w:rFonts w:hint="eastAsia"/>
        </w:rPr>
        <w:t>（3）</w:t>
      </w:r>
      <w:r>
        <w:t>办公区人员违反安全规章制度，发生违规使用明火等不安全行为。</w:t>
      </w:r>
    </w:p>
    <w:p>
      <w:pPr>
        <w:pStyle w:val="4"/>
        <w:spacing w:before="156" w:after="156"/>
        <w:ind w:firstLine="482"/>
      </w:pPr>
      <w:bookmarkStart w:id="93" w:name="_Toc141203911"/>
      <w:bookmarkStart w:id="94" w:name="_Toc108206502"/>
      <w:r>
        <w:rPr>
          <w:rFonts w:hint="eastAsia"/>
        </w:rPr>
        <w:t>3</w:t>
      </w:r>
      <w:r>
        <w:t>.5.3</w:t>
      </w:r>
      <w:r>
        <w:rPr>
          <w:rFonts w:hint="eastAsia"/>
        </w:rPr>
        <w:t>设施布置</w:t>
      </w:r>
      <w:bookmarkEnd w:id="93"/>
      <w:bookmarkEnd w:id="94"/>
    </w:p>
    <w:p>
      <w:pPr>
        <w:spacing w:before="156" w:after="156"/>
        <w:ind w:firstLine="420"/>
      </w:pPr>
      <w:r>
        <w:t>（1）因装置设施之间间距不符要求，未达到安全距离而相互影响，致使触电、机械伤害、火灾爆炸等事故发生；</w:t>
      </w:r>
    </w:p>
    <w:p>
      <w:pPr>
        <w:spacing w:before="156" w:after="156"/>
        <w:ind w:firstLine="420"/>
      </w:pPr>
      <w:r>
        <w:t>（2）设备之间间距过小，也会影响操作和检修的正常进行，以及应急措施的及时启用（如消防设备无法通过）。</w:t>
      </w:r>
    </w:p>
    <w:p>
      <w:pPr>
        <w:pStyle w:val="4"/>
        <w:spacing w:before="156" w:after="156"/>
        <w:ind w:firstLine="482"/>
      </w:pPr>
      <w:bookmarkStart w:id="95" w:name="_Toc108206503"/>
      <w:bookmarkStart w:id="96" w:name="_Toc141203912"/>
      <w:r>
        <w:rPr>
          <w:rFonts w:hint="eastAsia"/>
        </w:rPr>
        <w:t>3</w:t>
      </w:r>
      <w:r>
        <w:t>.5.4</w:t>
      </w:r>
      <w:r>
        <w:rPr>
          <w:rFonts w:hint="eastAsia"/>
        </w:rPr>
        <w:t>自动控制系统故障</w:t>
      </w:r>
      <w:bookmarkEnd w:id="95"/>
      <w:bookmarkEnd w:id="96"/>
    </w:p>
    <w:p>
      <w:pPr>
        <w:spacing w:before="156" w:after="156"/>
        <w:ind w:firstLine="420"/>
      </w:pPr>
      <w:r>
        <w:t>本装置</w:t>
      </w:r>
      <w:r>
        <w:rPr>
          <w:rFonts w:hint="eastAsia"/>
        </w:rPr>
        <w:t>主要</w:t>
      </w:r>
      <w:r>
        <w:t>采用集散型控制系统（DCS）</w:t>
      </w:r>
      <w:r>
        <w:rPr>
          <w:rFonts w:hint="eastAsia"/>
        </w:rPr>
        <w:t>，在主要设备上采用SIS控制。</w:t>
      </w:r>
    </w:p>
    <w:p>
      <w:pPr>
        <w:spacing w:before="156" w:after="156"/>
        <w:ind w:firstLine="420"/>
      </w:pPr>
      <w:r>
        <w:t>（1）控制室的控制计算机因意外出现故障后，将无法监测和控制生产的安全运行；</w:t>
      </w:r>
    </w:p>
    <w:p>
      <w:pPr>
        <w:spacing w:before="156" w:after="156"/>
        <w:ind w:firstLine="420"/>
      </w:pPr>
      <w:r>
        <w:t>（2）控制室的控制计算机因人为破坏或误操作，致使装置区生产失控，发生事故；</w:t>
      </w:r>
    </w:p>
    <w:p>
      <w:pPr>
        <w:spacing w:before="156" w:after="156"/>
        <w:ind w:firstLine="420"/>
      </w:pPr>
      <w:r>
        <w:t>（3）装置现场的检测器未进行定期的校验，致使监测数据出错，监控人员未能及时发现生产的异常而导致事故发生；</w:t>
      </w:r>
    </w:p>
    <w:p>
      <w:pPr>
        <w:spacing w:before="156" w:after="156"/>
        <w:ind w:firstLine="420"/>
      </w:pPr>
      <w:r>
        <w:t>（4）装置所采用的控制系统软件落后或不够精确，监控人员未能及时发现生产的异常而导致事故发生。</w:t>
      </w:r>
    </w:p>
    <w:p>
      <w:pPr>
        <w:pStyle w:val="4"/>
        <w:spacing w:before="156" w:after="156"/>
        <w:ind w:firstLine="482"/>
      </w:pPr>
      <w:bookmarkStart w:id="97" w:name="_Toc108206504"/>
      <w:bookmarkStart w:id="98" w:name="_Toc141203913"/>
      <w:r>
        <w:rPr>
          <w:rFonts w:hint="eastAsia"/>
        </w:rPr>
        <w:t>3</w:t>
      </w:r>
      <w:r>
        <w:t>.5.5</w:t>
      </w:r>
      <w:r>
        <w:rPr>
          <w:rFonts w:hint="eastAsia"/>
        </w:rPr>
        <w:t>人员及管理</w:t>
      </w:r>
      <w:bookmarkEnd w:id="97"/>
      <w:bookmarkEnd w:id="98"/>
    </w:p>
    <w:p>
      <w:pPr>
        <w:spacing w:before="156" w:after="156"/>
        <w:ind w:firstLine="420"/>
      </w:pPr>
      <w:r>
        <w:t>（1）安全管理人员不具备相关资格证书；主要负责人未落实相关责任；作业人员未进行相关培训教育（如“四新教育”）；危险化学品从业人员和特种作业人员不具备相关资质，从而发生人员的瞎指挥和误操作，导致事故的发生。</w:t>
      </w:r>
    </w:p>
    <w:p>
      <w:pPr>
        <w:spacing w:before="156" w:after="156"/>
        <w:ind w:firstLine="420"/>
      </w:pPr>
      <w:r>
        <w:t>（2）人员违反安全规章制度，发生抽烟等不安全行为。</w:t>
      </w:r>
    </w:p>
    <w:p>
      <w:pPr>
        <w:spacing w:before="156" w:after="156"/>
        <w:ind w:firstLine="420"/>
      </w:pPr>
      <w:r>
        <w:t>（3）人员进入装置区之前必须在更衣室更换掉化纤衣物，并进行接地消静电。</w:t>
      </w:r>
    </w:p>
    <w:p>
      <w:pPr>
        <w:spacing w:before="156" w:after="156"/>
        <w:ind w:firstLine="420"/>
      </w:pPr>
      <w:r>
        <w:t>（4）职业安全健康组织机构不健全。</w:t>
      </w:r>
    </w:p>
    <w:p>
      <w:pPr>
        <w:spacing w:before="156" w:after="156"/>
        <w:ind w:firstLine="420"/>
      </w:pPr>
      <w:r>
        <w:t>（5）职业安全健康责任制未落实。</w:t>
      </w:r>
    </w:p>
    <w:p>
      <w:pPr>
        <w:spacing w:before="156" w:after="156"/>
        <w:ind w:firstLine="420"/>
      </w:pPr>
      <w:r>
        <w:t>（6）职业安全健康管理规章制度不完善。</w:t>
      </w:r>
    </w:p>
    <w:p>
      <w:pPr>
        <w:spacing w:before="156" w:after="156"/>
        <w:ind w:firstLine="420"/>
      </w:pPr>
      <w:r>
        <w:rPr>
          <w:rFonts w:hint="eastAsia"/>
        </w:rPr>
        <w:t>（7）</w:t>
      </w:r>
      <w:r>
        <w:t>职业安全健康管理不完善。</w:t>
      </w:r>
    </w:p>
    <w:p>
      <w:pPr>
        <w:pStyle w:val="3"/>
        <w:spacing w:before="156" w:after="156"/>
        <w:ind w:firstLine="562"/>
      </w:pPr>
      <w:bookmarkStart w:id="99" w:name="_Toc108206505"/>
      <w:bookmarkStart w:id="100" w:name="_Toc141203914"/>
      <w:r>
        <w:rPr>
          <w:rFonts w:hint="eastAsia"/>
        </w:rPr>
        <w:t>3</w:t>
      </w:r>
      <w:r>
        <w:t>.6</w:t>
      </w:r>
      <w:r>
        <w:rPr>
          <w:rFonts w:hint="eastAsia"/>
        </w:rPr>
        <w:t>自然灾害危险性分析</w:t>
      </w:r>
      <w:bookmarkEnd w:id="99"/>
      <w:bookmarkEnd w:id="100"/>
    </w:p>
    <w:p>
      <w:pPr>
        <w:pStyle w:val="4"/>
        <w:spacing w:before="156" w:after="156"/>
        <w:ind w:firstLine="482"/>
      </w:pPr>
      <w:bookmarkStart w:id="101" w:name="_Toc108206506"/>
      <w:bookmarkStart w:id="102" w:name="_Toc141203915"/>
      <w:r>
        <w:rPr>
          <w:rFonts w:hint="eastAsia"/>
        </w:rPr>
        <w:t>3</w:t>
      </w:r>
      <w:r>
        <w:t>.6.1</w:t>
      </w:r>
      <w:r>
        <w:rPr>
          <w:rFonts w:hint="eastAsia"/>
        </w:rPr>
        <w:t>地质及地震</w:t>
      </w:r>
      <w:bookmarkEnd w:id="101"/>
      <w:bookmarkEnd w:id="102"/>
    </w:p>
    <w:p>
      <w:pPr>
        <w:spacing w:before="156" w:after="156"/>
        <w:ind w:firstLine="420"/>
      </w:pPr>
      <w:r>
        <w:rPr>
          <w:rFonts w:hint="eastAsia"/>
        </w:rPr>
        <w:t>地震是</w:t>
      </w:r>
      <w:r>
        <w:t>一种能产生巨大破坏作用的自然现象</w:t>
      </w:r>
      <w:r>
        <w:rPr>
          <w:rFonts w:hint="eastAsia"/>
        </w:rPr>
        <w:t>，</w:t>
      </w:r>
      <w:r>
        <w:t>它尤其对建筑物的破坏作用明显，作用范围大，进而威胁设备和人员的安全。根据</w:t>
      </w:r>
      <w:r>
        <w:rPr>
          <w:rFonts w:hint="eastAsia"/>
        </w:rPr>
        <w:t>《建筑</w:t>
      </w:r>
      <w:r>
        <w:t>抗震设计规范</w:t>
      </w:r>
      <w:r>
        <w:rPr>
          <w:rFonts w:hint="eastAsia"/>
        </w:rPr>
        <w:t xml:space="preserve">》（GB </w:t>
      </w:r>
      <w:r>
        <w:t>50011-2010</w:t>
      </w:r>
      <w:r>
        <w:rPr>
          <w:rFonts w:hint="eastAsia"/>
        </w:rPr>
        <w:t>）规定</w:t>
      </w:r>
      <w:r>
        <w:t>，本项目厂房产生</w:t>
      </w:r>
      <w:r>
        <w:rPr>
          <w:rFonts w:hint="eastAsia"/>
        </w:rPr>
        <w:t>6度</w:t>
      </w:r>
      <w:r>
        <w:t>以下地震对本</w:t>
      </w:r>
      <w:r>
        <w:rPr>
          <w:rFonts w:hint="eastAsia"/>
        </w:rPr>
        <w:t>项目影响</w:t>
      </w:r>
      <w:r>
        <w:t>较小。</w:t>
      </w:r>
    </w:p>
    <w:p>
      <w:pPr>
        <w:pStyle w:val="4"/>
        <w:spacing w:before="156" w:after="156"/>
        <w:ind w:firstLine="482"/>
      </w:pPr>
      <w:bookmarkStart w:id="103" w:name="_Toc108206507"/>
      <w:bookmarkStart w:id="104" w:name="_Toc141203916"/>
      <w:r>
        <w:rPr>
          <w:rFonts w:hint="eastAsia"/>
        </w:rPr>
        <w:t>3</w:t>
      </w:r>
      <w:r>
        <w:t>.6.2</w:t>
      </w:r>
      <w:r>
        <w:rPr>
          <w:rFonts w:hint="eastAsia"/>
        </w:rPr>
        <w:t>雷电</w:t>
      </w:r>
      <w:bookmarkEnd w:id="103"/>
      <w:bookmarkEnd w:id="104"/>
    </w:p>
    <w:p>
      <w:pPr>
        <w:spacing w:before="156" w:after="156"/>
        <w:ind w:firstLine="420"/>
      </w:pPr>
      <w:r>
        <w:rPr>
          <w:rFonts w:hint="eastAsia"/>
        </w:rPr>
        <w:t>雷电</w:t>
      </w:r>
      <w:r>
        <w:t>危害方式主要</w:t>
      </w:r>
      <w:r>
        <w:rPr>
          <w:rFonts w:hint="eastAsia"/>
        </w:rPr>
        <w:t>有</w:t>
      </w:r>
      <w:r>
        <w:t>：直击雷</w:t>
      </w:r>
      <w:r>
        <w:rPr>
          <w:rFonts w:hint="eastAsia"/>
        </w:rPr>
        <w:t>、</w:t>
      </w:r>
      <w:r>
        <w:t>感应雷</w:t>
      </w:r>
      <w:r>
        <w:rPr>
          <w:rFonts w:hint="eastAsia"/>
        </w:rPr>
        <w:t>、</w:t>
      </w:r>
      <w:r>
        <w:t>雷电波侵</w:t>
      </w:r>
      <w:r>
        <w:rPr>
          <w:rFonts w:hint="eastAsia"/>
        </w:rPr>
        <w:t>入</w:t>
      </w:r>
      <w:r>
        <w:t>。</w:t>
      </w:r>
    </w:p>
    <w:p>
      <w:pPr>
        <w:spacing w:before="156" w:after="156"/>
        <w:ind w:firstLine="420"/>
      </w:pPr>
      <w:r>
        <w:rPr>
          <w:rFonts w:hint="eastAsia"/>
        </w:rPr>
        <w:t>雷电</w:t>
      </w:r>
      <w:r>
        <w:t>是一种自然</w:t>
      </w:r>
      <w:r>
        <w:rPr>
          <w:rFonts w:hint="eastAsia"/>
        </w:rPr>
        <w:t>放电</w:t>
      </w:r>
      <w:r>
        <w:t>现象</w:t>
      </w:r>
      <w:r>
        <w:rPr>
          <w:rFonts w:hint="eastAsia"/>
        </w:rPr>
        <w:t>。</w:t>
      </w:r>
      <w:r>
        <w:t>本项目</w:t>
      </w:r>
      <w:r>
        <w:rPr>
          <w:rFonts w:hint="eastAsia"/>
        </w:rPr>
        <w:t>厂房</w:t>
      </w:r>
      <w:r>
        <w:t>主要是框架结构或砖混结构，生产设备、电气</w:t>
      </w:r>
      <w:r>
        <w:rPr>
          <w:rFonts w:hint="eastAsia"/>
        </w:rPr>
        <w:t>设施</w:t>
      </w:r>
      <w:r>
        <w:t>均易</w:t>
      </w:r>
      <w:r>
        <w:rPr>
          <w:rFonts w:hint="eastAsia"/>
        </w:rPr>
        <w:t>受到直击雷的</w:t>
      </w:r>
      <w:r>
        <w:t>危害，变配电装置和供电线路终端、电话</w:t>
      </w:r>
      <w:r>
        <w:rPr>
          <w:rFonts w:hint="eastAsia"/>
        </w:rPr>
        <w:t>网络线</w:t>
      </w:r>
      <w:r>
        <w:t>路也</w:t>
      </w:r>
      <w:r>
        <w:rPr>
          <w:rFonts w:hint="eastAsia"/>
        </w:rPr>
        <w:t>易</w:t>
      </w:r>
      <w:r>
        <w:t>受到雷电波的侵袭。</w:t>
      </w:r>
    </w:p>
    <w:p>
      <w:pPr>
        <w:spacing w:before="156" w:after="156"/>
        <w:ind w:firstLine="420"/>
      </w:pPr>
      <w:r>
        <w:rPr>
          <w:rFonts w:hint="eastAsia"/>
        </w:rPr>
        <w:t>雷击</w:t>
      </w:r>
      <w:r>
        <w:t>在建筑物、构筑物、线路、电力设备等物体时</w:t>
      </w:r>
      <w:r>
        <w:rPr>
          <w:rFonts w:hint="eastAsia"/>
        </w:rPr>
        <w:t>，</w:t>
      </w:r>
      <w:r>
        <w:t>会产生雷电过电压，雷电所</w:t>
      </w:r>
      <w:r>
        <w:rPr>
          <w:rFonts w:hint="eastAsia"/>
        </w:rPr>
        <w:t>波及</w:t>
      </w:r>
      <w:r>
        <w:t>的范围内，会严重损害设备并危及人身安全。</w:t>
      </w:r>
    </w:p>
    <w:p>
      <w:pPr>
        <w:spacing w:before="156" w:after="156"/>
        <w:ind w:firstLine="420"/>
      </w:pPr>
      <w:r>
        <w:rPr>
          <w:rFonts w:hint="eastAsia"/>
        </w:rPr>
        <w:t>为了</w:t>
      </w:r>
      <w:r>
        <w:t>避免雷电</w:t>
      </w:r>
      <w:r>
        <w:rPr>
          <w:rFonts w:hint="eastAsia"/>
        </w:rPr>
        <w:t>影响</w:t>
      </w:r>
      <w:r>
        <w:t>，所有高达建筑物</w:t>
      </w:r>
      <w:r>
        <w:rPr>
          <w:rFonts w:hint="eastAsia"/>
        </w:rPr>
        <w:t>、构筑物</w:t>
      </w:r>
      <w:r>
        <w:t>、高空管线及用电设备均考虑防雷接地。只要</w:t>
      </w:r>
      <w:r>
        <w:rPr>
          <w:rFonts w:hint="eastAsia"/>
        </w:rPr>
        <w:t>加强</w:t>
      </w:r>
      <w:r>
        <w:t>检查</w:t>
      </w:r>
      <w:r>
        <w:rPr>
          <w:rFonts w:hint="eastAsia"/>
        </w:rPr>
        <w:t>，</w:t>
      </w:r>
      <w:r>
        <w:t>每年委托有资质的单位进行防雷接地检测，保证防雷接地设施完好，雷击对该项目没有</w:t>
      </w:r>
      <w:r>
        <w:rPr>
          <w:rFonts w:hint="eastAsia"/>
        </w:rPr>
        <w:t>影响</w:t>
      </w:r>
      <w:r>
        <w:t>。</w:t>
      </w:r>
    </w:p>
    <w:p>
      <w:pPr>
        <w:pStyle w:val="4"/>
        <w:spacing w:before="156" w:after="156"/>
        <w:ind w:firstLine="482"/>
      </w:pPr>
      <w:bookmarkStart w:id="105" w:name="_Toc108206508"/>
      <w:bookmarkStart w:id="106" w:name="_Toc141203917"/>
      <w:r>
        <w:rPr>
          <w:rFonts w:hint="eastAsia"/>
        </w:rPr>
        <w:t>3</w:t>
      </w:r>
      <w:r>
        <w:t>.6.3</w:t>
      </w:r>
      <w:r>
        <w:rPr>
          <w:rFonts w:hint="eastAsia"/>
        </w:rPr>
        <w:t>温度</w:t>
      </w:r>
      <w:bookmarkEnd w:id="105"/>
      <w:bookmarkEnd w:id="106"/>
    </w:p>
    <w:p>
      <w:pPr>
        <w:spacing w:before="156" w:after="156"/>
        <w:ind w:firstLine="420"/>
      </w:pPr>
      <w:r>
        <w:rPr>
          <w:rFonts w:hint="eastAsia"/>
        </w:rPr>
        <w:t>重庆位于四川盆地,两江交汇之处，冬暖夏热，无霜期长，雨量充沛，属亚热带季风气候，年平均气温在1</w:t>
      </w:r>
      <w:r>
        <w:t>8</w:t>
      </w:r>
      <w:r>
        <w:rPr>
          <w:rFonts w:hint="eastAsia"/>
        </w:rPr>
        <w:t>℃左右，冬季最低气温平均在</w:t>
      </w:r>
      <w:r>
        <w:t>6-8</w:t>
      </w:r>
      <w:r>
        <w:rPr>
          <w:rFonts w:hint="eastAsia"/>
        </w:rPr>
        <w:t>℃，夏季最高为</w:t>
      </w:r>
      <w:r>
        <w:t>41.</w:t>
      </w:r>
      <w:r>
        <w:rPr>
          <w:rFonts w:hint="eastAsia"/>
        </w:rPr>
        <w:t>9℃，冬季最低-</w:t>
      </w:r>
      <w:r>
        <w:t>1.7</w:t>
      </w:r>
      <w:r>
        <w:rPr>
          <w:rFonts w:hint="eastAsia"/>
        </w:rPr>
        <w:t>℃，偶有霜冻。主要自然灾害有台风、暴雨、洪水等。</w:t>
      </w:r>
      <w:r>
        <w:t>气温</w:t>
      </w:r>
      <w:r>
        <w:rPr>
          <w:rFonts w:hint="eastAsia"/>
        </w:rPr>
        <w:t>对</w:t>
      </w:r>
      <w:r>
        <w:t>人的作用广泛，</w:t>
      </w:r>
      <w:r>
        <w:rPr>
          <w:rFonts w:hint="eastAsia"/>
        </w:rPr>
        <w:t>作用时间长</w:t>
      </w:r>
      <w:r>
        <w:t>，</w:t>
      </w:r>
      <w:r>
        <w:rPr>
          <w:rFonts w:hint="eastAsia"/>
        </w:rPr>
        <w:t>但</w:t>
      </w:r>
      <w:r>
        <w:t>其危害后果较轻。</w:t>
      </w:r>
    </w:p>
    <w:p>
      <w:pPr>
        <w:pStyle w:val="4"/>
        <w:spacing w:before="156" w:after="156"/>
        <w:ind w:firstLine="482"/>
      </w:pPr>
      <w:bookmarkStart w:id="107" w:name="_Toc141203918"/>
      <w:bookmarkStart w:id="108" w:name="_Toc108206509"/>
      <w:r>
        <w:rPr>
          <w:rFonts w:hint="eastAsia"/>
        </w:rPr>
        <w:t>3</w:t>
      </w:r>
      <w:r>
        <w:t>.6.4</w:t>
      </w:r>
      <w:r>
        <w:rPr>
          <w:rFonts w:hint="eastAsia"/>
        </w:rPr>
        <w:t>降雨</w:t>
      </w:r>
      <w:bookmarkEnd w:id="107"/>
      <w:bookmarkEnd w:id="108"/>
    </w:p>
    <w:p>
      <w:pPr>
        <w:pStyle w:val="42"/>
        <w:spacing w:before="156" w:after="156"/>
        <w:ind w:firstLine="420"/>
        <w:rPr>
          <w:rFonts w:eastAsia="宋体" w:cs="Times New Roman"/>
          <w:sz w:val="21"/>
          <w:szCs w:val="20"/>
        </w:rPr>
      </w:pPr>
      <w:r>
        <w:rPr>
          <w:rFonts w:hint="eastAsia" w:eastAsia="宋体" w:cs="Times New Roman"/>
          <w:sz w:val="21"/>
          <w:szCs w:val="20"/>
        </w:rPr>
        <w:t>一般情况下</w:t>
      </w:r>
      <w:r>
        <w:rPr>
          <w:rFonts w:eastAsia="宋体" w:cs="Times New Roman"/>
          <w:sz w:val="21"/>
          <w:szCs w:val="20"/>
        </w:rPr>
        <w:t>，降雨对建设项目不构成</w:t>
      </w:r>
      <w:r>
        <w:rPr>
          <w:rFonts w:hint="eastAsia" w:eastAsia="宋体" w:cs="Times New Roman"/>
          <w:sz w:val="21"/>
          <w:szCs w:val="20"/>
        </w:rPr>
        <w:t>有害</w:t>
      </w:r>
      <w:r>
        <w:rPr>
          <w:rFonts w:eastAsia="宋体" w:cs="Times New Roman"/>
          <w:sz w:val="21"/>
          <w:szCs w:val="20"/>
        </w:rPr>
        <w:t>影响。厂址</w:t>
      </w:r>
      <w:r>
        <w:rPr>
          <w:rFonts w:hint="eastAsia" w:eastAsia="宋体" w:cs="Times New Roman"/>
          <w:sz w:val="21"/>
          <w:szCs w:val="20"/>
        </w:rPr>
        <w:t>所在地</w:t>
      </w:r>
      <w:r>
        <w:rPr>
          <w:rFonts w:eastAsia="宋体" w:cs="Times New Roman"/>
          <w:sz w:val="21"/>
          <w:szCs w:val="20"/>
        </w:rPr>
        <w:t>由外围防护</w:t>
      </w:r>
      <w:r>
        <w:rPr>
          <w:rFonts w:hint="eastAsia" w:eastAsia="宋体" w:cs="Times New Roman"/>
          <w:sz w:val="21"/>
          <w:szCs w:val="20"/>
        </w:rPr>
        <w:t>设施</w:t>
      </w:r>
      <w:r>
        <w:rPr>
          <w:rFonts w:eastAsia="宋体" w:cs="Times New Roman"/>
          <w:sz w:val="21"/>
          <w:szCs w:val="20"/>
        </w:rPr>
        <w:t>，高于</w:t>
      </w:r>
      <w:r>
        <w:rPr>
          <w:rFonts w:hint="eastAsia" w:eastAsia="宋体" w:cs="Times New Roman"/>
          <w:sz w:val="21"/>
          <w:szCs w:val="20"/>
        </w:rPr>
        <w:t>重庆市</w:t>
      </w:r>
      <w:r>
        <w:rPr>
          <w:rFonts w:eastAsia="宋体" w:cs="Times New Roman"/>
          <w:sz w:val="21"/>
          <w:szCs w:val="20"/>
        </w:rPr>
        <w:t>市城区的防洪标准，因此淹没可能性极小。</w:t>
      </w:r>
    </w:p>
    <w:p>
      <w:pPr>
        <w:spacing w:before="156" w:after="156"/>
        <w:ind w:firstLine="420"/>
      </w:pPr>
    </w:p>
    <w:p>
      <w:pPr>
        <w:widowControl/>
        <w:autoSpaceDE/>
        <w:autoSpaceDN/>
        <w:spacing w:before="0" w:beforeLines="0" w:after="0" w:afterLines="0" w:line="240" w:lineRule="auto"/>
        <w:ind w:firstLine="0" w:firstLineChars="0"/>
      </w:pPr>
      <w:r>
        <w:br w:type="page"/>
      </w:r>
    </w:p>
    <w:p>
      <w:pPr>
        <w:pStyle w:val="2"/>
        <w:spacing w:before="156" w:after="156"/>
        <w:ind w:firstLine="883"/>
      </w:pPr>
      <w:bookmarkStart w:id="109" w:name="_Toc108206510"/>
      <w:bookmarkStart w:id="110" w:name="_Toc141203919"/>
      <w:r>
        <w:rPr>
          <w:rFonts w:hint="eastAsia"/>
        </w:rPr>
        <w:t>第四章 重大危险源辨识</w:t>
      </w:r>
      <w:bookmarkEnd w:id="109"/>
      <w:bookmarkEnd w:id="110"/>
    </w:p>
    <w:p>
      <w:pPr>
        <w:spacing w:before="156" w:after="156"/>
        <w:ind w:firstLine="420"/>
      </w:pPr>
      <w:r>
        <w:t>辨识或确认重大危险源，是防止重大事故发生的第一步。其目的不仅是预防重大事故发生，而且要做到一旦发生事故，能将事故危害限制到最低程度。</w:t>
      </w:r>
    </w:p>
    <w:p>
      <w:pPr>
        <w:spacing w:before="156" w:after="156"/>
        <w:ind w:firstLine="420"/>
      </w:pPr>
      <w:r>
        <w:rPr>
          <w:rFonts w:hint="eastAsia"/>
        </w:rPr>
        <w:t>《中华人民共和国安全生产法》第九十六条规定，重大危险源是指长期地或者重大危险源申报登记与管理临时地生产、搬运、使用或者储存危险物品，且危险物品的数量等于或者超过临界量的单元（包括场所和设施）。</w:t>
      </w:r>
    </w:p>
    <w:p>
      <w:pPr>
        <w:pStyle w:val="3"/>
        <w:spacing w:before="156" w:after="156"/>
        <w:ind w:firstLine="562"/>
      </w:pPr>
      <w:bookmarkStart w:id="111" w:name="_Toc108206511"/>
      <w:bookmarkStart w:id="112" w:name="_Toc141203920"/>
      <w:r>
        <w:rPr>
          <w:rFonts w:hint="eastAsia"/>
        </w:rPr>
        <w:t>4</w:t>
      </w:r>
      <w:r>
        <w:t>.1</w:t>
      </w:r>
      <w:r>
        <w:rPr>
          <w:rFonts w:hint="eastAsia"/>
        </w:rPr>
        <w:t>重大危险源辨识分析</w:t>
      </w:r>
      <w:bookmarkEnd w:id="111"/>
      <w:bookmarkEnd w:id="112"/>
    </w:p>
    <w:p>
      <w:pPr>
        <w:pStyle w:val="4"/>
        <w:spacing w:before="156" w:after="156"/>
        <w:ind w:firstLine="482"/>
      </w:pPr>
      <w:bookmarkStart w:id="113" w:name="_Toc108206512"/>
      <w:bookmarkStart w:id="114" w:name="_Toc141203921"/>
      <w:r>
        <w:rPr>
          <w:rFonts w:hint="eastAsia"/>
        </w:rPr>
        <w:t>4</w:t>
      </w:r>
      <w:r>
        <w:t>.1.1</w:t>
      </w:r>
      <w:r>
        <w:rPr>
          <w:rFonts w:hint="eastAsia"/>
        </w:rPr>
        <w:t>重大危险源辨识依据</w:t>
      </w:r>
      <w:bookmarkEnd w:id="113"/>
      <w:bookmarkEnd w:id="114"/>
    </w:p>
    <w:p>
      <w:pPr>
        <w:spacing w:before="156" w:after="156"/>
        <w:ind w:firstLine="420"/>
      </w:pPr>
      <w:r>
        <w:rPr>
          <w:rFonts w:hint="eastAsia"/>
        </w:rPr>
        <w:t>（1）物质类重大危险源辨识依据《危险化学品重大危险源辨识》GB18218-20</w:t>
      </w:r>
      <w:r>
        <w:t>18</w:t>
      </w:r>
      <w:r>
        <w:rPr>
          <w:rFonts w:hint="eastAsia"/>
        </w:rPr>
        <w:t>。</w:t>
      </w:r>
    </w:p>
    <w:p>
      <w:pPr>
        <w:spacing w:before="156" w:after="156"/>
        <w:ind w:firstLine="420"/>
      </w:pPr>
      <w:r>
        <w:rPr>
          <w:rFonts w:hint="eastAsia"/>
        </w:rPr>
        <w:t>（2）设备类重大危险源辨识依据《关于开展重大危险源监督管理工作的指导意见》（国家安监局安监管协调字〔2004〕56号）。</w:t>
      </w:r>
    </w:p>
    <w:p>
      <w:pPr>
        <w:spacing w:before="156" w:after="156"/>
        <w:ind w:firstLine="420"/>
      </w:pPr>
      <w:r>
        <w:rPr>
          <w:rFonts w:hint="eastAsia"/>
        </w:rPr>
        <w:t>（3）重大危险源分级判据如下图</w:t>
      </w:r>
      <w:r>
        <w:t>：</w:t>
      </w:r>
    </w:p>
    <w:p>
      <w:pPr>
        <w:pStyle w:val="39"/>
        <w:spacing w:before="156" w:after="156"/>
        <w:ind w:firstLine="420"/>
        <w:rPr>
          <w:sz w:val="18"/>
          <w:szCs w:val="18"/>
        </w:rPr>
      </w:pPr>
      <w:r>
        <w:rPr>
          <w:rFonts w:hint="eastAsia"/>
          <w:sz w:val="18"/>
          <w:szCs w:val="18"/>
        </w:rPr>
        <w:t>表4-1 重大危险源分级依据</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681"/>
        <w:gridCol w:w="4615"/>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681"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ind w:firstLine="420"/>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危险源等级</w:t>
            </w:r>
          </w:p>
        </w:tc>
        <w:tc>
          <w:tcPr>
            <w:tcW w:w="4615"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pStyle w:val="37"/>
              <w:spacing w:line="240" w:lineRule="auto"/>
              <w:ind w:firstLine="420"/>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分级</w:t>
            </w:r>
            <w:r>
              <w:rPr>
                <w:b/>
                <w:bCs/>
                <w:color w:val="FFFFFF" w:themeColor="background1"/>
                <w14:textFill>
                  <w14:solidFill>
                    <w14:schemeClr w14:val="bg1"/>
                  </w14:solidFill>
                </w14:textFill>
              </w:rPr>
              <w:t>判据（</w:t>
            </w:r>
            <w:r>
              <w:rPr>
                <w:rFonts w:hint="eastAsia"/>
                <w:b/>
                <w:bCs/>
                <w:color w:val="FFFFFF" w:themeColor="background1"/>
                <w14:textFill>
                  <w14:solidFill>
                    <w14:schemeClr w14:val="bg1"/>
                  </w14:solidFill>
                </w14:textFill>
              </w:rPr>
              <w:t>死亡人数</w:t>
            </w:r>
            <w:r>
              <w:rPr>
                <w:b/>
                <w:bCs/>
                <w:color w:val="FFFFFF" w:themeColor="background1"/>
                <w14:textFill>
                  <w14:solidFill>
                    <w14:schemeClr w14:val="bg1"/>
                  </w14:solidFill>
                </w14:textFill>
              </w:rPr>
              <w: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681" w:type="dxa"/>
            <w:shd w:val="clear" w:color="auto" w:fill="D9E2F3" w:themeFill="accent1" w:themeFillTint="33"/>
          </w:tcPr>
          <w:p>
            <w:pPr>
              <w:pStyle w:val="37"/>
              <w:spacing w:line="240" w:lineRule="auto"/>
              <w:ind w:firstLine="420"/>
              <w:rPr>
                <w:b w:val="0"/>
                <w:bCs w:val="0"/>
              </w:rPr>
            </w:pPr>
            <w:r>
              <w:rPr>
                <w:rFonts w:hint="eastAsia"/>
                <w:b w:val="0"/>
                <w:bCs/>
              </w:rPr>
              <w:t>一级</w:t>
            </w:r>
            <w:r>
              <w:rPr>
                <w:b w:val="0"/>
                <w:bCs/>
              </w:rPr>
              <w:t>重大危险源</w:t>
            </w:r>
          </w:p>
        </w:tc>
        <w:tc>
          <w:tcPr>
            <w:tcW w:w="4615" w:type="dxa"/>
            <w:shd w:val="clear" w:color="auto" w:fill="D9E2F3" w:themeFill="accent1" w:themeFillTint="33"/>
          </w:tcPr>
          <w:p>
            <w:pPr>
              <w:pStyle w:val="37"/>
              <w:spacing w:line="240" w:lineRule="auto"/>
              <w:ind w:firstLine="420"/>
            </w:pPr>
            <w:r>
              <w:rPr>
                <w:rFonts w:hint="eastAsia"/>
              </w:rPr>
              <w:t>可能</w:t>
            </w:r>
            <w:r>
              <w:t>造成</w:t>
            </w:r>
            <w:r>
              <w:rPr>
                <w:rFonts w:hint="eastAsia"/>
              </w:rPr>
              <w:t>30人</w:t>
            </w:r>
            <w:r>
              <w:t>（</w:t>
            </w:r>
            <w:r>
              <w:rPr>
                <w:rFonts w:hint="eastAsia"/>
              </w:rPr>
              <w:t>含30人</w:t>
            </w:r>
            <w:r>
              <w:t>）</w:t>
            </w:r>
            <w:r>
              <w:rPr>
                <w:rFonts w:hint="eastAsia"/>
              </w:rPr>
              <w:t>以上</w:t>
            </w:r>
            <w:r>
              <w:t>死亡</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681" w:type="dxa"/>
          </w:tcPr>
          <w:p>
            <w:pPr>
              <w:pStyle w:val="37"/>
              <w:spacing w:line="240" w:lineRule="auto"/>
              <w:ind w:firstLine="420"/>
              <w:rPr>
                <w:b w:val="0"/>
                <w:bCs w:val="0"/>
              </w:rPr>
            </w:pPr>
            <w:r>
              <w:rPr>
                <w:rFonts w:hint="eastAsia"/>
                <w:b w:val="0"/>
                <w:bCs/>
              </w:rPr>
              <w:t>二级</w:t>
            </w:r>
            <w:r>
              <w:rPr>
                <w:b w:val="0"/>
                <w:bCs/>
              </w:rPr>
              <w:t>重大危险源</w:t>
            </w:r>
          </w:p>
        </w:tc>
        <w:tc>
          <w:tcPr>
            <w:tcW w:w="4615" w:type="dxa"/>
          </w:tcPr>
          <w:p>
            <w:pPr>
              <w:pStyle w:val="37"/>
              <w:spacing w:line="240" w:lineRule="auto"/>
              <w:ind w:firstLine="420"/>
            </w:pPr>
            <w:r>
              <w:rPr>
                <w:rFonts w:hint="eastAsia"/>
              </w:rPr>
              <w:t>可能</w:t>
            </w:r>
            <w:r>
              <w:t>造成</w:t>
            </w:r>
            <w:r>
              <w:rPr>
                <w:rFonts w:hint="eastAsia"/>
              </w:rPr>
              <w:t>10</w:t>
            </w:r>
            <w:r>
              <w:t>~29</w:t>
            </w:r>
            <w:r>
              <w:rPr>
                <w:rFonts w:hint="eastAsia"/>
              </w:rPr>
              <w:t>人</w:t>
            </w:r>
            <w:r>
              <w:t>死亡</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681" w:type="dxa"/>
            <w:shd w:val="clear" w:color="auto" w:fill="D9E2F3" w:themeFill="accent1" w:themeFillTint="33"/>
          </w:tcPr>
          <w:p>
            <w:pPr>
              <w:pStyle w:val="37"/>
              <w:spacing w:line="240" w:lineRule="auto"/>
              <w:ind w:firstLine="420"/>
              <w:rPr>
                <w:b w:val="0"/>
                <w:bCs w:val="0"/>
              </w:rPr>
            </w:pPr>
            <w:r>
              <w:rPr>
                <w:rFonts w:hint="eastAsia"/>
                <w:b w:val="0"/>
                <w:bCs/>
              </w:rPr>
              <w:t>三级</w:t>
            </w:r>
            <w:r>
              <w:rPr>
                <w:b w:val="0"/>
                <w:bCs/>
              </w:rPr>
              <w:t>重大危险源</w:t>
            </w:r>
          </w:p>
        </w:tc>
        <w:tc>
          <w:tcPr>
            <w:tcW w:w="4615" w:type="dxa"/>
            <w:shd w:val="clear" w:color="auto" w:fill="D9E2F3" w:themeFill="accent1" w:themeFillTint="33"/>
          </w:tcPr>
          <w:p>
            <w:pPr>
              <w:pStyle w:val="37"/>
              <w:spacing w:line="240" w:lineRule="auto"/>
              <w:ind w:firstLine="420"/>
            </w:pPr>
            <w:r>
              <w:rPr>
                <w:rFonts w:hint="eastAsia"/>
              </w:rPr>
              <w:t>可能</w:t>
            </w:r>
            <w:r>
              <w:t>造成</w:t>
            </w:r>
            <w:r>
              <w:rPr>
                <w:rFonts w:hint="eastAsia"/>
              </w:rPr>
              <w:t>3</w:t>
            </w:r>
            <w:r>
              <w:t>~9</w:t>
            </w:r>
            <w:r>
              <w:rPr>
                <w:rFonts w:hint="eastAsia"/>
              </w:rPr>
              <w:t>人</w:t>
            </w:r>
            <w:r>
              <w:t>死亡</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681" w:type="dxa"/>
          </w:tcPr>
          <w:p>
            <w:pPr>
              <w:pStyle w:val="37"/>
              <w:spacing w:line="240" w:lineRule="auto"/>
              <w:ind w:firstLine="420"/>
              <w:rPr>
                <w:b w:val="0"/>
                <w:bCs w:val="0"/>
              </w:rPr>
            </w:pPr>
            <w:r>
              <w:rPr>
                <w:rFonts w:hint="eastAsia"/>
                <w:b w:val="0"/>
                <w:bCs/>
              </w:rPr>
              <w:t>四级</w:t>
            </w:r>
            <w:r>
              <w:rPr>
                <w:b w:val="0"/>
                <w:bCs/>
              </w:rPr>
              <w:t>重大危险源</w:t>
            </w:r>
          </w:p>
        </w:tc>
        <w:tc>
          <w:tcPr>
            <w:tcW w:w="4615" w:type="dxa"/>
          </w:tcPr>
          <w:p>
            <w:pPr>
              <w:pStyle w:val="37"/>
              <w:spacing w:line="240" w:lineRule="auto"/>
              <w:ind w:firstLine="420"/>
            </w:pPr>
            <w:r>
              <w:rPr>
                <w:rFonts w:hint="eastAsia"/>
              </w:rPr>
              <w:t>可能</w:t>
            </w:r>
            <w:r>
              <w:t>造成</w:t>
            </w:r>
            <w:r>
              <w:rPr>
                <w:rFonts w:hint="eastAsia"/>
              </w:rPr>
              <w:t>1</w:t>
            </w:r>
            <w:r>
              <w:t>~2</w:t>
            </w:r>
            <w:r>
              <w:rPr>
                <w:rFonts w:hint="eastAsia"/>
              </w:rPr>
              <w:t>人</w:t>
            </w:r>
            <w:r>
              <w:t>死亡</w:t>
            </w:r>
          </w:p>
        </w:tc>
      </w:tr>
    </w:tbl>
    <w:p>
      <w:pPr>
        <w:pStyle w:val="4"/>
        <w:spacing w:before="156" w:after="156"/>
        <w:ind w:firstLine="482"/>
      </w:pPr>
      <w:bookmarkStart w:id="115" w:name="_Toc108206513"/>
      <w:bookmarkStart w:id="116" w:name="_Toc141203922"/>
      <w:r>
        <w:rPr>
          <w:rFonts w:hint="eastAsia"/>
        </w:rPr>
        <w:t>4</w:t>
      </w:r>
      <w:r>
        <w:t>.1.2</w:t>
      </w:r>
      <w:r>
        <w:rPr>
          <w:rFonts w:hint="eastAsia"/>
        </w:rPr>
        <w:t>重大危险源辨识简介</w:t>
      </w:r>
      <w:bookmarkEnd w:id="115"/>
      <w:bookmarkEnd w:id="116"/>
    </w:p>
    <w:p>
      <w:pPr>
        <w:spacing w:before="156" w:after="156"/>
        <w:ind w:firstLine="420"/>
      </w:pPr>
      <w:r>
        <w:rPr>
          <w:rFonts w:hint="eastAsia"/>
        </w:rPr>
        <w:t>（1）《危险化学品重大危险源辨识》GB18218-20</w:t>
      </w:r>
      <w:r>
        <w:t>18</w:t>
      </w:r>
      <w:r>
        <w:rPr>
          <w:rFonts w:hint="eastAsia"/>
        </w:rPr>
        <w:t>指出：单元内存在危险化学品的数量等于或超过规定的临界量，既定为重大危险源。</w:t>
      </w:r>
    </w:p>
    <w:p>
      <w:pPr>
        <w:spacing w:before="156" w:after="156"/>
        <w:ind w:firstLine="420"/>
      </w:pPr>
      <w:r>
        <w:rPr>
          <w:rFonts w:hint="eastAsia"/>
        </w:rPr>
        <w:t>（2）《关于开展重大危险源监督管理工作的指导意见》（国家安监局安监管协调字〔2004〕56号）指出：</w:t>
      </w:r>
    </w:p>
    <w:p>
      <w:pPr>
        <w:spacing w:before="156" w:after="156"/>
        <w:ind w:firstLine="420"/>
      </w:pPr>
      <w:r>
        <w:rPr>
          <w:rFonts w:hint="eastAsia"/>
        </w:rPr>
        <w:t>1）压力管道：以下压力管道为重大危险源。</w:t>
      </w:r>
    </w:p>
    <w:p>
      <w:pPr>
        <w:spacing w:before="156" w:after="156"/>
        <w:ind w:firstLine="420"/>
      </w:pPr>
      <w:r>
        <w:rPr>
          <w:rFonts w:hint="eastAsia"/>
        </w:rPr>
        <w:t>①输送有毒、可燃、易爆气体，且设计压力大于1.6MPa的管道；</w:t>
      </w:r>
    </w:p>
    <w:p>
      <w:pPr>
        <w:spacing w:before="156" w:after="156"/>
        <w:ind w:firstLine="420"/>
      </w:pPr>
      <w:r>
        <w:rPr>
          <w:rFonts w:hint="eastAsia"/>
        </w:rPr>
        <w:t>②输送有毒、可燃、易爆液体介质，输送距离大于等于200km且管道公称直径≥300mm的管道；</w:t>
      </w:r>
    </w:p>
    <w:p>
      <w:pPr>
        <w:spacing w:before="156" w:after="156"/>
        <w:ind w:firstLine="420"/>
      </w:pPr>
      <w:r>
        <w:rPr>
          <w:rFonts w:hint="eastAsia"/>
        </w:rPr>
        <w:t>③输送中压和高压燃气管道，且公称直径≥200mm；输送GB5044中，毒性程度为极度、高度危害气体、液化气体介质，且公称直径≥100mm的工业管道；</w:t>
      </w:r>
    </w:p>
    <w:p>
      <w:pPr>
        <w:spacing w:before="156" w:after="156"/>
        <w:ind w:firstLine="420"/>
      </w:pPr>
      <w:r>
        <w:rPr>
          <w:rFonts w:hint="eastAsia"/>
        </w:rPr>
        <w:t>④输送GB5044中极度、高度危害液体介质、GB50160及GB50016中规定的火灾危险性为甲、乙类可燃气体，或甲类可燃液体介质，且公称直径≥100mm，设计压力≥4MPa的工业管道；</w:t>
      </w:r>
    </w:p>
    <w:p>
      <w:pPr>
        <w:spacing w:before="156" w:after="156"/>
        <w:ind w:firstLine="420"/>
      </w:pPr>
      <w:r>
        <w:rPr>
          <w:rFonts w:hint="eastAsia"/>
        </w:rPr>
        <w:t>⑤输送其他可燃、有毒流体介质，且公称直径≥100mm，设计压力≥4MPa，设计温度≥400℃的工业管道。</w:t>
      </w:r>
    </w:p>
    <w:p>
      <w:pPr>
        <w:spacing w:before="156" w:after="156"/>
        <w:ind w:firstLine="420"/>
      </w:pPr>
      <w:r>
        <w:rPr>
          <w:rFonts w:hint="eastAsia"/>
        </w:rPr>
        <w:t>2）锅炉：额定蒸汽压力大于2.5MPa，且额定蒸发量大于等于10t/h的蒸汽锅炉；额定出水温度大于等于120℃，且额定功率大于等于14MW的热水锅炉，为重大危险源。</w:t>
      </w:r>
    </w:p>
    <w:p>
      <w:pPr>
        <w:spacing w:before="156" w:after="156"/>
        <w:ind w:firstLine="420"/>
      </w:pPr>
      <w:r>
        <w:t>3</w:t>
      </w:r>
      <w:r>
        <w:rPr>
          <w:rFonts w:hint="eastAsia"/>
        </w:rPr>
        <w:t>）压力容器：介质毒性程度为极度、高度或中度危害的三类压力容器；易燃介质，最高工作压力≥</w:t>
      </w:r>
      <w:r>
        <w:t>0.1MPa</w:t>
      </w:r>
      <w:r>
        <w:rPr>
          <w:rFonts w:hint="eastAsia"/>
        </w:rPr>
        <w:t>，且</w:t>
      </w:r>
      <w:r>
        <w:t>PV</w:t>
      </w:r>
      <w:r>
        <w:rPr>
          <w:rFonts w:hint="eastAsia"/>
        </w:rPr>
        <w:t>≥</w:t>
      </w:r>
      <w:r>
        <w:t>100MPa</w:t>
      </w:r>
      <w:r>
        <w:rPr>
          <w:rFonts w:hint="eastAsia"/>
        </w:rPr>
        <w:t>/</w:t>
      </w:r>
      <w:r>
        <w:t>m3</w:t>
      </w:r>
      <w:r>
        <w:rPr>
          <w:rFonts w:hint="eastAsia"/>
        </w:rPr>
        <w:t>的压力容器（群），为重大危险源。</w:t>
      </w:r>
    </w:p>
    <w:p>
      <w:pPr>
        <w:pStyle w:val="4"/>
        <w:spacing w:before="156" w:after="156"/>
        <w:ind w:firstLine="482"/>
      </w:pPr>
      <w:bookmarkStart w:id="117" w:name="_Toc108206514"/>
      <w:bookmarkStart w:id="118" w:name="_Toc141203923"/>
      <w:r>
        <w:rPr>
          <w:rFonts w:hint="eastAsia"/>
        </w:rPr>
        <w:t>4</w:t>
      </w:r>
      <w:r>
        <w:t>.1.3</w:t>
      </w:r>
      <w:r>
        <w:rPr>
          <w:rFonts w:hint="eastAsia"/>
        </w:rPr>
        <w:t>重大危险源辨识术语</w:t>
      </w:r>
      <w:bookmarkEnd w:id="117"/>
      <w:bookmarkEnd w:id="118"/>
    </w:p>
    <w:p>
      <w:pPr>
        <w:spacing w:before="156" w:after="156"/>
        <w:ind w:firstLine="420"/>
      </w:pPr>
      <w:r>
        <w:rPr>
          <w:rFonts w:hint="eastAsia"/>
        </w:rPr>
        <w:t>（1）危险化学品</w:t>
      </w:r>
    </w:p>
    <w:p>
      <w:pPr>
        <w:spacing w:before="156" w:after="156"/>
        <w:ind w:firstLine="420"/>
      </w:pPr>
      <w:r>
        <w:rPr>
          <w:rFonts w:hint="eastAsia"/>
        </w:rPr>
        <w:t>具有易燃、易爆、有毒、有害等特性，会对人员、设施、环境造成伤害或损害的化学品。</w:t>
      </w:r>
    </w:p>
    <w:p>
      <w:pPr>
        <w:spacing w:before="156" w:after="156"/>
        <w:ind w:firstLine="420"/>
      </w:pPr>
      <w:r>
        <w:rPr>
          <w:rFonts w:hint="eastAsia"/>
        </w:rPr>
        <w:t>（2）单元</w:t>
      </w:r>
    </w:p>
    <w:p>
      <w:pPr>
        <w:spacing w:before="156" w:after="156"/>
        <w:ind w:firstLine="420"/>
      </w:pPr>
      <w:r>
        <w:rPr>
          <w:rFonts w:hint="eastAsia"/>
        </w:rPr>
        <w:t>一个（套）生产装置、设施或场所，或同属一个工厂的且边缘距离小于500m的几个（套）生产装置、设施或场所称一个单元。</w:t>
      </w:r>
    </w:p>
    <w:p>
      <w:pPr>
        <w:spacing w:before="156" w:after="156"/>
        <w:ind w:firstLine="420"/>
      </w:pPr>
      <w:r>
        <w:rPr>
          <w:rFonts w:hint="eastAsia"/>
        </w:rPr>
        <w:t>（3）临界量</w:t>
      </w:r>
    </w:p>
    <w:p>
      <w:pPr>
        <w:spacing w:before="156" w:after="156"/>
        <w:ind w:firstLine="420"/>
      </w:pPr>
      <w:r>
        <w:rPr>
          <w:rFonts w:hint="eastAsia"/>
        </w:rPr>
        <w:t>指对于某种或某类危险物质规定的数量，若单元中的物质数量等于或超过该数量，则该单元定为重大危险源。</w:t>
      </w:r>
    </w:p>
    <w:p>
      <w:pPr>
        <w:spacing w:before="156" w:after="156"/>
        <w:ind w:firstLine="420"/>
      </w:pPr>
      <w:r>
        <w:rPr>
          <w:rFonts w:hint="eastAsia"/>
        </w:rPr>
        <w:t>（4）危险化学品重大危险源</w:t>
      </w:r>
    </w:p>
    <w:p>
      <w:pPr>
        <w:spacing w:before="156" w:after="156"/>
        <w:ind w:firstLine="420"/>
      </w:pPr>
      <w:r>
        <w:rPr>
          <w:rFonts w:hint="eastAsia"/>
        </w:rPr>
        <w:t>是长期地或临时地生产、加工、使用或储存危险化学品的数量等于或超过临界量的单元。</w:t>
      </w:r>
    </w:p>
    <w:p>
      <w:pPr>
        <w:pStyle w:val="4"/>
        <w:spacing w:before="156" w:after="156"/>
        <w:ind w:firstLine="482"/>
      </w:pPr>
      <w:bookmarkStart w:id="119" w:name="_Toc108206515"/>
      <w:bookmarkStart w:id="120" w:name="_Toc141203924"/>
      <w:r>
        <w:rPr>
          <w:rFonts w:hint="eastAsia"/>
        </w:rPr>
        <w:t>4</w:t>
      </w:r>
      <w:r>
        <w:t>.1.4</w:t>
      </w:r>
      <w:r>
        <w:rPr>
          <w:rFonts w:hint="eastAsia"/>
        </w:rPr>
        <w:t>项目涉及的危险物质</w:t>
      </w:r>
      <w:bookmarkEnd w:id="119"/>
      <w:bookmarkEnd w:id="120"/>
    </w:p>
    <w:p>
      <w:pPr>
        <w:spacing w:before="156" w:after="156"/>
        <w:ind w:firstLine="420"/>
      </w:pPr>
      <w:r>
        <w:rPr>
          <w:rFonts w:hint="eastAsia"/>
        </w:rPr>
        <w:t>根据</w:t>
      </w:r>
      <w:r>
        <w:t>本工厂</w:t>
      </w:r>
      <w:r>
        <w:rPr>
          <w:rFonts w:hint="eastAsia"/>
        </w:rPr>
        <w:t>实际</w:t>
      </w:r>
      <w:r>
        <w:t>情况，其中</w:t>
      </w:r>
      <w:r>
        <w:rPr>
          <w:rFonts w:hint="eastAsia"/>
        </w:rPr>
        <w:t>己二腈、氨、磷酸、环戊酮</w:t>
      </w:r>
      <w:r>
        <w:t>列入在《</w:t>
      </w:r>
      <w:r>
        <w:rPr>
          <w:rFonts w:hint="eastAsia"/>
        </w:rPr>
        <w:t>危险化学品</w:t>
      </w:r>
      <w:r>
        <w:t>重大危险源辨识》</w:t>
      </w:r>
      <w:r>
        <w:rPr>
          <w:rFonts w:hint="eastAsia"/>
        </w:rPr>
        <w:t>（GB 18218-20</w:t>
      </w:r>
      <w:r>
        <w:t>18</w:t>
      </w:r>
      <w:r>
        <w:rPr>
          <w:rFonts w:hint="eastAsia"/>
        </w:rPr>
        <w:t>）的</w:t>
      </w:r>
      <w:r>
        <w:t>范围。</w:t>
      </w:r>
    </w:p>
    <w:p>
      <w:pPr>
        <w:pStyle w:val="4"/>
        <w:spacing w:before="156" w:after="156"/>
        <w:ind w:firstLine="482"/>
      </w:pPr>
      <w:bookmarkStart w:id="121" w:name="_Toc141203925"/>
      <w:r>
        <w:t>.1.5</w:t>
      </w:r>
      <w:r>
        <w:rPr>
          <w:rFonts w:hint="eastAsia"/>
        </w:rPr>
        <w:t>有毒物质识别</w:t>
      </w:r>
      <w:bookmarkEnd w:id="121"/>
    </w:p>
    <w:p>
      <w:pPr>
        <w:pStyle w:val="39"/>
        <w:spacing w:before="156" w:after="156"/>
        <w:ind w:firstLine="360"/>
        <w:rPr>
          <w:rFonts w:ascii="宋体" w:hAnsi="宋体" w:eastAsia="宋体"/>
          <w:sz w:val="18"/>
          <w:szCs w:val="18"/>
        </w:rPr>
      </w:pPr>
      <w:r>
        <w:rPr>
          <w:rFonts w:hint="eastAsia" w:ascii="宋体" w:hAnsi="宋体" w:eastAsia="宋体"/>
          <w:sz w:val="18"/>
          <w:szCs w:val="18"/>
        </w:rPr>
        <w:t>表4-2 《建设</w:t>
      </w:r>
      <w:r>
        <w:rPr>
          <w:rFonts w:ascii="宋体" w:hAnsi="宋体" w:eastAsia="宋体"/>
          <w:sz w:val="18"/>
          <w:szCs w:val="18"/>
        </w:rPr>
        <w:t>项目</w:t>
      </w:r>
      <w:r>
        <w:rPr>
          <w:rFonts w:hint="eastAsia" w:ascii="宋体" w:hAnsi="宋体" w:eastAsia="宋体"/>
          <w:sz w:val="18"/>
          <w:szCs w:val="18"/>
        </w:rPr>
        <w:t>环境</w:t>
      </w:r>
      <w:r>
        <w:rPr>
          <w:rFonts w:ascii="宋体" w:hAnsi="宋体" w:eastAsia="宋体"/>
          <w:sz w:val="18"/>
          <w:szCs w:val="18"/>
        </w:rPr>
        <w:t>风险评价技术导则</w:t>
      </w:r>
      <w:r>
        <w:rPr>
          <w:rFonts w:hint="eastAsia" w:ascii="宋体" w:hAnsi="宋体" w:eastAsia="宋体"/>
          <w:sz w:val="18"/>
          <w:szCs w:val="18"/>
        </w:rPr>
        <w:t>》中</w:t>
      </w:r>
      <w:r>
        <w:rPr>
          <w:rFonts w:ascii="宋体" w:hAnsi="宋体" w:eastAsia="宋体"/>
          <w:sz w:val="18"/>
          <w:szCs w:val="18"/>
        </w:rPr>
        <w:t>附表</w:t>
      </w:r>
      <w:r>
        <w:rPr>
          <w:rFonts w:hint="eastAsia" w:ascii="宋体" w:hAnsi="宋体" w:eastAsia="宋体"/>
          <w:sz w:val="18"/>
          <w:szCs w:val="18"/>
        </w:rPr>
        <w:t>1</w:t>
      </w:r>
    </w:p>
    <w:tbl>
      <w:tblPr>
        <w:tblStyle w:val="44"/>
        <w:tblW w:w="8789"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992"/>
        <w:gridCol w:w="1134"/>
        <w:gridCol w:w="1985"/>
        <w:gridCol w:w="1984"/>
        <w:gridCol w:w="269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92"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sz w:val="20"/>
                <w14:textFill>
                  <w14:solidFill>
                    <w14:schemeClr w14:val="bg1"/>
                  </w14:solidFill>
                </w14:textFill>
              </w:rPr>
            </w:pPr>
            <w:r>
              <w:rPr>
                <w:b/>
                <w:bCs/>
                <w:color w:val="FFFFFF" w:themeColor="background1"/>
                <w:sz w:val="20"/>
                <w14:textFill>
                  <w14:solidFill>
                    <w14:schemeClr w14:val="bg1"/>
                  </w14:solidFill>
                </w14:textFill>
              </w:rPr>
              <w:t>标准</w:t>
            </w:r>
          </w:p>
          <w:p>
            <w:pPr>
              <w:pStyle w:val="37"/>
              <w:spacing w:line="240" w:lineRule="auto"/>
              <w:rPr>
                <w:b w:val="0"/>
                <w:bCs w:val="0"/>
                <w:color w:val="FFFFFF" w:themeColor="background1"/>
                <w:sz w:val="20"/>
                <w14:textFill>
                  <w14:solidFill>
                    <w14:schemeClr w14:val="bg1"/>
                  </w14:solidFill>
                </w14:textFill>
              </w:rPr>
            </w:pPr>
            <w:r>
              <w:rPr>
                <w:b/>
                <w:bCs/>
                <w:color w:val="FFFFFF" w:themeColor="background1"/>
                <w:sz w:val="20"/>
                <w14:textFill>
                  <w14:solidFill>
                    <w14:schemeClr w14:val="bg1"/>
                  </w14:solidFill>
                </w14:textFill>
              </w:rPr>
              <w:t>序号</w:t>
            </w:r>
          </w:p>
        </w:tc>
        <w:tc>
          <w:tcPr>
            <w:tcW w:w="113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sz w:val="20"/>
                <w14:textFill>
                  <w14:solidFill>
                    <w14:schemeClr w14:val="bg1"/>
                  </w14:solidFill>
                </w14:textFill>
              </w:rPr>
            </w:pPr>
            <w:r>
              <w:rPr>
                <w:b/>
                <w:bCs/>
                <w:color w:val="FFFFFF" w:themeColor="background1"/>
                <w:sz w:val="20"/>
                <w14:textFill>
                  <w14:solidFill>
                    <w14:schemeClr w14:val="bg1"/>
                  </w14:solidFill>
                </w14:textFill>
              </w:rPr>
              <w:t>毒性</w:t>
            </w:r>
          </w:p>
          <w:p>
            <w:pPr>
              <w:pStyle w:val="37"/>
              <w:spacing w:line="240" w:lineRule="auto"/>
              <w:rPr>
                <w:b w:val="0"/>
                <w:bCs w:val="0"/>
                <w:color w:val="FFFFFF" w:themeColor="background1"/>
                <w:sz w:val="20"/>
                <w14:textFill>
                  <w14:solidFill>
                    <w14:schemeClr w14:val="bg1"/>
                  </w14:solidFill>
                </w14:textFill>
              </w:rPr>
            </w:pPr>
            <w:r>
              <w:rPr>
                <w:b/>
                <w:bCs/>
                <w:color w:val="FFFFFF" w:themeColor="background1"/>
                <w:sz w:val="20"/>
                <w14:textFill>
                  <w14:solidFill>
                    <w14:schemeClr w14:val="bg1"/>
                  </w14:solidFill>
                </w14:textFill>
              </w:rPr>
              <w:t>级别</w:t>
            </w:r>
          </w:p>
        </w:tc>
        <w:tc>
          <w:tcPr>
            <w:tcW w:w="198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sz w:val="20"/>
                <w14:textFill>
                  <w14:solidFill>
                    <w14:schemeClr w14:val="bg1"/>
                  </w14:solidFill>
                </w14:textFill>
              </w:rPr>
            </w:pPr>
            <w:r>
              <w:rPr>
                <w:b/>
                <w:bCs/>
                <w:color w:val="FFFFFF" w:themeColor="background1"/>
                <w:sz w:val="20"/>
                <w14:textFill>
                  <w14:solidFill>
                    <w14:schemeClr w14:val="bg1"/>
                  </w14:solidFill>
                </w14:textFill>
              </w:rPr>
              <w:t>LD50（大鼠经口）mg/kg</w:t>
            </w:r>
          </w:p>
        </w:tc>
        <w:tc>
          <w:tcPr>
            <w:tcW w:w="198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sz w:val="20"/>
                <w14:textFill>
                  <w14:solidFill>
                    <w14:schemeClr w14:val="bg1"/>
                  </w14:solidFill>
                </w14:textFill>
              </w:rPr>
            </w:pPr>
            <w:r>
              <w:rPr>
                <w:b/>
                <w:bCs/>
                <w:color w:val="FFFFFF" w:themeColor="background1"/>
                <w:sz w:val="20"/>
                <w14:textFill>
                  <w14:solidFill>
                    <w14:schemeClr w14:val="bg1"/>
                  </w14:solidFill>
                </w14:textFill>
              </w:rPr>
              <w:t>LD50（大鼠经皮）mg/kg</w:t>
            </w:r>
          </w:p>
        </w:tc>
        <w:tc>
          <w:tcPr>
            <w:tcW w:w="269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pStyle w:val="37"/>
              <w:spacing w:line="240" w:lineRule="auto"/>
              <w:rPr>
                <w:b w:val="0"/>
                <w:bCs w:val="0"/>
                <w:color w:val="FFFFFF" w:themeColor="background1"/>
                <w:sz w:val="20"/>
                <w14:textFill>
                  <w14:solidFill>
                    <w14:schemeClr w14:val="bg1"/>
                  </w14:solidFill>
                </w14:textFill>
              </w:rPr>
            </w:pPr>
            <w:r>
              <w:rPr>
                <w:b/>
                <w:bCs/>
                <w:color w:val="FFFFFF" w:themeColor="background1"/>
                <w:sz w:val="20"/>
                <w14:textFill>
                  <w14:solidFill>
                    <w14:schemeClr w14:val="bg1"/>
                  </w14:solidFill>
                </w14:textFill>
              </w:rPr>
              <w:t>LC50（小鼠吸入，4小时）mg/L</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92" w:type="dxa"/>
            <w:shd w:val="clear" w:color="auto" w:fill="D9E2F3" w:themeFill="accent1" w:themeFillTint="33"/>
          </w:tcPr>
          <w:p>
            <w:pPr>
              <w:pStyle w:val="37"/>
              <w:spacing w:line="240" w:lineRule="auto"/>
              <w:ind w:firstLine="357"/>
              <w:jc w:val="left"/>
              <w:rPr>
                <w:b w:val="0"/>
                <w:bCs w:val="0"/>
                <w:sz w:val="20"/>
              </w:rPr>
            </w:pPr>
            <w:r>
              <w:rPr>
                <w:b/>
                <w:bCs/>
                <w:sz w:val="20"/>
              </w:rPr>
              <w:t>1</w:t>
            </w:r>
          </w:p>
        </w:tc>
        <w:tc>
          <w:tcPr>
            <w:tcW w:w="1134" w:type="dxa"/>
            <w:shd w:val="clear" w:color="auto" w:fill="D9E2F3" w:themeFill="accent1" w:themeFillTint="33"/>
          </w:tcPr>
          <w:p>
            <w:pPr>
              <w:pStyle w:val="37"/>
              <w:spacing w:line="240" w:lineRule="auto"/>
              <w:rPr>
                <w:sz w:val="20"/>
              </w:rPr>
            </w:pPr>
            <w:r>
              <w:rPr>
                <w:sz w:val="20"/>
              </w:rPr>
              <w:t>剧毒物质</w:t>
            </w:r>
          </w:p>
        </w:tc>
        <w:tc>
          <w:tcPr>
            <w:tcW w:w="1985" w:type="dxa"/>
            <w:shd w:val="clear" w:color="auto" w:fill="D9E2F3" w:themeFill="accent1" w:themeFillTint="33"/>
          </w:tcPr>
          <w:p>
            <w:pPr>
              <w:pStyle w:val="37"/>
              <w:spacing w:line="240" w:lineRule="auto"/>
              <w:rPr>
                <w:sz w:val="20"/>
              </w:rPr>
            </w:pPr>
            <w:r>
              <w:rPr>
                <w:sz w:val="20"/>
              </w:rPr>
              <w:t>＜5</w:t>
            </w:r>
          </w:p>
        </w:tc>
        <w:tc>
          <w:tcPr>
            <w:tcW w:w="1984" w:type="dxa"/>
            <w:shd w:val="clear" w:color="auto" w:fill="D9E2F3" w:themeFill="accent1" w:themeFillTint="33"/>
          </w:tcPr>
          <w:p>
            <w:pPr>
              <w:pStyle w:val="37"/>
              <w:spacing w:line="240" w:lineRule="auto"/>
              <w:rPr>
                <w:sz w:val="20"/>
              </w:rPr>
            </w:pPr>
            <w:r>
              <w:rPr>
                <w:sz w:val="20"/>
              </w:rPr>
              <w:t>＜1</w:t>
            </w:r>
          </w:p>
        </w:tc>
        <w:tc>
          <w:tcPr>
            <w:tcW w:w="2694" w:type="dxa"/>
            <w:shd w:val="clear" w:color="auto" w:fill="D9E2F3" w:themeFill="accent1" w:themeFillTint="33"/>
          </w:tcPr>
          <w:p>
            <w:pPr>
              <w:pStyle w:val="37"/>
              <w:spacing w:line="240" w:lineRule="auto"/>
              <w:rPr>
                <w:sz w:val="20"/>
              </w:rPr>
            </w:pPr>
            <w:r>
              <w:rPr>
                <w:sz w:val="20"/>
              </w:rPr>
              <w:t>＜0.01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92" w:type="dxa"/>
          </w:tcPr>
          <w:p>
            <w:pPr>
              <w:pStyle w:val="37"/>
              <w:spacing w:line="240" w:lineRule="auto"/>
              <w:ind w:firstLine="357"/>
              <w:jc w:val="left"/>
              <w:rPr>
                <w:b w:val="0"/>
                <w:bCs w:val="0"/>
                <w:sz w:val="20"/>
              </w:rPr>
            </w:pPr>
            <w:r>
              <w:rPr>
                <w:b/>
                <w:bCs/>
                <w:sz w:val="20"/>
              </w:rPr>
              <w:t>2</w:t>
            </w:r>
          </w:p>
        </w:tc>
        <w:tc>
          <w:tcPr>
            <w:tcW w:w="1134" w:type="dxa"/>
          </w:tcPr>
          <w:p>
            <w:pPr>
              <w:pStyle w:val="37"/>
              <w:spacing w:line="240" w:lineRule="auto"/>
              <w:rPr>
                <w:sz w:val="20"/>
              </w:rPr>
            </w:pPr>
            <w:r>
              <w:rPr>
                <w:sz w:val="20"/>
              </w:rPr>
              <w:t>高毒物质</w:t>
            </w:r>
          </w:p>
        </w:tc>
        <w:tc>
          <w:tcPr>
            <w:tcW w:w="1985" w:type="dxa"/>
          </w:tcPr>
          <w:p>
            <w:pPr>
              <w:pStyle w:val="37"/>
              <w:spacing w:line="240" w:lineRule="auto"/>
              <w:rPr>
                <w:sz w:val="20"/>
              </w:rPr>
            </w:pPr>
            <w:r>
              <w:rPr>
                <w:sz w:val="20"/>
              </w:rPr>
              <w:t>5＜LD50＜25</w:t>
            </w:r>
          </w:p>
        </w:tc>
        <w:tc>
          <w:tcPr>
            <w:tcW w:w="1984" w:type="dxa"/>
          </w:tcPr>
          <w:p>
            <w:pPr>
              <w:pStyle w:val="37"/>
              <w:spacing w:line="240" w:lineRule="auto"/>
              <w:rPr>
                <w:sz w:val="20"/>
              </w:rPr>
            </w:pPr>
            <w:r>
              <w:rPr>
                <w:sz w:val="20"/>
              </w:rPr>
              <w:t>10＜LD50＜50</w:t>
            </w:r>
          </w:p>
        </w:tc>
        <w:tc>
          <w:tcPr>
            <w:tcW w:w="2694" w:type="dxa"/>
          </w:tcPr>
          <w:p>
            <w:pPr>
              <w:pStyle w:val="37"/>
              <w:spacing w:line="240" w:lineRule="auto"/>
              <w:rPr>
                <w:sz w:val="20"/>
              </w:rPr>
            </w:pPr>
            <w:r>
              <w:rPr>
                <w:sz w:val="20"/>
              </w:rPr>
              <w:t>0.1＜LC50＜0.5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92" w:type="dxa"/>
            <w:shd w:val="clear" w:color="auto" w:fill="D9E2F3" w:themeFill="accent1" w:themeFillTint="33"/>
          </w:tcPr>
          <w:p>
            <w:pPr>
              <w:pStyle w:val="37"/>
              <w:spacing w:line="240" w:lineRule="auto"/>
              <w:ind w:firstLine="357"/>
              <w:jc w:val="left"/>
              <w:rPr>
                <w:b w:val="0"/>
                <w:bCs w:val="0"/>
                <w:sz w:val="20"/>
              </w:rPr>
            </w:pPr>
            <w:r>
              <w:rPr>
                <w:b/>
                <w:bCs/>
                <w:sz w:val="20"/>
              </w:rPr>
              <w:t>3</w:t>
            </w:r>
          </w:p>
        </w:tc>
        <w:tc>
          <w:tcPr>
            <w:tcW w:w="1134" w:type="dxa"/>
            <w:shd w:val="clear" w:color="auto" w:fill="D9E2F3" w:themeFill="accent1" w:themeFillTint="33"/>
          </w:tcPr>
          <w:p>
            <w:pPr>
              <w:pStyle w:val="37"/>
              <w:spacing w:line="240" w:lineRule="auto"/>
              <w:rPr>
                <w:sz w:val="20"/>
              </w:rPr>
            </w:pPr>
            <w:r>
              <w:rPr>
                <w:sz w:val="20"/>
              </w:rPr>
              <w:t>一般毒物</w:t>
            </w:r>
          </w:p>
        </w:tc>
        <w:tc>
          <w:tcPr>
            <w:tcW w:w="1985" w:type="dxa"/>
            <w:shd w:val="clear" w:color="auto" w:fill="D9E2F3" w:themeFill="accent1" w:themeFillTint="33"/>
          </w:tcPr>
          <w:p>
            <w:pPr>
              <w:pStyle w:val="37"/>
              <w:spacing w:line="240" w:lineRule="auto"/>
              <w:rPr>
                <w:sz w:val="20"/>
              </w:rPr>
            </w:pPr>
            <w:r>
              <w:rPr>
                <w:sz w:val="20"/>
              </w:rPr>
              <w:t>25＜LD50＜200</w:t>
            </w:r>
          </w:p>
        </w:tc>
        <w:tc>
          <w:tcPr>
            <w:tcW w:w="1984" w:type="dxa"/>
            <w:shd w:val="clear" w:color="auto" w:fill="D9E2F3" w:themeFill="accent1" w:themeFillTint="33"/>
          </w:tcPr>
          <w:p>
            <w:pPr>
              <w:pStyle w:val="37"/>
              <w:spacing w:line="240" w:lineRule="auto"/>
              <w:rPr>
                <w:sz w:val="20"/>
              </w:rPr>
            </w:pPr>
            <w:r>
              <w:rPr>
                <w:sz w:val="20"/>
              </w:rPr>
              <w:t>50＜LD50＜400</w:t>
            </w:r>
          </w:p>
        </w:tc>
        <w:tc>
          <w:tcPr>
            <w:tcW w:w="2694" w:type="dxa"/>
            <w:shd w:val="clear" w:color="auto" w:fill="D9E2F3" w:themeFill="accent1" w:themeFillTint="33"/>
          </w:tcPr>
          <w:p>
            <w:pPr>
              <w:pStyle w:val="37"/>
              <w:spacing w:line="240" w:lineRule="auto"/>
              <w:rPr>
                <w:sz w:val="20"/>
              </w:rPr>
            </w:pPr>
            <w:r>
              <w:rPr>
                <w:sz w:val="20"/>
              </w:rPr>
              <w:t>0.5＜LC50＜2</w:t>
            </w:r>
          </w:p>
        </w:tc>
      </w:tr>
    </w:tbl>
    <w:p>
      <w:pPr>
        <w:spacing w:before="156" w:after="156"/>
        <w:ind w:firstLine="420"/>
      </w:pPr>
      <w:r>
        <w:rPr>
          <w:rFonts w:hint="eastAsia"/>
        </w:rPr>
        <w:t>根据各化学品的毒性情况及上面的有毒物质的判定标准，项目生产所涉及的有毒物质均低于序号3，属于微毒。（注：化学品的毒性介绍以该化学品的急性毒性为参考指标）。</w:t>
      </w:r>
    </w:p>
    <w:p>
      <w:pPr>
        <w:spacing w:before="156" w:after="156"/>
        <w:ind w:firstLine="361"/>
        <w:jc w:val="center"/>
        <w:rPr>
          <w:b/>
          <w:sz w:val="18"/>
          <w:szCs w:val="18"/>
        </w:rPr>
      </w:pPr>
      <w:r>
        <w:rPr>
          <w:rFonts w:hint="eastAsia"/>
          <w:b/>
          <w:sz w:val="18"/>
          <w:szCs w:val="18"/>
        </w:rPr>
        <w:t>表4</w:t>
      </w:r>
      <w:r>
        <w:rPr>
          <w:b/>
          <w:sz w:val="18"/>
          <w:szCs w:val="18"/>
        </w:rPr>
        <w:t xml:space="preserve">-3 </w:t>
      </w:r>
      <w:r>
        <w:rPr>
          <w:rFonts w:hint="eastAsia"/>
          <w:b/>
          <w:sz w:val="18"/>
          <w:szCs w:val="18"/>
        </w:rPr>
        <w:t>危险化学品毒性级别辨识结果</w:t>
      </w:r>
    </w:p>
    <w:tbl>
      <w:tblPr>
        <w:tblStyle w:val="45"/>
        <w:tblW w:w="0" w:type="auto"/>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2263"/>
        <w:gridCol w:w="3267"/>
        <w:gridCol w:w="276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ind w:firstLine="0" w:firstLineChars="0"/>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化学品名称</w:t>
            </w:r>
          </w:p>
        </w:tc>
        <w:tc>
          <w:tcPr>
            <w:tcW w:w="3267" w:type="dxa"/>
            <w:tcBorders>
              <w:top w:val="single" w:color="4472C4" w:sz="4" w:space="0"/>
              <w:bottom w:val="single" w:color="4472C4" w:sz="4" w:space="0"/>
              <w:right w:val="nil"/>
              <w:insideH w:val="single" w:sz="4" w:space="0"/>
              <w:insideV w:val="nil"/>
            </w:tcBorders>
            <w:shd w:val="clear" w:color="auto" w:fill="4472C4"/>
            <w:vAlign w:val="center"/>
          </w:tcPr>
          <w:p>
            <w:pPr>
              <w:autoSpaceDE/>
              <w:autoSpaceDN/>
              <w:spacing w:before="0" w:beforeLines="0" w:after="0" w:afterLines="0" w:line="276" w:lineRule="auto"/>
              <w:ind w:firstLine="0" w:firstLineChars="0"/>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毒性介绍</w:t>
            </w:r>
          </w:p>
        </w:tc>
        <w:tc>
          <w:tcPr>
            <w:tcW w:w="2766" w:type="dxa"/>
            <w:tcBorders>
              <w:top w:val="single" w:color="4472C4" w:sz="4" w:space="0"/>
              <w:bottom w:val="single" w:color="4472C4" w:sz="4" w:space="0"/>
              <w:right w:val="single" w:color="4472C4" w:sz="4" w:space="0"/>
              <w:insideH w:val="single" w:sz="4" w:space="0"/>
              <w:insideV w:val="nil"/>
            </w:tcBorders>
            <w:shd w:val="clear" w:color="auto" w:fill="4472C4"/>
            <w:vAlign w:val="center"/>
          </w:tcPr>
          <w:p>
            <w:pPr>
              <w:autoSpaceDE/>
              <w:autoSpaceDN/>
              <w:spacing w:before="0" w:beforeLines="0" w:after="0" w:afterLines="0" w:line="276" w:lineRule="auto"/>
              <w:ind w:firstLine="0" w:firstLineChars="0"/>
              <w:jc w:val="center"/>
              <w:rPr>
                <w:rFonts w:ascii="Times New Roman" w:hAnsi="Times New Roman" w:eastAsia="仿宋" w:cs="Times New Roman"/>
                <w:b w:val="0"/>
                <w:bCs w:val="0"/>
                <w:color w:val="FFFFFF"/>
                <w:kern w:val="2"/>
                <w:sz w:val="20"/>
                <w:szCs w:val="20"/>
              </w:rPr>
            </w:pPr>
            <w:r>
              <w:rPr>
                <w:rFonts w:hint="eastAsia" w:ascii="Times New Roman" w:hAnsi="Times New Roman" w:eastAsia="仿宋" w:cs="Times New Roman"/>
                <w:b/>
                <w:bCs/>
                <w:color w:val="FFFFFF"/>
                <w:kern w:val="2"/>
                <w:sz w:val="20"/>
                <w:szCs w:val="20"/>
              </w:rPr>
              <w:t>毒性级别</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shd w:val="clear" w:color="auto" w:fill="D9E2F3"/>
            <w:vAlign w:val="center"/>
          </w:tcPr>
          <w:p>
            <w:pPr>
              <w:autoSpaceDE/>
              <w:autoSpaceDN/>
              <w:spacing w:before="0" w:beforeLines="0" w:after="0" w:afterLines="0" w:line="276" w:lineRule="auto"/>
              <w:ind w:firstLine="0" w:firstLineChars="0"/>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己二酸</w:t>
            </w:r>
          </w:p>
        </w:tc>
        <w:tc>
          <w:tcPr>
            <w:tcW w:w="3267" w:type="dxa"/>
            <w:shd w:val="clear" w:color="auto" w:fill="D9E2F3"/>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大鼠经口LD50：</w:t>
            </w:r>
            <w:r>
              <w:rPr>
                <w:rFonts w:ascii="Times New Roman" w:hAnsi="Times New Roman" w:eastAsia="仿宋" w:cs="Times New Roman"/>
                <w:bCs/>
                <w:kern w:val="2"/>
                <w:sz w:val="20"/>
                <w:szCs w:val="20"/>
              </w:rPr>
              <w:t>5560</w:t>
            </w:r>
            <w:r>
              <w:rPr>
                <w:rFonts w:hint="eastAsia" w:ascii="Times New Roman" w:hAnsi="Times New Roman" w:eastAsia="仿宋" w:cs="Times New Roman"/>
                <w:bCs/>
                <w:kern w:val="2"/>
                <w:sz w:val="20"/>
                <w:szCs w:val="20"/>
              </w:rPr>
              <w:t>mg/kg</w:t>
            </w:r>
          </w:p>
        </w:tc>
        <w:tc>
          <w:tcPr>
            <w:tcW w:w="2766" w:type="dxa"/>
            <w:shd w:val="clear" w:color="auto" w:fill="D9E2F3"/>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微毒</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vAlign w:val="center"/>
          </w:tcPr>
          <w:p>
            <w:pPr>
              <w:autoSpaceDE/>
              <w:autoSpaceDN/>
              <w:spacing w:before="0" w:beforeLines="0" w:after="0" w:afterLines="0" w:line="276" w:lineRule="auto"/>
              <w:ind w:firstLine="0" w:firstLineChars="0"/>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氨</w:t>
            </w:r>
          </w:p>
        </w:tc>
        <w:tc>
          <w:tcPr>
            <w:tcW w:w="3267" w:type="dxa"/>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大鼠经口L</w:t>
            </w:r>
            <w:r>
              <w:rPr>
                <w:rFonts w:ascii="Times New Roman" w:hAnsi="Times New Roman" w:eastAsia="仿宋" w:cs="Times New Roman"/>
                <w:bCs/>
                <w:kern w:val="2"/>
                <w:sz w:val="20"/>
                <w:szCs w:val="20"/>
              </w:rPr>
              <w:t>D50</w:t>
            </w: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350</w:t>
            </w:r>
            <w:r>
              <w:rPr>
                <w:rFonts w:hint="eastAsia" w:ascii="Times New Roman" w:hAnsi="Times New Roman" w:eastAsia="仿宋" w:cs="Times New Roman"/>
                <w:bCs/>
                <w:kern w:val="2"/>
                <w:sz w:val="20"/>
                <w:szCs w:val="20"/>
              </w:rPr>
              <w:t>mg</w:t>
            </w:r>
            <w:r>
              <w:rPr>
                <w:rFonts w:ascii="Times New Roman" w:hAnsi="Times New Roman" w:eastAsia="仿宋" w:cs="Times New Roman"/>
                <w:bCs/>
                <w:kern w:val="2"/>
                <w:sz w:val="20"/>
                <w:szCs w:val="20"/>
              </w:rPr>
              <w:t>/m</w:t>
            </w:r>
            <w:r>
              <w:rPr>
                <w:rFonts w:ascii="Times New Roman" w:hAnsi="Times New Roman" w:eastAsia="仿宋" w:cs="Times New Roman"/>
                <w:bCs/>
                <w:kern w:val="2"/>
                <w:sz w:val="20"/>
                <w:szCs w:val="20"/>
                <w:vertAlign w:val="superscript"/>
              </w:rPr>
              <w:t>3</w:t>
            </w:r>
          </w:p>
        </w:tc>
        <w:tc>
          <w:tcPr>
            <w:tcW w:w="2766" w:type="dxa"/>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微毒</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shd w:val="clear" w:color="auto" w:fill="D9E2F3"/>
            <w:vAlign w:val="center"/>
          </w:tcPr>
          <w:p>
            <w:pPr>
              <w:autoSpaceDE/>
              <w:autoSpaceDN/>
              <w:spacing w:before="0" w:beforeLines="0" w:after="0" w:afterLines="0" w:line="276" w:lineRule="auto"/>
              <w:ind w:firstLine="0" w:firstLineChars="0"/>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己二腈</w:t>
            </w:r>
          </w:p>
        </w:tc>
        <w:tc>
          <w:tcPr>
            <w:tcW w:w="3267" w:type="dxa"/>
            <w:shd w:val="clear" w:color="auto" w:fill="D9E2F3"/>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大鼠经口LD50：</w:t>
            </w:r>
            <w:r>
              <w:rPr>
                <w:rFonts w:ascii="Times New Roman" w:hAnsi="Times New Roman" w:eastAsia="仿宋" w:cs="Times New Roman"/>
                <w:bCs/>
                <w:kern w:val="2"/>
                <w:sz w:val="20"/>
                <w:szCs w:val="20"/>
              </w:rPr>
              <w:t>300</w:t>
            </w:r>
            <w:r>
              <w:rPr>
                <w:rFonts w:hint="eastAsia" w:ascii="Times New Roman" w:hAnsi="Times New Roman" w:eastAsia="仿宋" w:cs="Times New Roman"/>
                <w:bCs/>
                <w:kern w:val="2"/>
                <w:sz w:val="20"/>
                <w:szCs w:val="20"/>
              </w:rPr>
              <w:t>mg/kg</w:t>
            </w:r>
          </w:p>
        </w:tc>
        <w:tc>
          <w:tcPr>
            <w:tcW w:w="2766" w:type="dxa"/>
            <w:shd w:val="clear" w:color="auto" w:fill="D9E2F3"/>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ascii="Times New Roman" w:hAnsi="Times New Roman" w:eastAsia="仿宋" w:cs="Times New Roman"/>
                <w:bCs/>
                <w:kern w:val="2"/>
                <w:sz w:val="20"/>
                <w:szCs w:val="20"/>
              </w:rPr>
              <w:t>微毒</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vAlign w:val="center"/>
          </w:tcPr>
          <w:p>
            <w:pPr>
              <w:autoSpaceDE/>
              <w:autoSpaceDN/>
              <w:spacing w:before="0" w:beforeLines="0" w:after="0" w:afterLines="0" w:line="276" w:lineRule="auto"/>
              <w:ind w:firstLine="0" w:firstLineChars="0"/>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磷酸</w:t>
            </w:r>
          </w:p>
        </w:tc>
        <w:tc>
          <w:tcPr>
            <w:tcW w:w="3267" w:type="dxa"/>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大鼠经口L</w:t>
            </w:r>
            <w:r>
              <w:rPr>
                <w:rFonts w:ascii="Times New Roman" w:hAnsi="Times New Roman" w:eastAsia="仿宋" w:cs="Times New Roman"/>
                <w:bCs/>
                <w:kern w:val="2"/>
                <w:sz w:val="20"/>
                <w:szCs w:val="20"/>
              </w:rPr>
              <w:t>D50</w:t>
            </w: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1530</w:t>
            </w:r>
            <w:r>
              <w:rPr>
                <w:rFonts w:hint="eastAsia" w:ascii="Times New Roman" w:hAnsi="Times New Roman" w:eastAsia="仿宋" w:cs="Times New Roman"/>
                <w:bCs/>
                <w:kern w:val="2"/>
                <w:sz w:val="20"/>
                <w:szCs w:val="20"/>
              </w:rPr>
              <w:t>mg/kg</w:t>
            </w:r>
          </w:p>
        </w:tc>
        <w:tc>
          <w:tcPr>
            <w:tcW w:w="2766" w:type="dxa"/>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微毒</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vAlign w:val="center"/>
          </w:tcPr>
          <w:p>
            <w:pPr>
              <w:autoSpaceDE/>
              <w:autoSpaceDN/>
              <w:spacing w:before="0" w:beforeLines="0" w:after="0" w:afterLines="0" w:line="276" w:lineRule="auto"/>
              <w:ind w:firstLine="0" w:firstLineChars="0"/>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环戊酮</w:t>
            </w:r>
          </w:p>
        </w:tc>
        <w:tc>
          <w:tcPr>
            <w:tcW w:w="3267" w:type="dxa"/>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大鼠经口L</w:t>
            </w:r>
            <w:r>
              <w:rPr>
                <w:rFonts w:ascii="Times New Roman" w:hAnsi="Times New Roman" w:eastAsia="仿宋" w:cs="Times New Roman"/>
                <w:bCs/>
                <w:kern w:val="2"/>
                <w:sz w:val="20"/>
                <w:szCs w:val="20"/>
              </w:rPr>
              <w:t>D50</w:t>
            </w:r>
            <w:r>
              <w:rPr>
                <w:rFonts w:hint="eastAsia" w:ascii="Times New Roman" w:hAnsi="Times New Roman" w:eastAsia="仿宋" w:cs="Times New Roman"/>
                <w:bCs/>
                <w:kern w:val="2"/>
                <w:sz w:val="20"/>
                <w:szCs w:val="20"/>
              </w:rPr>
              <w:t>：</w:t>
            </w:r>
            <w:r>
              <w:rPr>
                <w:rFonts w:ascii="Times New Roman" w:hAnsi="Times New Roman" w:eastAsia="仿宋" w:cs="Times New Roman"/>
                <w:bCs/>
                <w:kern w:val="2"/>
                <w:sz w:val="20"/>
                <w:szCs w:val="20"/>
              </w:rPr>
              <w:t>1820</w:t>
            </w:r>
            <w:r>
              <w:rPr>
                <w:rFonts w:hint="eastAsia" w:ascii="Times New Roman" w:hAnsi="Times New Roman" w:eastAsia="仿宋" w:cs="Times New Roman"/>
                <w:bCs/>
                <w:kern w:val="2"/>
                <w:sz w:val="20"/>
                <w:szCs w:val="20"/>
              </w:rPr>
              <w:t>mg/kg</w:t>
            </w:r>
          </w:p>
        </w:tc>
        <w:tc>
          <w:tcPr>
            <w:tcW w:w="2766" w:type="dxa"/>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微毒</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c>
          <w:tcPr>
            <w:tcW w:w="2263" w:type="dxa"/>
            <w:shd w:val="clear" w:color="auto" w:fill="D9E2F3"/>
            <w:vAlign w:val="center"/>
          </w:tcPr>
          <w:p>
            <w:pPr>
              <w:autoSpaceDE/>
              <w:autoSpaceDN/>
              <w:spacing w:before="0" w:beforeLines="0" w:after="0" w:afterLines="0" w:line="276" w:lineRule="auto"/>
              <w:ind w:firstLine="0" w:firstLineChars="0"/>
              <w:jc w:val="center"/>
              <w:rPr>
                <w:rFonts w:ascii="Times New Roman" w:hAnsi="Times New Roman" w:eastAsia="仿宋" w:cs="Times New Roman"/>
                <w:b w:val="0"/>
                <w:bCs w:val="0"/>
                <w:kern w:val="2"/>
                <w:sz w:val="20"/>
                <w:szCs w:val="20"/>
              </w:rPr>
            </w:pPr>
            <w:r>
              <w:rPr>
                <w:rFonts w:hint="eastAsia" w:ascii="Times New Roman" w:hAnsi="Times New Roman" w:eastAsia="仿宋" w:cs="Times New Roman"/>
                <w:b/>
                <w:bCs/>
                <w:kern w:val="2"/>
                <w:sz w:val="20"/>
                <w:szCs w:val="20"/>
              </w:rPr>
              <w:t>1</w:t>
            </w:r>
            <w:r>
              <w:rPr>
                <w:rFonts w:ascii="Times New Roman" w:hAnsi="Times New Roman" w:eastAsia="仿宋" w:cs="Times New Roman"/>
                <w:b/>
                <w:bCs/>
                <w:kern w:val="2"/>
                <w:sz w:val="20"/>
                <w:szCs w:val="20"/>
              </w:rPr>
              <w:t>-</w:t>
            </w:r>
            <w:r>
              <w:rPr>
                <w:rFonts w:hint="eastAsia" w:ascii="Times New Roman" w:hAnsi="Times New Roman" w:eastAsia="仿宋" w:cs="Times New Roman"/>
                <w:b/>
                <w:bCs/>
                <w:kern w:val="2"/>
                <w:sz w:val="20"/>
                <w:szCs w:val="20"/>
              </w:rPr>
              <w:t>亚氨基-</w:t>
            </w:r>
            <w:r>
              <w:rPr>
                <w:rFonts w:ascii="Times New Roman" w:hAnsi="Times New Roman" w:eastAsia="仿宋" w:cs="Times New Roman"/>
                <w:b/>
                <w:bCs/>
                <w:kern w:val="2"/>
                <w:sz w:val="20"/>
                <w:szCs w:val="20"/>
              </w:rPr>
              <w:t>2-</w:t>
            </w:r>
            <w:r>
              <w:rPr>
                <w:rFonts w:hint="eastAsia" w:ascii="Times New Roman" w:hAnsi="Times New Roman" w:eastAsia="仿宋" w:cs="Times New Roman"/>
                <w:b/>
                <w:bCs/>
                <w:kern w:val="2"/>
                <w:sz w:val="20"/>
                <w:szCs w:val="20"/>
              </w:rPr>
              <w:t>氰基环戊烷</w:t>
            </w:r>
          </w:p>
        </w:tc>
        <w:tc>
          <w:tcPr>
            <w:tcW w:w="3267" w:type="dxa"/>
            <w:shd w:val="clear" w:color="auto" w:fill="D9E2F3"/>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暂无资料</w:t>
            </w:r>
          </w:p>
        </w:tc>
        <w:tc>
          <w:tcPr>
            <w:tcW w:w="2766" w:type="dxa"/>
            <w:shd w:val="clear" w:color="auto" w:fill="D9E2F3"/>
            <w:vAlign w:val="center"/>
          </w:tcPr>
          <w:p>
            <w:pPr>
              <w:autoSpaceDE/>
              <w:autoSpaceDN/>
              <w:spacing w:before="0" w:beforeLines="0" w:after="0" w:afterLines="0" w:line="276" w:lineRule="auto"/>
              <w:ind w:firstLine="0" w:firstLineChars="0"/>
              <w:jc w:val="center"/>
              <w:rPr>
                <w:rFonts w:ascii="Times New Roman" w:hAnsi="Times New Roman" w:eastAsia="仿宋" w:cs="Times New Roman"/>
                <w:bCs/>
                <w:kern w:val="2"/>
                <w:sz w:val="20"/>
                <w:szCs w:val="20"/>
              </w:rPr>
            </w:pPr>
            <w:r>
              <w:rPr>
                <w:rFonts w:hint="eastAsia" w:ascii="Times New Roman" w:hAnsi="Times New Roman" w:eastAsia="仿宋" w:cs="Times New Roman"/>
                <w:bCs/>
                <w:kern w:val="2"/>
                <w:sz w:val="20"/>
                <w:szCs w:val="20"/>
              </w:rPr>
              <w:t>暂无资料</w:t>
            </w:r>
          </w:p>
        </w:tc>
      </w:tr>
    </w:tbl>
    <w:p>
      <w:pPr>
        <w:pStyle w:val="4"/>
        <w:spacing w:before="156" w:after="156"/>
        <w:ind w:firstLine="482"/>
      </w:pPr>
      <w:bookmarkStart w:id="122" w:name="_Toc108206517"/>
      <w:bookmarkStart w:id="123" w:name="_Toc141203926"/>
      <w:r>
        <w:rPr>
          <w:rFonts w:hint="eastAsia"/>
        </w:rPr>
        <w:t>4</w:t>
      </w:r>
      <w:r>
        <w:t>.1.6</w:t>
      </w:r>
      <w:r>
        <w:rPr>
          <w:rFonts w:hint="eastAsia"/>
        </w:rPr>
        <w:t>火灾、爆炸危险物质识别</w:t>
      </w:r>
      <w:bookmarkEnd w:id="122"/>
      <w:bookmarkEnd w:id="123"/>
    </w:p>
    <w:p>
      <w:pPr>
        <w:spacing w:before="156" w:after="156"/>
        <w:ind w:firstLine="420"/>
      </w:pPr>
      <w:r>
        <w:rPr>
          <w:rFonts w:hint="eastAsia"/>
        </w:rPr>
        <w:t>现</w:t>
      </w:r>
      <w:r>
        <w:t>根据《</w:t>
      </w:r>
      <w:r>
        <w:rPr>
          <w:rFonts w:hint="eastAsia"/>
        </w:rPr>
        <w:t>建设</w:t>
      </w:r>
      <w:r>
        <w:t>项目环境风险评价技术导则》</w:t>
      </w:r>
      <w:r>
        <w:rPr>
          <w:rFonts w:hint="eastAsia"/>
        </w:rPr>
        <w:t>中</w:t>
      </w:r>
      <w:r>
        <w:t>附表</w:t>
      </w:r>
      <w:r>
        <w:rPr>
          <w:rFonts w:hint="eastAsia"/>
        </w:rPr>
        <w:t>1关于</w:t>
      </w:r>
      <w:r>
        <w:t>易燃物质进行判定：</w:t>
      </w:r>
    </w:p>
    <w:p>
      <w:pPr>
        <w:spacing w:before="156" w:after="156"/>
        <w:ind w:firstLine="420"/>
      </w:pPr>
    </w:p>
    <w:p>
      <w:pPr>
        <w:pStyle w:val="39"/>
        <w:spacing w:before="156" w:after="156"/>
        <w:ind w:firstLine="360"/>
        <w:rPr>
          <w:rFonts w:ascii="宋体" w:hAnsi="宋体" w:eastAsia="宋体"/>
          <w:sz w:val="18"/>
          <w:szCs w:val="18"/>
        </w:rPr>
      </w:pPr>
      <w:r>
        <w:rPr>
          <w:rFonts w:hint="eastAsia" w:ascii="宋体" w:hAnsi="宋体" w:eastAsia="宋体"/>
          <w:sz w:val="18"/>
          <w:szCs w:val="18"/>
        </w:rPr>
        <w:t>表4-4 《建设</w:t>
      </w:r>
      <w:r>
        <w:rPr>
          <w:rFonts w:ascii="宋体" w:hAnsi="宋体" w:eastAsia="宋体"/>
          <w:sz w:val="18"/>
          <w:szCs w:val="18"/>
        </w:rPr>
        <w:t>项目环境风险评价技术导则</w:t>
      </w:r>
      <w:r>
        <w:rPr>
          <w:rFonts w:hint="eastAsia" w:ascii="宋体" w:hAnsi="宋体" w:eastAsia="宋体"/>
          <w:sz w:val="18"/>
          <w:szCs w:val="18"/>
        </w:rPr>
        <w:t>》中</w:t>
      </w:r>
      <w:r>
        <w:rPr>
          <w:rFonts w:ascii="宋体" w:hAnsi="宋体" w:eastAsia="宋体"/>
          <w:sz w:val="18"/>
          <w:szCs w:val="18"/>
        </w:rPr>
        <w:t>附表</w:t>
      </w:r>
      <w:r>
        <w:rPr>
          <w:rFonts w:hint="eastAsia" w:ascii="宋体" w:hAnsi="宋体" w:eastAsia="宋体"/>
          <w:sz w:val="18"/>
          <w:szCs w:val="18"/>
        </w:rPr>
        <w:t>1</w:t>
      </w:r>
    </w:p>
    <w:tbl>
      <w:tblPr>
        <w:tblStyle w:val="22"/>
        <w:tblW w:w="0" w:type="auto"/>
        <w:tblInd w:w="0" w:type="dxa"/>
        <w:tblLayout w:type="autofit"/>
        <w:tblCellMar>
          <w:top w:w="0" w:type="dxa"/>
          <w:left w:w="108" w:type="dxa"/>
          <w:bottom w:w="0" w:type="dxa"/>
          <w:right w:w="108" w:type="dxa"/>
        </w:tblCellMar>
      </w:tblPr>
      <w:tblGrid>
        <w:gridCol w:w="704"/>
        <w:gridCol w:w="7592"/>
      </w:tblGrid>
      <w:tr>
        <w:tblPrEx>
          <w:tblCellMar>
            <w:top w:w="0" w:type="dxa"/>
            <w:left w:w="108" w:type="dxa"/>
            <w:bottom w:w="0" w:type="dxa"/>
            <w:right w:w="108" w:type="dxa"/>
          </w:tblCellMar>
        </w:tblPrEx>
        <w:tc>
          <w:tcPr>
            <w:tcW w:w="704" w:type="dxa"/>
            <w:vAlign w:val="center"/>
          </w:tcPr>
          <w:p>
            <w:pPr>
              <w:pStyle w:val="37"/>
              <w:spacing w:line="240" w:lineRule="auto"/>
              <w:rPr>
                <w:b/>
                <w:bCs/>
              </w:rPr>
            </w:pPr>
            <w:r>
              <w:t>序号</w:t>
            </w:r>
          </w:p>
        </w:tc>
        <w:tc>
          <w:tcPr>
            <w:tcW w:w="7592" w:type="dxa"/>
            <w:vAlign w:val="center"/>
          </w:tcPr>
          <w:p>
            <w:pPr>
              <w:pStyle w:val="37"/>
              <w:spacing w:line="240" w:lineRule="auto"/>
              <w:ind w:firstLine="360"/>
              <w:rPr>
                <w:b/>
                <w:bCs/>
              </w:rPr>
            </w:pPr>
            <w:r>
              <w:t>易燃物质</w:t>
            </w:r>
          </w:p>
        </w:tc>
      </w:tr>
      <w:tr>
        <w:tblPrEx>
          <w:tblCellMar>
            <w:top w:w="0" w:type="dxa"/>
            <w:left w:w="108" w:type="dxa"/>
            <w:bottom w:w="0" w:type="dxa"/>
            <w:right w:w="108" w:type="dxa"/>
          </w:tblCellMar>
        </w:tblPrEx>
        <w:tc>
          <w:tcPr>
            <w:tcW w:w="704" w:type="dxa"/>
            <w:vAlign w:val="center"/>
          </w:tcPr>
          <w:p>
            <w:pPr>
              <w:pStyle w:val="37"/>
              <w:spacing w:line="240" w:lineRule="auto"/>
              <w:rPr>
                <w:b/>
                <w:bCs/>
              </w:rPr>
            </w:pPr>
            <w:r>
              <w:rPr>
                <w:b/>
              </w:rPr>
              <w:t>1</w:t>
            </w:r>
          </w:p>
        </w:tc>
        <w:tc>
          <w:tcPr>
            <w:tcW w:w="7592" w:type="dxa"/>
            <w:vAlign w:val="center"/>
          </w:tcPr>
          <w:p>
            <w:pPr>
              <w:pStyle w:val="37"/>
              <w:spacing w:line="240" w:lineRule="auto"/>
            </w:pPr>
            <w:r>
              <w:t>可燃气体:在常压下以气态存在并与空气混合形成可燃混合物；其沸点（常压下）是20</w:t>
            </w:r>
            <w:r>
              <w:rPr>
                <w:rFonts w:hint="eastAsia"/>
              </w:rPr>
              <w:t>℃</w:t>
            </w:r>
            <w:r>
              <w:t>或20</w:t>
            </w:r>
            <w:r>
              <w:rPr>
                <w:rFonts w:hint="eastAsia"/>
              </w:rPr>
              <w:t>℃</w:t>
            </w:r>
            <w:r>
              <w:t>以下的物质。</w:t>
            </w:r>
          </w:p>
        </w:tc>
      </w:tr>
      <w:tr>
        <w:tblPrEx>
          <w:tblCellMar>
            <w:top w:w="0" w:type="dxa"/>
            <w:left w:w="108" w:type="dxa"/>
            <w:bottom w:w="0" w:type="dxa"/>
            <w:right w:w="108" w:type="dxa"/>
          </w:tblCellMar>
        </w:tblPrEx>
        <w:tc>
          <w:tcPr>
            <w:tcW w:w="704" w:type="dxa"/>
            <w:vAlign w:val="center"/>
          </w:tcPr>
          <w:p>
            <w:pPr>
              <w:pStyle w:val="37"/>
              <w:spacing w:line="240" w:lineRule="auto"/>
              <w:rPr>
                <w:b/>
                <w:bCs/>
              </w:rPr>
            </w:pPr>
            <w:r>
              <w:rPr>
                <w:b/>
              </w:rPr>
              <w:t>2</w:t>
            </w:r>
          </w:p>
        </w:tc>
        <w:tc>
          <w:tcPr>
            <w:tcW w:w="7592" w:type="dxa"/>
            <w:vAlign w:val="center"/>
          </w:tcPr>
          <w:p>
            <w:pPr>
              <w:pStyle w:val="37"/>
              <w:spacing w:line="240" w:lineRule="auto"/>
            </w:pPr>
            <w:r>
              <w:t>易燃液体：闪点低于21</w:t>
            </w:r>
            <w:r>
              <w:rPr>
                <w:rFonts w:hint="eastAsia"/>
              </w:rPr>
              <w:t>℃</w:t>
            </w:r>
            <w:r>
              <w:t>，沸点高于20</w:t>
            </w:r>
            <w:r>
              <w:rPr>
                <w:rFonts w:hint="eastAsia"/>
              </w:rPr>
              <w:t>℃</w:t>
            </w:r>
            <w:r>
              <w:t>的物质。</w:t>
            </w:r>
          </w:p>
        </w:tc>
      </w:tr>
      <w:tr>
        <w:tblPrEx>
          <w:tblCellMar>
            <w:top w:w="0" w:type="dxa"/>
            <w:left w:w="108" w:type="dxa"/>
            <w:bottom w:w="0" w:type="dxa"/>
            <w:right w:w="108" w:type="dxa"/>
          </w:tblCellMar>
        </w:tblPrEx>
        <w:tc>
          <w:tcPr>
            <w:tcW w:w="704" w:type="dxa"/>
            <w:vAlign w:val="center"/>
          </w:tcPr>
          <w:p>
            <w:pPr>
              <w:pStyle w:val="37"/>
              <w:spacing w:line="240" w:lineRule="auto"/>
              <w:rPr>
                <w:b/>
                <w:bCs/>
              </w:rPr>
            </w:pPr>
            <w:r>
              <w:rPr>
                <w:b/>
              </w:rPr>
              <w:t>3</w:t>
            </w:r>
          </w:p>
        </w:tc>
        <w:tc>
          <w:tcPr>
            <w:tcW w:w="7592" w:type="dxa"/>
            <w:vAlign w:val="center"/>
          </w:tcPr>
          <w:p>
            <w:pPr>
              <w:pStyle w:val="37"/>
              <w:spacing w:line="240" w:lineRule="auto"/>
            </w:pPr>
            <w:r>
              <w:t>可燃液体：闪点低于55</w:t>
            </w:r>
            <w:r>
              <w:rPr>
                <w:rFonts w:hint="eastAsia"/>
              </w:rPr>
              <w:t>℃</w:t>
            </w:r>
            <w:r>
              <w:t>，压力下保持液态，在实际操作条件下（如高温高压）可以引起重大事故的物质。</w:t>
            </w:r>
          </w:p>
        </w:tc>
      </w:tr>
    </w:tbl>
    <w:p>
      <w:pPr>
        <w:spacing w:before="156" w:after="156"/>
        <w:ind w:firstLine="420"/>
      </w:pPr>
      <w:r>
        <w:rPr>
          <w:rFonts w:hint="eastAsia"/>
        </w:rPr>
        <w:t>根据</w:t>
      </w:r>
      <w:r>
        <w:t>各化学品的安全性质及上面的易燃物质的判定标准，对项目</w:t>
      </w:r>
      <w:r>
        <w:rPr>
          <w:rFonts w:hint="eastAsia"/>
        </w:rPr>
        <w:t>所涉及</w:t>
      </w:r>
      <w:r>
        <w:t>的化学品的易燃性级别进行判定，结果如下表：</w:t>
      </w:r>
    </w:p>
    <w:p>
      <w:pPr>
        <w:pStyle w:val="39"/>
        <w:spacing w:before="156" w:after="156"/>
        <w:ind w:firstLine="420"/>
        <w:rPr>
          <w:rFonts w:ascii="宋体" w:hAnsi="宋体" w:eastAsia="宋体"/>
          <w:sz w:val="18"/>
          <w:szCs w:val="18"/>
        </w:rPr>
      </w:pPr>
      <w:r>
        <w:rPr>
          <w:rFonts w:hint="eastAsia" w:ascii="宋体" w:hAnsi="宋体" w:eastAsia="宋体"/>
          <w:sz w:val="18"/>
          <w:szCs w:val="18"/>
        </w:rPr>
        <w:t>表4-5 危险</w:t>
      </w:r>
      <w:r>
        <w:rPr>
          <w:rFonts w:ascii="宋体" w:hAnsi="宋体" w:eastAsia="宋体"/>
          <w:sz w:val="18"/>
          <w:szCs w:val="18"/>
        </w:rPr>
        <w:t>化学品易燃物质</w:t>
      </w:r>
      <w:r>
        <w:rPr>
          <w:rFonts w:hint="eastAsia" w:ascii="宋体" w:hAnsi="宋体" w:eastAsia="宋体"/>
          <w:sz w:val="18"/>
          <w:szCs w:val="18"/>
        </w:rPr>
        <w:t>辨别结果</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838"/>
        <w:gridCol w:w="4536"/>
        <w:gridCol w:w="1922"/>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838"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化学品</w:t>
            </w:r>
            <w:r>
              <w:rPr>
                <w:b/>
                <w:bCs/>
                <w:color w:val="FFFFFF" w:themeColor="background1"/>
                <w14:textFill>
                  <w14:solidFill>
                    <w14:schemeClr w14:val="bg1"/>
                  </w14:solidFill>
                </w14:textFill>
              </w:rPr>
              <w:t>名</w:t>
            </w:r>
          </w:p>
        </w:tc>
        <w:tc>
          <w:tcPr>
            <w:tcW w:w="453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理化</w:t>
            </w:r>
            <w:r>
              <w:rPr>
                <w:b/>
                <w:bCs/>
                <w:color w:val="FFFFFF" w:themeColor="background1"/>
                <w14:textFill>
                  <w14:solidFill>
                    <w14:schemeClr w14:val="bg1"/>
                  </w14:solidFill>
                </w14:textFill>
              </w:rPr>
              <w:t>性质</w:t>
            </w:r>
          </w:p>
        </w:tc>
        <w:tc>
          <w:tcPr>
            <w:tcW w:w="1922"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易燃</w:t>
            </w:r>
            <w:r>
              <w:rPr>
                <w:b/>
                <w:bCs/>
                <w:color w:val="FFFFFF" w:themeColor="background1"/>
                <w14:textFill>
                  <w14:solidFill>
                    <w14:schemeClr w14:val="bg1"/>
                  </w14:solidFill>
                </w14:textFill>
              </w:rPr>
              <w:t>物质级别</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838" w:type="dxa"/>
            <w:shd w:val="clear" w:color="auto" w:fill="D9E2F3" w:themeFill="accent1" w:themeFillTint="33"/>
            <w:vAlign w:val="center"/>
          </w:tcPr>
          <w:p>
            <w:pPr>
              <w:pStyle w:val="37"/>
              <w:spacing w:line="240" w:lineRule="auto"/>
              <w:rPr>
                <w:b w:val="0"/>
                <w:bCs w:val="0"/>
              </w:rPr>
            </w:pPr>
            <w:r>
              <w:rPr>
                <w:rFonts w:hint="eastAsia"/>
                <w:b/>
                <w:bCs/>
              </w:rPr>
              <w:t>氨</w:t>
            </w:r>
          </w:p>
        </w:tc>
        <w:tc>
          <w:tcPr>
            <w:tcW w:w="4536" w:type="dxa"/>
            <w:shd w:val="clear" w:color="auto" w:fill="D9E2F3" w:themeFill="accent1" w:themeFillTint="33"/>
            <w:vAlign w:val="center"/>
          </w:tcPr>
          <w:p>
            <w:pPr>
              <w:pStyle w:val="46"/>
              <w:spacing w:line="240" w:lineRule="auto"/>
              <w:rPr>
                <w:b w:val="0"/>
              </w:rPr>
            </w:pPr>
            <w:r>
              <w:rPr>
                <w:b w:val="0"/>
              </w:rPr>
              <w:t>沸点：</w:t>
            </w:r>
            <w:r>
              <w:rPr>
                <w:rFonts w:hint="eastAsia"/>
                <w:b w:val="0"/>
              </w:rPr>
              <w:t>-</w:t>
            </w:r>
            <w:r>
              <w:rPr>
                <w:b w:val="0"/>
              </w:rPr>
              <w:t>33.5</w:t>
            </w:r>
            <w:r>
              <w:rPr>
                <w:rFonts w:hint="eastAsia"/>
                <w:b w:val="0"/>
              </w:rPr>
              <w:t>℃</w:t>
            </w:r>
          </w:p>
          <w:p>
            <w:pPr>
              <w:pStyle w:val="37"/>
              <w:spacing w:line="240" w:lineRule="auto"/>
            </w:pPr>
            <w:r>
              <w:rPr>
                <w:rFonts w:hint="eastAsia"/>
              </w:rPr>
              <w:t>爆炸极限</w:t>
            </w:r>
            <w:r>
              <w:t>15.7%</w:t>
            </w:r>
            <w:r>
              <w:rPr>
                <w:rFonts w:hint="eastAsia"/>
              </w:rPr>
              <w:t>~</w:t>
            </w:r>
            <w:r>
              <w:t>27.4%</w:t>
            </w:r>
          </w:p>
        </w:tc>
        <w:tc>
          <w:tcPr>
            <w:tcW w:w="1922" w:type="dxa"/>
            <w:shd w:val="clear" w:color="auto" w:fill="D9E2F3" w:themeFill="accent1" w:themeFillTint="33"/>
            <w:vAlign w:val="center"/>
          </w:tcPr>
          <w:p>
            <w:pPr>
              <w:pStyle w:val="37"/>
              <w:spacing w:line="240" w:lineRule="auto"/>
            </w:pPr>
            <w:r>
              <w:t>1</w:t>
            </w:r>
            <w:r>
              <w:rPr>
                <w:rFonts w:hint="eastAsia"/>
              </w:rPr>
              <w:t>类可</w:t>
            </w:r>
            <w:r>
              <w:t>燃</w:t>
            </w:r>
            <w:r>
              <w:rPr>
                <w:rFonts w:hint="eastAsia"/>
              </w:rPr>
              <w:t>气体</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838" w:type="dxa"/>
            <w:vAlign w:val="center"/>
          </w:tcPr>
          <w:p>
            <w:pPr>
              <w:pStyle w:val="37"/>
              <w:spacing w:line="240" w:lineRule="auto"/>
              <w:rPr>
                <w:b w:val="0"/>
                <w:bCs w:val="0"/>
              </w:rPr>
            </w:pPr>
            <w:r>
              <w:rPr>
                <w:rFonts w:hint="eastAsia"/>
                <w:b/>
                <w:bCs/>
              </w:rPr>
              <w:t>环戊酮</w:t>
            </w:r>
          </w:p>
        </w:tc>
        <w:tc>
          <w:tcPr>
            <w:tcW w:w="4536" w:type="dxa"/>
            <w:vAlign w:val="center"/>
          </w:tcPr>
          <w:p>
            <w:pPr>
              <w:pStyle w:val="37"/>
              <w:spacing w:line="240" w:lineRule="auto"/>
            </w:pPr>
            <w:r>
              <w:rPr>
                <w:rFonts w:hint="eastAsia"/>
              </w:rPr>
              <w:t>闪点：</w:t>
            </w:r>
            <w:r>
              <w:t>30.5</w:t>
            </w:r>
            <w:r>
              <w:rPr>
                <w:rFonts w:hint="eastAsia"/>
              </w:rPr>
              <w:t>℃</w:t>
            </w:r>
          </w:p>
        </w:tc>
        <w:tc>
          <w:tcPr>
            <w:tcW w:w="1922" w:type="dxa"/>
            <w:vAlign w:val="center"/>
          </w:tcPr>
          <w:p>
            <w:pPr>
              <w:pStyle w:val="37"/>
              <w:spacing w:line="240" w:lineRule="auto"/>
            </w:pPr>
            <w:r>
              <w:rPr>
                <w:rFonts w:hint="eastAsia"/>
              </w:rPr>
              <w:t>3类可燃液体</w:t>
            </w:r>
            <w:r>
              <w:t xml:space="preserve"> </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838" w:type="dxa"/>
            <w:shd w:val="clear" w:color="auto" w:fill="D9E2F3" w:themeFill="accent1" w:themeFillTint="33"/>
            <w:vAlign w:val="center"/>
          </w:tcPr>
          <w:p>
            <w:pPr>
              <w:pStyle w:val="37"/>
              <w:spacing w:line="240" w:lineRule="auto"/>
              <w:rPr>
                <w:b/>
                <w:bCs/>
              </w:rPr>
            </w:pPr>
            <w:r>
              <w:rPr>
                <w:rFonts w:hint="eastAsia"/>
                <w:b/>
                <w:bCs/>
              </w:rPr>
              <w:t>己二腈</w:t>
            </w:r>
          </w:p>
        </w:tc>
        <w:tc>
          <w:tcPr>
            <w:tcW w:w="4536" w:type="dxa"/>
            <w:shd w:val="clear" w:color="auto" w:fill="D9E2F3" w:themeFill="accent1" w:themeFillTint="33"/>
            <w:vAlign w:val="center"/>
          </w:tcPr>
          <w:p>
            <w:pPr>
              <w:pStyle w:val="37"/>
              <w:spacing w:line="240" w:lineRule="auto"/>
            </w:pPr>
            <w:r>
              <w:rPr>
                <w:rFonts w:hint="eastAsia"/>
              </w:rPr>
              <w:t>闪点：1</w:t>
            </w:r>
            <w:r>
              <w:t>96</w:t>
            </w:r>
            <w:r>
              <w:rPr>
                <w:rFonts w:hint="eastAsia"/>
              </w:rPr>
              <w:t>℃</w:t>
            </w:r>
          </w:p>
        </w:tc>
        <w:tc>
          <w:tcPr>
            <w:tcW w:w="1922" w:type="dxa"/>
            <w:shd w:val="clear" w:color="auto" w:fill="D9E2F3" w:themeFill="accent1" w:themeFillTint="33"/>
            <w:vAlign w:val="center"/>
          </w:tcPr>
          <w:p>
            <w:pPr>
              <w:pStyle w:val="37"/>
              <w:spacing w:line="240" w:lineRule="auto"/>
            </w:pPr>
            <w:r>
              <w:rPr>
                <w:rFonts w:hint="eastAsia"/>
              </w:rPr>
              <w:t>非易燃物质</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838" w:type="dxa"/>
            <w:vAlign w:val="center"/>
          </w:tcPr>
          <w:p>
            <w:pPr>
              <w:pStyle w:val="37"/>
              <w:spacing w:line="240" w:lineRule="auto"/>
              <w:rPr>
                <w:b/>
                <w:bCs/>
              </w:rPr>
            </w:pPr>
            <w:r>
              <w:rPr>
                <w:rFonts w:hint="eastAsia"/>
                <w:b/>
                <w:bCs/>
              </w:rPr>
              <w:t>磷酸</w:t>
            </w:r>
          </w:p>
        </w:tc>
        <w:tc>
          <w:tcPr>
            <w:tcW w:w="4536" w:type="dxa"/>
            <w:vAlign w:val="center"/>
          </w:tcPr>
          <w:p>
            <w:pPr>
              <w:pStyle w:val="37"/>
              <w:spacing w:line="240" w:lineRule="auto"/>
            </w:pPr>
            <w:r>
              <w:rPr>
                <w:rFonts w:hint="eastAsia"/>
              </w:rPr>
              <w:t>沸点：2</w:t>
            </w:r>
            <w:r>
              <w:t>60</w:t>
            </w:r>
            <w:r>
              <w:rPr>
                <w:rFonts w:hint="eastAsia"/>
              </w:rPr>
              <w:t>℃</w:t>
            </w:r>
          </w:p>
        </w:tc>
        <w:tc>
          <w:tcPr>
            <w:tcW w:w="1922" w:type="dxa"/>
            <w:vAlign w:val="center"/>
          </w:tcPr>
          <w:p>
            <w:pPr>
              <w:pStyle w:val="37"/>
              <w:spacing w:line="240" w:lineRule="auto"/>
            </w:pPr>
            <w:r>
              <w:rPr>
                <w:rFonts w:hint="eastAsia"/>
              </w:rPr>
              <w:t>非易燃物质</w:t>
            </w:r>
          </w:p>
        </w:tc>
      </w:tr>
    </w:tbl>
    <w:p>
      <w:pPr>
        <w:pStyle w:val="39"/>
        <w:spacing w:before="156" w:after="156"/>
        <w:ind w:firstLine="420"/>
        <w:rPr>
          <w:rFonts w:ascii="宋体" w:hAnsi="宋体" w:eastAsia="宋体"/>
          <w:sz w:val="18"/>
          <w:szCs w:val="18"/>
        </w:rPr>
      </w:pPr>
      <w:r>
        <w:rPr>
          <w:rFonts w:hint="eastAsia" w:ascii="宋体" w:hAnsi="宋体" w:eastAsia="宋体"/>
          <w:sz w:val="18"/>
          <w:szCs w:val="18"/>
        </w:rPr>
        <w:t>表4-</w:t>
      </w:r>
      <w:r>
        <w:rPr>
          <w:rFonts w:ascii="宋体" w:hAnsi="宋体" w:eastAsia="宋体"/>
          <w:sz w:val="18"/>
          <w:szCs w:val="18"/>
        </w:rPr>
        <w:t>6</w:t>
      </w:r>
      <w:r>
        <w:rPr>
          <w:rFonts w:hint="eastAsia" w:ascii="宋体" w:hAnsi="宋体" w:eastAsia="宋体"/>
          <w:sz w:val="18"/>
          <w:szCs w:val="18"/>
        </w:rPr>
        <w:t xml:space="preserve"> 危险</w:t>
      </w:r>
      <w:r>
        <w:rPr>
          <w:rFonts w:ascii="宋体" w:hAnsi="宋体" w:eastAsia="宋体"/>
          <w:sz w:val="18"/>
          <w:szCs w:val="18"/>
        </w:rPr>
        <w:t>化学品</w:t>
      </w:r>
      <w:r>
        <w:rPr>
          <w:rFonts w:hint="eastAsia" w:ascii="宋体" w:hAnsi="宋体" w:eastAsia="宋体"/>
          <w:sz w:val="18"/>
          <w:szCs w:val="18"/>
        </w:rPr>
        <w:t>名称</w:t>
      </w:r>
      <w:r>
        <w:rPr>
          <w:rFonts w:ascii="宋体" w:hAnsi="宋体" w:eastAsia="宋体"/>
          <w:sz w:val="18"/>
          <w:szCs w:val="18"/>
        </w:rPr>
        <w:t>及其临界含量</w:t>
      </w:r>
    </w:p>
    <w:tbl>
      <w:tblPr>
        <w:tblStyle w:val="44"/>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838"/>
        <w:gridCol w:w="2683"/>
        <w:gridCol w:w="207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838"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序号</w:t>
            </w:r>
          </w:p>
        </w:tc>
        <w:tc>
          <w:tcPr>
            <w:tcW w:w="268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val="0"/>
                <w:color w:val="FFFFFF" w:themeColor="background1"/>
                <w14:textFill>
                  <w14:solidFill>
                    <w14:schemeClr w14:val="bg1"/>
                  </w14:solidFill>
                </w14:textFill>
              </w:rPr>
              <w:t>危险化学品名称和说明</w:t>
            </w:r>
          </w:p>
        </w:tc>
        <w:tc>
          <w:tcPr>
            <w:tcW w:w="207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val="0"/>
                <w:color w:val="FFFFFF" w:themeColor="background1"/>
                <w14:textFill>
                  <w14:solidFill>
                    <w14:schemeClr w14:val="bg1"/>
                  </w14:solidFill>
                </w14:textFill>
              </w:rPr>
              <w:t>临界量</w:t>
            </w:r>
            <w:r>
              <w:rPr>
                <w:rFonts w:hint="eastAsia"/>
                <w:b/>
                <w:bCs/>
                <w:color w:val="FFFFFF" w:themeColor="background1"/>
                <w14:textFill>
                  <w14:solidFill>
                    <w14:schemeClr w14:val="bg1"/>
                  </w14:solidFill>
                </w14:textFill>
              </w:rPr>
              <w:t>Q（T）</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838" w:type="dxa"/>
            <w:shd w:val="clear" w:color="auto" w:fill="D9E2F3" w:themeFill="accent1" w:themeFillTint="33"/>
          </w:tcPr>
          <w:p>
            <w:pPr>
              <w:pStyle w:val="37"/>
              <w:spacing w:line="240" w:lineRule="auto"/>
              <w:rPr>
                <w:b w:val="0"/>
                <w:bCs w:val="0"/>
              </w:rPr>
            </w:pPr>
            <w:r>
              <w:rPr>
                <w:b w:val="0"/>
                <w:bCs/>
              </w:rPr>
              <w:t>1</w:t>
            </w:r>
          </w:p>
        </w:tc>
        <w:tc>
          <w:tcPr>
            <w:tcW w:w="2683" w:type="dxa"/>
            <w:shd w:val="clear" w:color="auto" w:fill="D9E2F3" w:themeFill="accent1" w:themeFillTint="33"/>
          </w:tcPr>
          <w:p>
            <w:pPr>
              <w:pStyle w:val="37"/>
              <w:spacing w:line="240" w:lineRule="auto"/>
            </w:pPr>
            <w:r>
              <w:rPr>
                <w:rFonts w:hint="eastAsia"/>
              </w:rPr>
              <w:t>氨</w:t>
            </w:r>
          </w:p>
        </w:tc>
        <w:tc>
          <w:tcPr>
            <w:tcW w:w="2074" w:type="dxa"/>
            <w:shd w:val="clear" w:color="auto" w:fill="D9E2F3" w:themeFill="accent1" w:themeFillTint="33"/>
          </w:tcPr>
          <w:p>
            <w:pPr>
              <w:pStyle w:val="37"/>
              <w:spacing w:line="240" w:lineRule="auto"/>
            </w:pPr>
            <w:r>
              <w:rPr>
                <w:rFonts w:hint="eastAsia"/>
              </w:rPr>
              <w:t>1</w:t>
            </w:r>
            <w:r>
              <w:t>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838" w:type="dxa"/>
          </w:tcPr>
          <w:p>
            <w:pPr>
              <w:pStyle w:val="37"/>
              <w:spacing w:line="240" w:lineRule="auto"/>
              <w:rPr>
                <w:b w:val="0"/>
                <w:bCs w:val="0"/>
              </w:rPr>
            </w:pPr>
            <w:r>
              <w:rPr>
                <w:rFonts w:hint="eastAsia"/>
                <w:b w:val="0"/>
                <w:bCs/>
              </w:rPr>
              <w:t>2</w:t>
            </w:r>
          </w:p>
        </w:tc>
        <w:tc>
          <w:tcPr>
            <w:tcW w:w="2683" w:type="dxa"/>
          </w:tcPr>
          <w:p>
            <w:pPr>
              <w:pStyle w:val="37"/>
              <w:spacing w:line="240" w:lineRule="auto"/>
            </w:pPr>
            <w:r>
              <w:rPr>
                <w:rFonts w:hint="eastAsia"/>
              </w:rPr>
              <w:t>己二腈</w:t>
            </w:r>
          </w:p>
        </w:tc>
        <w:tc>
          <w:tcPr>
            <w:tcW w:w="2074" w:type="dxa"/>
          </w:tcPr>
          <w:p>
            <w:pPr>
              <w:pStyle w:val="37"/>
              <w:spacing w:line="240" w:lineRule="auto"/>
            </w:pPr>
            <w:r>
              <w:rPr>
                <w:rFonts w:hint="eastAsia"/>
              </w:rPr>
              <w:t>5</w:t>
            </w:r>
            <w:r>
              <w:t>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838" w:type="dxa"/>
            <w:shd w:val="clear" w:color="auto" w:fill="D9E2F3" w:themeFill="accent1" w:themeFillTint="33"/>
          </w:tcPr>
          <w:p>
            <w:pPr>
              <w:pStyle w:val="37"/>
              <w:spacing w:line="240" w:lineRule="auto"/>
              <w:rPr>
                <w:b w:val="0"/>
                <w:bCs/>
              </w:rPr>
            </w:pPr>
            <w:r>
              <w:rPr>
                <w:rFonts w:hint="eastAsia"/>
                <w:b w:val="0"/>
                <w:bCs/>
              </w:rPr>
              <w:t>3</w:t>
            </w:r>
          </w:p>
        </w:tc>
        <w:tc>
          <w:tcPr>
            <w:tcW w:w="2683" w:type="dxa"/>
            <w:shd w:val="clear" w:color="auto" w:fill="D9E2F3" w:themeFill="accent1" w:themeFillTint="33"/>
          </w:tcPr>
          <w:p>
            <w:pPr>
              <w:pStyle w:val="37"/>
              <w:spacing w:line="240" w:lineRule="auto"/>
            </w:pPr>
            <w:r>
              <w:rPr>
                <w:rFonts w:hint="eastAsia"/>
              </w:rPr>
              <w:t>磷酸</w:t>
            </w:r>
          </w:p>
        </w:tc>
        <w:tc>
          <w:tcPr>
            <w:tcW w:w="2074" w:type="dxa"/>
            <w:shd w:val="clear" w:color="auto" w:fill="D9E2F3" w:themeFill="accent1" w:themeFillTint="33"/>
          </w:tcPr>
          <w:p>
            <w:pPr>
              <w:pStyle w:val="37"/>
              <w:spacing w:line="240" w:lineRule="auto"/>
            </w:pPr>
            <w:r>
              <w:rPr>
                <w:rFonts w:hint="eastAsia"/>
              </w:rPr>
              <w:t>5</w:t>
            </w:r>
            <w:r>
              <w:t>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838" w:type="dxa"/>
          </w:tcPr>
          <w:p>
            <w:pPr>
              <w:pStyle w:val="37"/>
              <w:spacing w:line="240" w:lineRule="auto"/>
              <w:rPr>
                <w:b w:val="0"/>
                <w:bCs/>
              </w:rPr>
            </w:pPr>
            <w:r>
              <w:rPr>
                <w:rFonts w:hint="eastAsia"/>
                <w:b w:val="0"/>
                <w:bCs/>
              </w:rPr>
              <w:t>4</w:t>
            </w:r>
          </w:p>
        </w:tc>
        <w:tc>
          <w:tcPr>
            <w:tcW w:w="2683" w:type="dxa"/>
          </w:tcPr>
          <w:p>
            <w:pPr>
              <w:pStyle w:val="37"/>
              <w:spacing w:line="240" w:lineRule="auto"/>
            </w:pPr>
            <w:r>
              <w:rPr>
                <w:rFonts w:hint="eastAsia"/>
              </w:rPr>
              <w:t>环戊酮</w:t>
            </w:r>
          </w:p>
        </w:tc>
        <w:tc>
          <w:tcPr>
            <w:tcW w:w="2074" w:type="dxa"/>
          </w:tcPr>
          <w:p>
            <w:pPr>
              <w:pStyle w:val="37"/>
              <w:spacing w:line="240" w:lineRule="auto"/>
            </w:pPr>
            <w:r>
              <w:rPr>
                <w:rFonts w:hint="eastAsia"/>
              </w:rPr>
              <w:t>1</w:t>
            </w:r>
            <w:r>
              <w:t>0</w:t>
            </w:r>
          </w:p>
        </w:tc>
      </w:tr>
    </w:tbl>
    <w:p>
      <w:pPr>
        <w:pStyle w:val="4"/>
        <w:spacing w:before="156" w:after="156"/>
        <w:ind w:firstLine="482"/>
      </w:pPr>
      <w:bookmarkStart w:id="124" w:name="_Toc141203927"/>
      <w:bookmarkStart w:id="125" w:name="_Toc108206518"/>
      <w:r>
        <w:rPr>
          <w:rFonts w:hint="eastAsia"/>
        </w:rPr>
        <w:t>4</w:t>
      </w:r>
      <w:r>
        <w:t>.1.7</w:t>
      </w:r>
      <w:r>
        <w:rPr>
          <w:rFonts w:hint="eastAsia"/>
        </w:rPr>
        <w:t>重大危险源辨识</w:t>
      </w:r>
      <w:bookmarkEnd w:id="124"/>
      <w:bookmarkEnd w:id="125"/>
    </w:p>
    <w:p>
      <w:pPr>
        <w:spacing w:before="156" w:after="156"/>
        <w:ind w:firstLine="420"/>
      </w:pPr>
      <w:r>
        <w:rPr>
          <w:rFonts w:hint="eastAsia"/>
        </w:rPr>
        <w:t>根据项目工程分析，</w:t>
      </w:r>
      <w:r>
        <w:rPr>
          <w:rFonts w:hint="eastAsia"/>
          <w:color w:val="000000"/>
          <w:szCs w:val="24"/>
        </w:rPr>
        <w:t>划分</w:t>
      </w:r>
      <w:r>
        <w:rPr>
          <w:rFonts w:hint="eastAsia"/>
        </w:rPr>
        <w:t>功能单元。凡生产、加工、运输、使用或贮存危险性物质，且危险性物质的数量等于或超过临界量的功能单元，定为重大危险源。其临界量见表4-</w:t>
      </w:r>
      <w:r>
        <w:t>7</w:t>
      </w:r>
      <w:r>
        <w:rPr>
          <w:rFonts w:hint="eastAsia"/>
        </w:rPr>
        <w:t>。</w:t>
      </w:r>
    </w:p>
    <w:p>
      <w:pPr>
        <w:pStyle w:val="39"/>
        <w:spacing w:before="156" w:after="156"/>
        <w:ind w:firstLine="420"/>
        <w:rPr>
          <w:rFonts w:ascii="宋体" w:hAnsi="宋体" w:eastAsia="宋体"/>
          <w:sz w:val="18"/>
          <w:szCs w:val="18"/>
        </w:rPr>
      </w:pPr>
      <w:r>
        <w:rPr>
          <w:rFonts w:hint="eastAsia" w:ascii="宋体" w:hAnsi="宋体" w:eastAsia="宋体"/>
          <w:sz w:val="18"/>
          <w:szCs w:val="18"/>
        </w:rPr>
        <w:t>表4-</w:t>
      </w:r>
      <w:r>
        <w:rPr>
          <w:rFonts w:ascii="宋体" w:hAnsi="宋体" w:eastAsia="宋体"/>
          <w:sz w:val="18"/>
          <w:szCs w:val="18"/>
        </w:rPr>
        <w:t>7</w:t>
      </w:r>
      <w:r>
        <w:rPr>
          <w:rFonts w:hint="eastAsia" w:ascii="宋体" w:hAnsi="宋体" w:eastAsia="宋体"/>
          <w:sz w:val="18"/>
          <w:szCs w:val="18"/>
        </w:rPr>
        <w:t xml:space="preserve"> 重大</w:t>
      </w:r>
      <w:r>
        <w:rPr>
          <w:rFonts w:ascii="宋体" w:hAnsi="宋体" w:eastAsia="宋体"/>
          <w:sz w:val="18"/>
          <w:szCs w:val="18"/>
        </w:rPr>
        <w:t>危险源辨识</w:t>
      </w:r>
      <w:r>
        <w:rPr>
          <w:rFonts w:hint="eastAsia" w:ascii="宋体" w:hAnsi="宋体" w:eastAsia="宋体"/>
          <w:sz w:val="18"/>
          <w:szCs w:val="18"/>
        </w:rPr>
        <w:t>结果</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271"/>
        <w:gridCol w:w="992"/>
        <w:gridCol w:w="1276"/>
        <w:gridCol w:w="709"/>
        <w:gridCol w:w="992"/>
        <w:gridCol w:w="3056"/>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autoSpaceDE/>
              <w:autoSpaceDN/>
              <w:spacing w:before="0" w:beforeLines="0" w:after="0" w:afterLines="0" w:line="240" w:lineRule="auto"/>
              <w:ind w:firstLine="0" w:firstLineChars="0"/>
              <w:jc w:val="center"/>
              <w:rPr>
                <w:rFonts w:ascii="Times New Roman" w:hAnsi="Times New Roman" w:eastAsia="仿宋" w:cs="Times New Roman"/>
                <w:b w:val="0"/>
                <w:bCs w:val="0"/>
                <w:color w:val="FFFFFF" w:themeColor="background1"/>
                <w:kern w:val="2"/>
                <w14:textFill>
                  <w14:solidFill>
                    <w14:schemeClr w14:val="bg1"/>
                  </w14:solidFill>
                </w14:textFill>
              </w:rPr>
            </w:pPr>
            <w:r>
              <w:rPr>
                <w:rFonts w:hint="eastAsia" w:ascii="Times New Roman" w:hAnsi="Times New Roman" w:eastAsia="仿宋" w:cs="Times New Roman"/>
                <w:b/>
                <w:bCs/>
                <w:color w:val="FFFFFF" w:themeColor="background1"/>
                <w:kern w:val="2"/>
                <w14:textFill>
                  <w14:solidFill>
                    <w14:schemeClr w14:val="bg1"/>
                  </w14:solidFill>
                </w14:textFill>
              </w:rPr>
              <w:t>危险</w:t>
            </w:r>
            <w:r>
              <w:rPr>
                <w:rFonts w:ascii="Times New Roman" w:hAnsi="Times New Roman" w:eastAsia="仿宋" w:cs="Times New Roman"/>
                <w:b/>
                <w:bCs/>
                <w:color w:val="FFFFFF" w:themeColor="background1"/>
                <w:kern w:val="2"/>
                <w14:textFill>
                  <w14:solidFill>
                    <w14:schemeClr w14:val="bg1"/>
                  </w14:solidFill>
                </w14:textFill>
              </w:rPr>
              <w:t>化学品名称</w:t>
            </w:r>
          </w:p>
        </w:tc>
        <w:tc>
          <w:tcPr>
            <w:tcW w:w="99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autoSpaceDE/>
              <w:autoSpaceDN/>
              <w:spacing w:before="0" w:beforeLines="0" w:after="0" w:afterLines="0" w:line="240" w:lineRule="auto"/>
              <w:ind w:firstLine="0" w:firstLineChars="0"/>
              <w:jc w:val="center"/>
              <w:rPr>
                <w:rFonts w:ascii="Times New Roman" w:hAnsi="Times New Roman" w:eastAsia="仿宋" w:cs="Times New Roman"/>
                <w:b w:val="0"/>
                <w:bCs w:val="0"/>
                <w:color w:val="FFFFFF" w:themeColor="background1"/>
                <w:kern w:val="2"/>
                <w14:textFill>
                  <w14:solidFill>
                    <w14:schemeClr w14:val="bg1"/>
                  </w14:solidFill>
                </w14:textFill>
              </w:rPr>
            </w:pPr>
            <w:r>
              <w:rPr>
                <w:rFonts w:hint="eastAsia" w:ascii="Times New Roman" w:hAnsi="Times New Roman" w:eastAsia="仿宋" w:cs="Times New Roman"/>
                <w:b/>
                <w:bCs/>
                <w:color w:val="FFFFFF" w:themeColor="background1"/>
                <w:kern w:val="2"/>
                <w14:textFill>
                  <w14:solidFill>
                    <w14:schemeClr w14:val="bg1"/>
                  </w14:solidFill>
                </w14:textFill>
              </w:rPr>
              <w:t>临界量Q（T）</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autoSpaceDE/>
              <w:autoSpaceDN/>
              <w:spacing w:before="0" w:beforeLines="0" w:after="0" w:afterLines="0" w:line="240" w:lineRule="auto"/>
              <w:ind w:firstLine="0" w:firstLineChars="0"/>
              <w:jc w:val="center"/>
              <w:rPr>
                <w:rFonts w:ascii="Times New Roman" w:hAnsi="Times New Roman" w:eastAsia="仿宋" w:cs="Times New Roman"/>
                <w:b w:val="0"/>
                <w:bCs w:val="0"/>
                <w:color w:val="FFFFFF" w:themeColor="background1"/>
                <w:kern w:val="2"/>
                <w14:textFill>
                  <w14:solidFill>
                    <w14:schemeClr w14:val="bg1"/>
                  </w14:solidFill>
                </w14:textFill>
              </w:rPr>
            </w:pPr>
            <w:r>
              <w:rPr>
                <w:rFonts w:hint="eastAsia" w:ascii="Times New Roman" w:hAnsi="Times New Roman" w:eastAsia="仿宋" w:cs="Times New Roman"/>
                <w:b/>
                <w:bCs/>
                <w:color w:val="FFFFFF" w:themeColor="background1"/>
                <w:kern w:val="2"/>
                <w14:textFill>
                  <w14:solidFill>
                    <w14:schemeClr w14:val="bg1"/>
                  </w14:solidFill>
                </w14:textFill>
              </w:rPr>
              <w:t>实际</w:t>
            </w:r>
            <w:r>
              <w:rPr>
                <w:rFonts w:ascii="Times New Roman" w:hAnsi="Times New Roman" w:eastAsia="仿宋" w:cs="Times New Roman"/>
                <w:b/>
                <w:bCs/>
                <w:color w:val="FFFFFF" w:themeColor="background1"/>
                <w:kern w:val="2"/>
                <w14:textFill>
                  <w14:solidFill>
                    <w14:schemeClr w14:val="bg1"/>
                  </w14:solidFill>
                </w14:textFill>
              </w:rPr>
              <w:t>存在</w:t>
            </w:r>
            <w:r>
              <w:rPr>
                <w:rFonts w:hint="eastAsia" w:ascii="Times New Roman" w:hAnsi="Times New Roman" w:eastAsia="仿宋" w:cs="Times New Roman"/>
                <w:b/>
                <w:bCs/>
                <w:color w:val="FFFFFF" w:themeColor="background1"/>
                <w:kern w:val="2"/>
                <w14:textFill>
                  <w14:solidFill>
                    <w14:schemeClr w14:val="bg1"/>
                  </w14:solidFill>
                </w14:textFill>
              </w:rPr>
              <w:t>量</w:t>
            </w:r>
            <w:r>
              <w:rPr>
                <w:rFonts w:ascii="Times New Roman" w:hAnsi="Times New Roman" w:eastAsia="仿宋" w:cs="Times New Roman"/>
                <w:b/>
                <w:bCs/>
                <w:color w:val="FFFFFF" w:themeColor="background1"/>
                <w:kern w:val="2"/>
                <w14:textFill>
                  <w14:solidFill>
                    <w14:schemeClr w14:val="bg1"/>
                  </w14:solidFill>
                </w14:textFill>
              </w:rPr>
              <w:t>q（</w:t>
            </w:r>
            <w:r>
              <w:rPr>
                <w:rFonts w:hint="eastAsia" w:ascii="Times New Roman" w:hAnsi="Times New Roman" w:eastAsia="仿宋" w:cs="Times New Roman"/>
                <w:b/>
                <w:bCs/>
                <w:color w:val="FFFFFF" w:themeColor="background1"/>
                <w:kern w:val="2"/>
                <w14:textFill>
                  <w14:solidFill>
                    <w14:schemeClr w14:val="bg1"/>
                  </w14:solidFill>
                </w14:textFill>
              </w:rPr>
              <w:t>T</w:t>
            </w:r>
            <w:r>
              <w:rPr>
                <w:rFonts w:ascii="Times New Roman" w:hAnsi="Times New Roman" w:eastAsia="仿宋" w:cs="Times New Roman"/>
                <w:b/>
                <w:bCs/>
                <w:color w:val="FFFFFF" w:themeColor="background1"/>
                <w:kern w:val="2"/>
                <w14:textFill>
                  <w14:solidFill>
                    <w14:schemeClr w14:val="bg1"/>
                  </w14:solidFill>
                </w14:textFill>
              </w:rPr>
              <w:t>）</w:t>
            </w:r>
          </w:p>
        </w:tc>
        <w:tc>
          <w:tcPr>
            <w:tcW w:w="70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autoSpaceDE/>
              <w:autoSpaceDN/>
              <w:spacing w:before="0" w:beforeLines="0" w:after="0" w:afterLines="0" w:line="240" w:lineRule="auto"/>
              <w:ind w:firstLine="0" w:firstLineChars="0"/>
              <w:jc w:val="center"/>
              <w:rPr>
                <w:rFonts w:ascii="Times New Roman" w:hAnsi="Times New Roman" w:eastAsia="仿宋" w:cs="Times New Roman"/>
                <w:b w:val="0"/>
                <w:bCs w:val="0"/>
                <w:color w:val="FFFFFF" w:themeColor="background1"/>
                <w:kern w:val="2"/>
                <w14:textFill>
                  <w14:solidFill>
                    <w14:schemeClr w14:val="bg1"/>
                  </w14:solidFill>
                </w14:textFill>
              </w:rPr>
            </w:pPr>
            <w:r>
              <w:rPr>
                <w:rFonts w:hint="eastAsia" w:ascii="Times New Roman" w:hAnsi="Times New Roman" w:eastAsia="仿宋" w:cs="Times New Roman"/>
                <w:b/>
                <w:bCs/>
                <w:color w:val="FFFFFF" w:themeColor="background1"/>
                <w:kern w:val="2"/>
                <w14:textFill>
                  <w14:solidFill>
                    <w14:schemeClr w14:val="bg1"/>
                  </w14:solidFill>
                </w14:textFill>
              </w:rPr>
              <w:t>β</w:t>
            </w:r>
          </w:p>
        </w:tc>
        <w:tc>
          <w:tcPr>
            <w:tcW w:w="99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autoSpaceDE/>
              <w:autoSpaceDN/>
              <w:spacing w:before="0" w:beforeLines="0" w:after="0" w:afterLines="0" w:line="240" w:lineRule="auto"/>
              <w:ind w:firstLine="0" w:firstLineChars="0"/>
              <w:jc w:val="center"/>
              <w:rPr>
                <w:rFonts w:ascii="Times New Roman" w:hAnsi="Times New Roman" w:eastAsia="仿宋" w:cs="Times New Roman"/>
                <w:b w:val="0"/>
                <w:bCs w:val="0"/>
                <w:color w:val="FFFFFF" w:themeColor="background1"/>
                <w:kern w:val="2"/>
                <w14:textFill>
                  <w14:solidFill>
                    <w14:schemeClr w14:val="bg1"/>
                  </w14:solidFill>
                </w14:textFill>
              </w:rPr>
            </w:pPr>
            <w:r>
              <w:rPr>
                <w:rFonts w:hint="eastAsia" w:ascii="Times New Roman" w:hAnsi="Times New Roman" w:eastAsia="仿宋" w:cs="Times New Roman"/>
                <w:b/>
                <w:bCs/>
                <w:color w:val="FFFFFF" w:themeColor="background1"/>
                <w:kern w:val="2"/>
                <w14:textFill>
                  <w14:solidFill>
                    <w14:schemeClr w14:val="bg1"/>
                  </w14:solidFill>
                </w14:textFill>
              </w:rPr>
              <w:t>α</w:t>
            </w:r>
          </w:p>
        </w:tc>
        <w:tc>
          <w:tcPr>
            <w:tcW w:w="3056"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autoSpaceDE/>
              <w:autoSpaceDN/>
              <w:spacing w:before="0" w:beforeLines="0" w:after="0" w:afterLines="0" w:line="240" w:lineRule="auto"/>
              <w:ind w:firstLine="0" w:firstLineChars="0"/>
              <w:jc w:val="center"/>
              <w:rPr>
                <w:rFonts w:ascii="Times New Roman" w:hAnsi="Times New Roman" w:eastAsia="仿宋" w:cs="Times New Roman"/>
                <w:b w:val="0"/>
                <w:bCs w:val="0"/>
                <w:color w:val="FFFFFF" w:themeColor="background1"/>
                <w:kern w:val="2"/>
                <w14:textFill>
                  <w14:solidFill>
                    <w14:schemeClr w14:val="bg1"/>
                  </w14:solidFill>
                </w14:textFill>
              </w:rPr>
            </w:pPr>
            <w:r>
              <w:rPr>
                <w:rFonts w:hint="eastAsia" w:ascii="Times New Roman" w:hAnsi="Times New Roman" w:eastAsia="仿宋" w:cs="Times New Roman"/>
                <w:b/>
                <w:bCs/>
                <w:color w:val="FFFFFF" w:themeColor="background1"/>
                <w:kern w:val="2"/>
                <w14:textFill>
                  <w14:solidFill>
                    <w14:schemeClr w14:val="bg1"/>
                  </w14:solidFill>
                </w14:textFill>
              </w:rPr>
              <w:t>是否构成</w:t>
            </w:r>
            <w:r>
              <w:rPr>
                <w:rFonts w:ascii="Times New Roman" w:hAnsi="Times New Roman" w:eastAsia="仿宋" w:cs="Times New Roman"/>
                <w:b/>
                <w:bCs/>
                <w:color w:val="FFFFFF" w:themeColor="background1"/>
                <w:kern w:val="2"/>
                <w14:textFill>
                  <w14:solidFill>
                    <w14:schemeClr w14:val="bg1"/>
                  </w14:solidFill>
                </w14:textFill>
              </w:rPr>
              <w:t>重大危险源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氨</w:t>
            </w:r>
          </w:p>
        </w:tc>
        <w:tc>
          <w:tcPr>
            <w:tcW w:w="992"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1</w:t>
            </w:r>
            <w:r>
              <w:rPr>
                <w:rFonts w:ascii="Times New Roman" w:hAnsi="Times New Roman" w:eastAsia="仿宋" w:cs="Times New Roman"/>
                <w:bCs/>
                <w:kern w:val="2"/>
              </w:rPr>
              <w:t>0</w:t>
            </w:r>
          </w:p>
        </w:tc>
        <w:tc>
          <w:tcPr>
            <w:tcW w:w="1276"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ascii="Times New Roman" w:hAnsi="Times New Roman" w:eastAsia="仿宋" w:cs="Times New Roman"/>
                <w:bCs/>
                <w:kern w:val="2"/>
              </w:rPr>
              <w:t>86.8</w:t>
            </w:r>
          </w:p>
        </w:tc>
        <w:tc>
          <w:tcPr>
            <w:tcW w:w="709"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2</w:t>
            </w:r>
          </w:p>
        </w:tc>
        <w:tc>
          <w:tcPr>
            <w:tcW w:w="992"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1</w:t>
            </w:r>
            <w:r>
              <w:rPr>
                <w:rFonts w:ascii="Times New Roman" w:hAnsi="Times New Roman" w:eastAsia="仿宋" w:cs="Times New Roman"/>
                <w:bCs/>
                <w:kern w:val="2"/>
              </w:rPr>
              <w:t>.5</w:t>
            </w:r>
          </w:p>
        </w:tc>
        <w:tc>
          <w:tcPr>
            <w:tcW w:w="3056"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color w:val="000000"/>
                <w:kern w:val="2"/>
              </w:rPr>
              <w:t>构成重大危险源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tcPr>
          <w:p>
            <w:pPr>
              <w:autoSpaceDE/>
              <w:autoSpaceDN/>
              <w:spacing w:before="0" w:beforeLines="0" w:after="0" w:afterLines="0" w:line="240" w:lineRule="auto"/>
              <w:ind w:firstLine="0" w:firstLineChars="0"/>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己二腈</w:t>
            </w:r>
          </w:p>
        </w:tc>
        <w:tc>
          <w:tcPr>
            <w:tcW w:w="992" w:type="dxa"/>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ascii="Times New Roman" w:hAnsi="Times New Roman" w:eastAsia="仿宋" w:cs="Times New Roman"/>
                <w:bCs/>
                <w:kern w:val="2"/>
              </w:rPr>
              <w:t>50</w:t>
            </w:r>
          </w:p>
        </w:tc>
        <w:tc>
          <w:tcPr>
            <w:tcW w:w="1276" w:type="dxa"/>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8</w:t>
            </w:r>
            <w:r>
              <w:rPr>
                <w:rFonts w:ascii="Times New Roman" w:hAnsi="Times New Roman" w:eastAsia="仿宋" w:cs="Times New Roman"/>
                <w:bCs/>
                <w:kern w:val="2"/>
              </w:rPr>
              <w:t>6.7</w:t>
            </w:r>
          </w:p>
        </w:tc>
        <w:tc>
          <w:tcPr>
            <w:tcW w:w="709" w:type="dxa"/>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2</w:t>
            </w:r>
          </w:p>
        </w:tc>
        <w:tc>
          <w:tcPr>
            <w:tcW w:w="992" w:type="dxa"/>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1</w:t>
            </w:r>
            <w:r>
              <w:rPr>
                <w:rFonts w:ascii="Times New Roman" w:hAnsi="Times New Roman" w:eastAsia="仿宋" w:cs="Times New Roman"/>
                <w:bCs/>
                <w:kern w:val="2"/>
              </w:rPr>
              <w:t>.2</w:t>
            </w:r>
          </w:p>
        </w:tc>
        <w:tc>
          <w:tcPr>
            <w:tcW w:w="3056" w:type="dxa"/>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color w:val="000000"/>
                <w:kern w:val="2"/>
              </w:rPr>
              <w:t>构成重大危险源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磷酸</w:t>
            </w:r>
          </w:p>
        </w:tc>
        <w:tc>
          <w:tcPr>
            <w:tcW w:w="992"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5</w:t>
            </w:r>
            <w:r>
              <w:rPr>
                <w:rFonts w:ascii="Times New Roman" w:hAnsi="Times New Roman" w:eastAsia="仿宋" w:cs="Times New Roman"/>
                <w:bCs/>
                <w:kern w:val="2"/>
              </w:rPr>
              <w:t>0</w:t>
            </w:r>
          </w:p>
        </w:tc>
        <w:tc>
          <w:tcPr>
            <w:tcW w:w="1276"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0</w:t>
            </w:r>
            <w:r>
              <w:rPr>
                <w:rFonts w:ascii="Times New Roman" w:hAnsi="Times New Roman" w:eastAsia="仿宋" w:cs="Times New Roman"/>
                <w:bCs/>
                <w:kern w:val="2"/>
              </w:rPr>
              <w:t>.068</w:t>
            </w:r>
          </w:p>
        </w:tc>
        <w:tc>
          <w:tcPr>
            <w:tcW w:w="709"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4</w:t>
            </w:r>
          </w:p>
        </w:tc>
        <w:tc>
          <w:tcPr>
            <w:tcW w:w="992"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1</w:t>
            </w:r>
          </w:p>
        </w:tc>
        <w:tc>
          <w:tcPr>
            <w:tcW w:w="3056" w:type="dxa"/>
            <w:shd w:val="clear" w:color="auto" w:fill="D9E2F3" w:themeFill="accent1" w:themeFillTint="33"/>
          </w:tcPr>
          <w:p>
            <w:pPr>
              <w:autoSpaceDE/>
              <w:autoSpaceDN/>
              <w:spacing w:before="0" w:beforeLines="0" w:after="0" w:afterLines="0" w:line="240" w:lineRule="auto"/>
              <w:ind w:firstLine="0" w:firstLineChars="0"/>
              <w:jc w:val="center"/>
              <w:rPr>
                <w:rFonts w:ascii="Times New Roman" w:hAnsi="Times New Roman" w:eastAsia="仿宋" w:cs="Times New Roman"/>
                <w:bCs/>
                <w:color w:val="000000"/>
                <w:kern w:val="2"/>
              </w:rPr>
            </w:pPr>
            <w:r>
              <w:rPr>
                <w:rFonts w:hint="eastAsia" w:ascii="Times New Roman" w:hAnsi="Times New Roman" w:eastAsia="仿宋" w:cs="Times New Roman"/>
                <w:bCs/>
                <w:color w:val="000000"/>
                <w:kern w:val="2"/>
              </w:rPr>
              <w:t>不构成重大危险源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271" w:type="dxa"/>
          </w:tcPr>
          <w:p>
            <w:pPr>
              <w:autoSpaceDE/>
              <w:autoSpaceDN/>
              <w:spacing w:before="0" w:beforeLines="0" w:after="0" w:afterLines="0" w:line="240" w:lineRule="auto"/>
              <w:ind w:firstLine="0" w:firstLineChars="0"/>
              <w:jc w:val="center"/>
              <w:rPr>
                <w:rFonts w:ascii="Times New Roman" w:hAnsi="Times New Roman" w:eastAsia="仿宋" w:cs="Times New Roman"/>
                <w:b w:val="0"/>
                <w:bCs w:val="0"/>
                <w:kern w:val="2"/>
              </w:rPr>
            </w:pPr>
            <w:r>
              <w:rPr>
                <w:rFonts w:hint="eastAsia" w:ascii="Times New Roman" w:hAnsi="Times New Roman" w:eastAsia="仿宋" w:cs="Times New Roman"/>
                <w:b/>
                <w:bCs/>
                <w:kern w:val="2"/>
              </w:rPr>
              <w:t>环戊酮</w:t>
            </w:r>
          </w:p>
        </w:tc>
        <w:tc>
          <w:tcPr>
            <w:tcW w:w="992" w:type="dxa"/>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1</w:t>
            </w:r>
            <w:r>
              <w:rPr>
                <w:rFonts w:ascii="Times New Roman" w:hAnsi="Times New Roman" w:eastAsia="仿宋" w:cs="Times New Roman"/>
                <w:bCs/>
                <w:kern w:val="2"/>
              </w:rPr>
              <w:t>0</w:t>
            </w:r>
          </w:p>
        </w:tc>
        <w:tc>
          <w:tcPr>
            <w:tcW w:w="1276" w:type="dxa"/>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0.</w:t>
            </w:r>
            <w:r>
              <w:rPr>
                <w:rFonts w:ascii="Times New Roman" w:hAnsi="Times New Roman" w:eastAsia="仿宋" w:cs="Times New Roman"/>
                <w:bCs/>
                <w:kern w:val="2"/>
              </w:rPr>
              <w:t>0415</w:t>
            </w:r>
          </w:p>
        </w:tc>
        <w:tc>
          <w:tcPr>
            <w:tcW w:w="709" w:type="dxa"/>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1</w:t>
            </w:r>
          </w:p>
        </w:tc>
        <w:tc>
          <w:tcPr>
            <w:tcW w:w="992" w:type="dxa"/>
          </w:tcPr>
          <w:p>
            <w:pPr>
              <w:autoSpaceDE/>
              <w:autoSpaceDN/>
              <w:spacing w:before="0" w:beforeLines="0" w:after="0" w:afterLines="0" w:line="240" w:lineRule="auto"/>
              <w:ind w:firstLine="0" w:firstLineChars="0"/>
              <w:jc w:val="center"/>
              <w:rPr>
                <w:rFonts w:ascii="Times New Roman" w:hAnsi="Times New Roman" w:eastAsia="仿宋" w:cs="Times New Roman"/>
                <w:bCs/>
                <w:kern w:val="2"/>
              </w:rPr>
            </w:pPr>
            <w:r>
              <w:rPr>
                <w:rFonts w:hint="eastAsia" w:ascii="Times New Roman" w:hAnsi="Times New Roman" w:eastAsia="仿宋" w:cs="Times New Roman"/>
                <w:bCs/>
                <w:kern w:val="2"/>
              </w:rPr>
              <w:t>1</w:t>
            </w:r>
            <w:r>
              <w:rPr>
                <w:rFonts w:ascii="Times New Roman" w:hAnsi="Times New Roman" w:eastAsia="仿宋" w:cs="Times New Roman"/>
                <w:bCs/>
                <w:kern w:val="2"/>
              </w:rPr>
              <w:t>.2</w:t>
            </w:r>
          </w:p>
        </w:tc>
        <w:tc>
          <w:tcPr>
            <w:tcW w:w="3056" w:type="dxa"/>
          </w:tcPr>
          <w:p>
            <w:pPr>
              <w:autoSpaceDE/>
              <w:autoSpaceDN/>
              <w:spacing w:before="0" w:beforeLines="0" w:after="0" w:afterLines="0" w:line="240" w:lineRule="auto"/>
              <w:ind w:firstLine="0" w:firstLineChars="0"/>
              <w:jc w:val="center"/>
              <w:rPr>
                <w:rFonts w:ascii="Times New Roman" w:hAnsi="Times New Roman" w:eastAsia="仿宋" w:cs="Times New Roman"/>
                <w:bCs/>
                <w:color w:val="000000"/>
                <w:kern w:val="2"/>
              </w:rPr>
            </w:pPr>
            <w:r>
              <w:rPr>
                <w:rFonts w:hint="eastAsia" w:ascii="Times New Roman" w:hAnsi="Times New Roman" w:eastAsia="仿宋" w:cs="Times New Roman"/>
                <w:bCs/>
                <w:color w:val="000000"/>
                <w:kern w:val="2"/>
              </w:rPr>
              <w:t>不构成重大危险源</w:t>
            </w:r>
          </w:p>
        </w:tc>
      </w:tr>
    </w:tbl>
    <w:p>
      <w:pPr>
        <w:pStyle w:val="3"/>
        <w:spacing w:before="156" w:after="156"/>
        <w:ind w:firstLine="562"/>
      </w:pPr>
      <w:bookmarkStart w:id="126" w:name="_Toc108206519"/>
      <w:bookmarkStart w:id="127" w:name="_Toc141203928"/>
      <w:r>
        <w:rPr>
          <w:rFonts w:hint="eastAsia"/>
        </w:rPr>
        <w:t>4</w:t>
      </w:r>
      <w:r>
        <w:t>.2</w:t>
      </w:r>
      <w:r>
        <w:rPr>
          <w:rFonts w:hint="eastAsia"/>
        </w:rPr>
        <w:t>评价等级和评价内容</w:t>
      </w:r>
      <w:bookmarkEnd w:id="126"/>
      <w:bookmarkEnd w:id="127"/>
    </w:p>
    <w:p>
      <w:pPr>
        <w:spacing w:before="156" w:after="156"/>
        <w:ind w:firstLine="420"/>
      </w:pPr>
      <w:r>
        <w:rPr>
          <w:rFonts w:hint="eastAsia"/>
        </w:rPr>
        <w:t>现参照</w:t>
      </w:r>
      <w:r>
        <w:rPr>
          <w:rFonts w:hint="eastAsia"/>
          <w:color w:val="000000"/>
          <w:szCs w:val="24"/>
        </w:rPr>
        <w:t>《建设项目环境风险评价技术导则》</w:t>
      </w:r>
      <w:r>
        <w:rPr>
          <w:rFonts w:hint="eastAsia"/>
        </w:rPr>
        <w:t>（HJ/T169-2004）中规定，环境风险评价等级按以下原则划分，详见表</w:t>
      </w:r>
      <w:r>
        <w:t>4-8</w:t>
      </w:r>
      <w:r>
        <w:rPr>
          <w:rFonts w:hint="eastAsia"/>
        </w:rPr>
        <w:t>。</w:t>
      </w:r>
    </w:p>
    <w:p>
      <w:pPr>
        <w:spacing w:before="156" w:after="156"/>
        <w:ind w:firstLine="420"/>
      </w:pPr>
      <w:r>
        <w:rPr>
          <w:rFonts w:hint="eastAsia"/>
        </w:rPr>
        <w:t>该项目属于</w:t>
      </w:r>
      <w:r>
        <w:t>重大危险源</w:t>
      </w:r>
      <w:r>
        <w:rPr>
          <w:rFonts w:hint="eastAsia"/>
        </w:rPr>
        <w:t>，</w:t>
      </w:r>
      <w:r>
        <w:t>其中</w:t>
      </w:r>
      <w:r>
        <w:rPr>
          <w:rFonts w:hint="eastAsia"/>
        </w:rPr>
        <w:t>含有可燃</w:t>
      </w:r>
      <w:r>
        <w:t>、易燃危险性物质</w:t>
      </w:r>
      <w:r>
        <w:rPr>
          <w:rFonts w:hint="eastAsia"/>
        </w:rPr>
        <w:t>和</w:t>
      </w:r>
      <w:r>
        <w:t>爆炸危险性物质</w:t>
      </w:r>
      <w:r>
        <w:rPr>
          <w:rFonts w:hint="eastAsia"/>
        </w:rPr>
        <w:t>。因此环境风险评价按一级评价进行。</w:t>
      </w:r>
    </w:p>
    <w:p>
      <w:pPr>
        <w:pStyle w:val="39"/>
        <w:spacing w:before="156" w:after="156"/>
        <w:ind w:firstLine="420"/>
        <w:rPr>
          <w:rFonts w:ascii="宋体" w:hAnsi="宋体" w:eastAsia="宋体"/>
          <w:sz w:val="18"/>
          <w:szCs w:val="18"/>
        </w:rPr>
      </w:pPr>
      <w:r>
        <w:rPr>
          <w:rFonts w:hint="eastAsia" w:ascii="宋体" w:hAnsi="宋体" w:eastAsia="宋体"/>
          <w:sz w:val="18"/>
          <w:szCs w:val="18"/>
        </w:rPr>
        <w:t>表4-</w:t>
      </w:r>
      <w:r>
        <w:rPr>
          <w:rFonts w:ascii="宋体" w:hAnsi="宋体" w:eastAsia="宋体"/>
          <w:sz w:val="18"/>
          <w:szCs w:val="18"/>
        </w:rPr>
        <w:t>8</w:t>
      </w:r>
      <w:r>
        <w:rPr>
          <w:rFonts w:hint="eastAsia" w:ascii="宋体" w:hAnsi="宋体" w:eastAsia="宋体"/>
          <w:sz w:val="18"/>
          <w:szCs w:val="18"/>
        </w:rPr>
        <w:t xml:space="preserve"> 环境</w:t>
      </w:r>
      <w:r>
        <w:rPr>
          <w:rFonts w:ascii="宋体" w:hAnsi="宋体" w:eastAsia="宋体"/>
          <w:sz w:val="18"/>
          <w:szCs w:val="18"/>
        </w:rPr>
        <w:t>风险评价工作</w:t>
      </w:r>
      <w:r>
        <w:rPr>
          <w:rFonts w:hint="eastAsia" w:ascii="宋体" w:hAnsi="宋体" w:eastAsia="宋体"/>
          <w:sz w:val="18"/>
          <w:szCs w:val="18"/>
        </w:rPr>
        <w:t>级别</w:t>
      </w:r>
      <w:r>
        <w:rPr>
          <w:rFonts w:ascii="宋体" w:hAnsi="宋体" w:eastAsia="宋体"/>
          <w:sz w:val="18"/>
          <w:szCs w:val="18"/>
        </w:rPr>
        <w:t>判定</w:t>
      </w:r>
    </w:p>
    <w:tbl>
      <w:tblPr>
        <w:tblStyle w:val="44"/>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分类</w:t>
            </w:r>
          </w:p>
        </w:tc>
        <w:tc>
          <w:tcPr>
            <w:tcW w:w="165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剧毒</w:t>
            </w:r>
          </w:p>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危险性</w:t>
            </w:r>
            <w:r>
              <w:rPr>
                <w:b/>
                <w:bCs/>
                <w:color w:val="FFFFFF" w:themeColor="background1"/>
                <w14:textFill>
                  <w14:solidFill>
                    <w14:schemeClr w14:val="bg1"/>
                  </w14:solidFill>
                </w14:textFill>
              </w:rPr>
              <w:t>物质</w:t>
            </w:r>
          </w:p>
        </w:tc>
        <w:tc>
          <w:tcPr>
            <w:tcW w:w="165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一般毒性</w:t>
            </w:r>
          </w:p>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危险性</w:t>
            </w:r>
            <w:r>
              <w:rPr>
                <w:b/>
                <w:bCs/>
                <w:color w:val="FFFFFF" w:themeColor="background1"/>
                <w14:textFill>
                  <w14:solidFill>
                    <w14:schemeClr w14:val="bg1"/>
                  </w14:solidFill>
                </w14:textFill>
              </w:rPr>
              <w:t>物质</w:t>
            </w:r>
          </w:p>
        </w:tc>
        <w:tc>
          <w:tcPr>
            <w:tcW w:w="165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可燃</w:t>
            </w:r>
            <w:r>
              <w:rPr>
                <w:b/>
                <w:bCs/>
                <w:color w:val="FFFFFF" w:themeColor="background1"/>
                <w14:textFill>
                  <w14:solidFill>
                    <w14:schemeClr w14:val="bg1"/>
                  </w14:solidFill>
                </w14:textFill>
              </w:rPr>
              <w:t>、</w:t>
            </w:r>
            <w:r>
              <w:rPr>
                <w:rFonts w:hint="eastAsia"/>
                <w:b/>
                <w:bCs/>
                <w:color w:val="FFFFFF" w:themeColor="background1"/>
                <w14:textFill>
                  <w14:solidFill>
                    <w14:schemeClr w14:val="bg1"/>
                  </w14:solidFill>
                </w14:textFill>
              </w:rPr>
              <w:t>易燃</w:t>
            </w:r>
          </w:p>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危险性</w:t>
            </w:r>
            <w:r>
              <w:rPr>
                <w:b/>
                <w:bCs/>
                <w:color w:val="FFFFFF" w:themeColor="background1"/>
                <w14:textFill>
                  <w14:solidFill>
                    <w14:schemeClr w14:val="bg1"/>
                  </w14:solidFill>
                </w14:textFill>
              </w:rPr>
              <w:t>物质</w:t>
            </w:r>
          </w:p>
        </w:tc>
        <w:tc>
          <w:tcPr>
            <w:tcW w:w="1660"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爆炸</w:t>
            </w:r>
          </w:p>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危险性</w:t>
            </w:r>
            <w:r>
              <w:rPr>
                <w:b/>
                <w:bCs/>
                <w:color w:val="FFFFFF" w:themeColor="background1"/>
                <w14:textFill>
                  <w14:solidFill>
                    <w14:schemeClr w14:val="bg1"/>
                  </w14:solidFill>
                </w14:textFill>
              </w:rPr>
              <w:t>物质</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shd w:val="clear" w:color="auto" w:fill="D9E2F3" w:themeFill="accent1" w:themeFillTint="33"/>
            <w:vAlign w:val="center"/>
          </w:tcPr>
          <w:p>
            <w:pPr>
              <w:pStyle w:val="37"/>
              <w:spacing w:line="240" w:lineRule="auto"/>
              <w:rPr>
                <w:b w:val="0"/>
                <w:bCs w:val="0"/>
              </w:rPr>
            </w:pPr>
            <w:r>
              <w:rPr>
                <w:rFonts w:hint="eastAsia"/>
                <w:b w:val="0"/>
                <w:bCs/>
              </w:rPr>
              <w:t>重大危险源</w:t>
            </w:r>
          </w:p>
        </w:tc>
        <w:tc>
          <w:tcPr>
            <w:tcW w:w="1659" w:type="dxa"/>
            <w:shd w:val="clear" w:color="auto" w:fill="D9E2F3" w:themeFill="accent1" w:themeFillTint="33"/>
            <w:vAlign w:val="center"/>
          </w:tcPr>
          <w:p>
            <w:pPr>
              <w:pStyle w:val="37"/>
              <w:spacing w:line="240" w:lineRule="auto"/>
            </w:pPr>
            <w:r>
              <w:rPr>
                <w:rFonts w:hint="eastAsia"/>
              </w:rPr>
              <w:t>一</w:t>
            </w:r>
          </w:p>
        </w:tc>
        <w:tc>
          <w:tcPr>
            <w:tcW w:w="1659" w:type="dxa"/>
            <w:shd w:val="clear" w:color="auto" w:fill="D9E2F3" w:themeFill="accent1" w:themeFillTint="33"/>
            <w:vAlign w:val="center"/>
          </w:tcPr>
          <w:p>
            <w:pPr>
              <w:pStyle w:val="37"/>
              <w:spacing w:line="240" w:lineRule="auto"/>
            </w:pPr>
            <w:r>
              <w:rPr>
                <w:rFonts w:hint="eastAsia"/>
              </w:rPr>
              <w:t>二</w:t>
            </w:r>
          </w:p>
        </w:tc>
        <w:tc>
          <w:tcPr>
            <w:tcW w:w="1659" w:type="dxa"/>
            <w:shd w:val="clear" w:color="auto" w:fill="D9E2F3" w:themeFill="accent1" w:themeFillTint="33"/>
            <w:vAlign w:val="center"/>
          </w:tcPr>
          <w:p>
            <w:pPr>
              <w:pStyle w:val="37"/>
              <w:spacing w:line="240" w:lineRule="auto"/>
            </w:pPr>
            <w:r>
              <w:rPr>
                <w:rFonts w:hint="eastAsia"/>
              </w:rPr>
              <w:t>一</w:t>
            </w:r>
          </w:p>
        </w:tc>
        <w:tc>
          <w:tcPr>
            <w:tcW w:w="1660" w:type="dxa"/>
            <w:shd w:val="clear" w:color="auto" w:fill="D9E2F3" w:themeFill="accent1" w:themeFillTint="33"/>
            <w:vAlign w:val="center"/>
          </w:tcPr>
          <w:p>
            <w:pPr>
              <w:pStyle w:val="37"/>
              <w:spacing w:line="240" w:lineRule="auto"/>
            </w:pPr>
            <w:r>
              <w:rPr>
                <w:rFonts w:hint="eastAsia"/>
              </w:rPr>
              <w:t>一</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vAlign w:val="center"/>
          </w:tcPr>
          <w:p>
            <w:pPr>
              <w:pStyle w:val="37"/>
              <w:spacing w:line="240" w:lineRule="auto"/>
              <w:rPr>
                <w:b w:val="0"/>
                <w:bCs w:val="0"/>
              </w:rPr>
            </w:pPr>
            <w:r>
              <w:rPr>
                <w:rFonts w:hint="eastAsia"/>
                <w:b w:val="0"/>
                <w:bCs/>
              </w:rPr>
              <w:t>非重大</w:t>
            </w:r>
            <w:r>
              <w:rPr>
                <w:b w:val="0"/>
                <w:bCs/>
              </w:rPr>
              <w:t>危险源</w:t>
            </w:r>
          </w:p>
        </w:tc>
        <w:tc>
          <w:tcPr>
            <w:tcW w:w="1659" w:type="dxa"/>
            <w:vAlign w:val="center"/>
          </w:tcPr>
          <w:p>
            <w:pPr>
              <w:pStyle w:val="37"/>
              <w:spacing w:line="240" w:lineRule="auto"/>
            </w:pPr>
            <w:r>
              <w:rPr>
                <w:rFonts w:hint="eastAsia"/>
              </w:rPr>
              <w:t>二</w:t>
            </w:r>
          </w:p>
        </w:tc>
        <w:tc>
          <w:tcPr>
            <w:tcW w:w="1659" w:type="dxa"/>
            <w:vAlign w:val="center"/>
          </w:tcPr>
          <w:p>
            <w:pPr>
              <w:pStyle w:val="37"/>
              <w:spacing w:line="240" w:lineRule="auto"/>
            </w:pPr>
            <w:r>
              <w:rPr>
                <w:rFonts w:hint="eastAsia"/>
              </w:rPr>
              <w:t>二</w:t>
            </w:r>
          </w:p>
        </w:tc>
        <w:tc>
          <w:tcPr>
            <w:tcW w:w="1659" w:type="dxa"/>
            <w:vAlign w:val="center"/>
          </w:tcPr>
          <w:p>
            <w:pPr>
              <w:pStyle w:val="37"/>
              <w:spacing w:line="240" w:lineRule="auto"/>
            </w:pPr>
            <w:r>
              <w:rPr>
                <w:rFonts w:hint="eastAsia"/>
              </w:rPr>
              <w:t>二</w:t>
            </w:r>
          </w:p>
        </w:tc>
        <w:tc>
          <w:tcPr>
            <w:tcW w:w="1660" w:type="dxa"/>
            <w:vAlign w:val="center"/>
          </w:tcPr>
          <w:p>
            <w:pPr>
              <w:pStyle w:val="37"/>
              <w:spacing w:line="240" w:lineRule="auto"/>
            </w:pPr>
            <w:r>
              <w:rPr>
                <w:rFonts w:hint="eastAsia"/>
              </w:rPr>
              <w:t>二</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shd w:val="clear" w:color="auto" w:fill="D9E2F3" w:themeFill="accent1" w:themeFillTint="33"/>
            <w:vAlign w:val="center"/>
          </w:tcPr>
          <w:p>
            <w:pPr>
              <w:pStyle w:val="37"/>
              <w:spacing w:line="240" w:lineRule="auto"/>
              <w:rPr>
                <w:b w:val="0"/>
                <w:bCs w:val="0"/>
              </w:rPr>
            </w:pPr>
            <w:r>
              <w:rPr>
                <w:rFonts w:hint="eastAsia"/>
                <w:b w:val="0"/>
                <w:bCs/>
              </w:rPr>
              <w:t>环境</w:t>
            </w:r>
            <w:r>
              <w:rPr>
                <w:b w:val="0"/>
                <w:bCs/>
              </w:rPr>
              <w:t>敏感地区</w:t>
            </w:r>
          </w:p>
        </w:tc>
        <w:tc>
          <w:tcPr>
            <w:tcW w:w="1659" w:type="dxa"/>
            <w:shd w:val="clear" w:color="auto" w:fill="D9E2F3" w:themeFill="accent1" w:themeFillTint="33"/>
            <w:vAlign w:val="center"/>
          </w:tcPr>
          <w:p>
            <w:pPr>
              <w:pStyle w:val="37"/>
              <w:spacing w:line="240" w:lineRule="auto"/>
            </w:pPr>
            <w:r>
              <w:rPr>
                <w:rFonts w:hint="eastAsia"/>
              </w:rPr>
              <w:t>一</w:t>
            </w:r>
          </w:p>
        </w:tc>
        <w:tc>
          <w:tcPr>
            <w:tcW w:w="1659" w:type="dxa"/>
            <w:shd w:val="clear" w:color="auto" w:fill="D9E2F3" w:themeFill="accent1" w:themeFillTint="33"/>
            <w:vAlign w:val="center"/>
          </w:tcPr>
          <w:p>
            <w:pPr>
              <w:pStyle w:val="37"/>
              <w:spacing w:line="240" w:lineRule="auto"/>
            </w:pPr>
            <w:r>
              <w:rPr>
                <w:rFonts w:hint="eastAsia"/>
              </w:rPr>
              <w:t>一</w:t>
            </w:r>
          </w:p>
        </w:tc>
        <w:tc>
          <w:tcPr>
            <w:tcW w:w="1659" w:type="dxa"/>
            <w:shd w:val="clear" w:color="auto" w:fill="D9E2F3" w:themeFill="accent1" w:themeFillTint="33"/>
            <w:vAlign w:val="center"/>
          </w:tcPr>
          <w:p>
            <w:pPr>
              <w:pStyle w:val="37"/>
              <w:spacing w:line="240" w:lineRule="auto"/>
            </w:pPr>
            <w:r>
              <w:rPr>
                <w:rFonts w:hint="eastAsia"/>
              </w:rPr>
              <w:t>一</w:t>
            </w:r>
          </w:p>
        </w:tc>
        <w:tc>
          <w:tcPr>
            <w:tcW w:w="1660" w:type="dxa"/>
            <w:shd w:val="clear" w:color="auto" w:fill="D9E2F3" w:themeFill="accent1" w:themeFillTint="33"/>
            <w:vAlign w:val="center"/>
          </w:tcPr>
          <w:p>
            <w:pPr>
              <w:pStyle w:val="37"/>
              <w:spacing w:line="240" w:lineRule="auto"/>
            </w:pPr>
            <w:r>
              <w:rPr>
                <w:rFonts w:hint="eastAsia"/>
              </w:rPr>
              <w:t>一</w:t>
            </w:r>
          </w:p>
        </w:tc>
      </w:tr>
    </w:tbl>
    <w:p>
      <w:pPr>
        <w:pStyle w:val="4"/>
        <w:spacing w:before="156" w:after="156"/>
        <w:ind w:firstLine="482"/>
      </w:pPr>
      <w:bookmarkStart w:id="128" w:name="_Toc141203929"/>
      <w:bookmarkStart w:id="129" w:name="_Toc108206520"/>
      <w:r>
        <w:rPr>
          <w:rFonts w:hint="eastAsia"/>
        </w:rPr>
        <w:t>4</w:t>
      </w:r>
      <w:r>
        <w:t>.2.1</w:t>
      </w:r>
      <w:r>
        <w:rPr>
          <w:rFonts w:hint="eastAsia"/>
        </w:rPr>
        <w:t>重大危险源分类标准</w:t>
      </w:r>
      <w:bookmarkEnd w:id="128"/>
      <w:bookmarkEnd w:id="129"/>
    </w:p>
    <w:p>
      <w:pPr>
        <w:spacing w:before="156" w:after="156"/>
        <w:ind w:firstLine="420"/>
      </w:pPr>
      <w:bookmarkStart w:id="130" w:name="_Toc334434449"/>
      <w:bookmarkStart w:id="131" w:name="_Toc335254284"/>
      <w:bookmarkStart w:id="132" w:name="_Toc334154774"/>
      <w:r>
        <w:t>根据《危险化学品重大危险源监督管理暂行规定》（安监总局令[2011]40号），采用单元内各种危险化学品实际存在（在线）量与其在《危险化学品重大危险源辨识》（GB18218-2018）中规定的临界量比值，经校正系数校正后的比值之和</w:t>
      </w:r>
      <w:r>
        <w:rPr>
          <w:i/>
        </w:rPr>
        <w:t>R</w:t>
      </w:r>
      <w:r>
        <w:t>作为分级指标。</w:t>
      </w:r>
      <w:bookmarkEnd w:id="130"/>
      <w:bookmarkEnd w:id="131"/>
      <w:bookmarkEnd w:id="132"/>
    </w:p>
    <w:p>
      <w:pPr>
        <w:spacing w:before="156" w:after="156"/>
        <w:ind w:firstLine="420"/>
      </w:pPr>
      <w:r>
        <w:object>
          <v:shape id="_x0000_i1025" o:spt="75" type="#_x0000_t75" style="height:36.35pt;width:167.5pt;" o:ole="t" filled="f" o:preferrelative="t" stroked="f" coordsize="21600,21600">
            <v:path/>
            <v:fill on="f" focussize="0,0"/>
            <v:stroke on="f" joinstyle="miter"/>
            <v:imagedata r:id="rId20" o:title=""/>
            <o:lock v:ext="edit" aspectratio="t"/>
            <w10:wrap type="none"/>
            <w10:anchorlock/>
          </v:shape>
          <o:OLEObject Type="Embed" ProgID="Equation.DSMT4" ShapeID="_x0000_i1025" DrawAspect="Content" ObjectID="_1468075725" r:id="rId19">
            <o:LockedField>false</o:LockedField>
          </o:OLEObject>
        </w:object>
      </w:r>
    </w:p>
    <w:p>
      <w:pPr>
        <w:spacing w:before="156" w:after="156"/>
        <w:ind w:firstLine="420"/>
      </w:pPr>
      <w:r>
        <w:rPr>
          <w:rFonts w:hint="eastAsia"/>
        </w:rPr>
        <w:t>式中</w:t>
      </w:r>
      <w:r>
        <w:t>：</w:t>
      </w:r>
    </w:p>
    <w:p>
      <w:pPr>
        <w:spacing w:before="156" w:after="156"/>
        <w:ind w:firstLine="420"/>
      </w:pPr>
      <w:r>
        <w:rPr>
          <w:position w:val="-12"/>
        </w:rPr>
        <w:object>
          <v:shape id="_x0000_i1026" o:spt="75" type="#_x0000_t75" style="height:19.25pt;width:57.75pt;" o:ole="t" filled="f" o:preferrelative="t" stroked="f" coordsize="21600,21600">
            <v:path/>
            <v:fill on="f" focussize="0,0"/>
            <v:stroke on="f" joinstyle="miter"/>
            <v:imagedata r:id="rId22" o:title=""/>
            <o:lock v:ext="edit" aspectratio="t"/>
            <w10:wrap type="none"/>
            <w10:anchorlock/>
          </v:shape>
          <o:OLEObject Type="Embed" ProgID="Equation.DSMT4" ShapeID="_x0000_i1026" DrawAspect="Content" ObjectID="_1468075726" r:id="rId21">
            <o:LockedField>false</o:LockedField>
          </o:OLEObject>
        </w:object>
      </w:r>
      <w:r>
        <w:rPr>
          <w:rFonts w:hint="eastAsia"/>
        </w:rPr>
        <w:t>每种</w:t>
      </w:r>
      <w:r>
        <w:t>危险化学品实际存在</w:t>
      </w:r>
      <w:r>
        <w:rPr>
          <w:rFonts w:hint="eastAsia"/>
        </w:rPr>
        <w:t>（在线）量</w:t>
      </w:r>
      <w:r>
        <w:t>（</w:t>
      </w:r>
      <w:r>
        <w:rPr>
          <w:rFonts w:hint="eastAsia"/>
        </w:rPr>
        <w:t>单位</w:t>
      </w:r>
      <w:r>
        <w:t>：吨）</w:t>
      </w:r>
      <w:r>
        <w:rPr>
          <w:rFonts w:hint="eastAsia"/>
        </w:rPr>
        <w:t>；</w:t>
      </w:r>
    </w:p>
    <w:p>
      <w:pPr>
        <w:spacing w:before="156" w:after="156"/>
        <w:ind w:firstLine="420"/>
      </w:pPr>
      <w:r>
        <w:rPr>
          <w:position w:val="-12"/>
        </w:rPr>
        <w:object>
          <v:shape id="_x0000_i1027" o:spt="75" type="#_x0000_t75" style="height:18.55pt;width:65.6pt;" o:ole="t" filled="f" o:preferrelative="t" stroked="f" coordsize="21600,21600">
            <v:path/>
            <v:fill on="f" focussize="0,0"/>
            <v:stroke on="f" joinstyle="miter"/>
            <v:imagedata r:id="rId24" o:title=""/>
            <o:lock v:ext="edit" aspectratio="t"/>
            <w10:wrap type="none"/>
            <w10:anchorlock/>
          </v:shape>
          <o:OLEObject Type="Embed" ProgID="Equation.DSMT4" ShapeID="_x0000_i1027" DrawAspect="Content" ObjectID="_1468075727" r:id="rId23">
            <o:LockedField>false</o:LockedField>
          </o:OLEObject>
        </w:object>
      </w:r>
      <w:r>
        <w:rPr>
          <w:rFonts w:hint="eastAsia"/>
        </w:rPr>
        <w:t>与</w:t>
      </w:r>
      <w:r>
        <w:t>各危险化学品相对应的</w:t>
      </w:r>
      <w:r>
        <w:rPr>
          <w:rFonts w:hint="eastAsia"/>
        </w:rPr>
        <w:t>临界量</w:t>
      </w:r>
      <w:r>
        <w:t>（</w:t>
      </w:r>
      <w:r>
        <w:rPr>
          <w:rFonts w:hint="eastAsia"/>
        </w:rPr>
        <w:t>单位</w:t>
      </w:r>
      <w:r>
        <w:t>：吨）</w:t>
      </w:r>
      <w:r>
        <w:rPr>
          <w:rFonts w:hint="eastAsia"/>
        </w:rPr>
        <w:t>；</w:t>
      </w:r>
    </w:p>
    <w:p>
      <w:pPr>
        <w:spacing w:before="156" w:after="156"/>
        <w:ind w:firstLine="420"/>
      </w:pPr>
      <w:r>
        <w:rPr>
          <w:position w:val="-12"/>
        </w:rPr>
        <w:object>
          <v:shape id="_x0000_i1028" o:spt="75" type="#_x0000_t75" style="height:18.55pt;width:65.6pt;" o:ole="t" filled="f" o:preferrelative="t" stroked="f" coordsize="21600,21600">
            <v:path/>
            <v:fill on="f" focussize="0,0"/>
            <v:stroke on="f" joinstyle="miter"/>
            <v:imagedata r:id="rId26" o:title=""/>
            <o:lock v:ext="edit" aspectratio="t"/>
            <w10:wrap type="none"/>
            <w10:anchorlock/>
          </v:shape>
          <o:OLEObject Type="Embed" ProgID="Equation.DSMT4" ShapeID="_x0000_i1028" DrawAspect="Content" ObjectID="_1468075728" r:id="rId25">
            <o:LockedField>false</o:LockedField>
          </o:OLEObject>
        </w:object>
      </w:r>
      <w:r>
        <w:rPr>
          <w:rFonts w:hint="eastAsia"/>
        </w:rPr>
        <w:t>与</w:t>
      </w:r>
      <w:r>
        <w:t>各</w:t>
      </w:r>
      <w:r>
        <w:rPr>
          <w:rFonts w:hint="eastAsia"/>
        </w:rPr>
        <w:t>危险</w:t>
      </w:r>
      <w:r>
        <w:t>化学品相对应的校正系数；</w:t>
      </w:r>
    </w:p>
    <w:p>
      <w:pPr>
        <w:spacing w:before="156" w:after="156"/>
        <w:ind w:firstLine="420"/>
      </w:pPr>
      <w:r>
        <w:rPr>
          <w:position w:val="-6"/>
        </w:rPr>
        <w:object>
          <v:shape id="_x0000_i1029" o:spt="75" type="#_x0000_t75" style="height:12.1pt;width:22.1pt;" o:ole="t" filled="f" o:preferrelative="t" stroked="f" coordsize="21600,21600">
            <v:path/>
            <v:fill on="f" focussize="0,0"/>
            <v:stroke on="f" joinstyle="miter"/>
            <v:imagedata r:id="rId28" o:title=""/>
            <o:lock v:ext="edit" aspectratio="t"/>
            <w10:wrap type="none"/>
            <w10:anchorlock/>
          </v:shape>
          <o:OLEObject Type="Embed" ProgID="Equation.DSMT4" ShapeID="_x0000_i1029" DrawAspect="Content" ObjectID="_1468075729" r:id="rId27">
            <o:LockedField>false</o:LockedField>
          </o:OLEObject>
        </w:object>
      </w:r>
      <w:r>
        <w:rPr>
          <w:rFonts w:hint="eastAsia"/>
        </w:rPr>
        <w:t>该</w:t>
      </w:r>
      <w:r>
        <w:t>危险化学品重大危险源厂区外暴露人员的校正系数。</w:t>
      </w:r>
    </w:p>
    <w:p>
      <w:pPr>
        <w:spacing w:before="156" w:after="156"/>
        <w:ind w:firstLine="420"/>
      </w:pPr>
      <w:r>
        <w:t>据单元内危险化学品的类别不同，设定校正系数</w:t>
      </w:r>
      <w:r>
        <w:rPr>
          <w:i/>
        </w:rPr>
        <w:t>β</w:t>
      </w:r>
      <w:r>
        <w:t>值，见表4-9和表4-10。</w:t>
      </w:r>
    </w:p>
    <w:p>
      <w:pPr>
        <w:pStyle w:val="39"/>
        <w:spacing w:before="156" w:after="156"/>
        <w:ind w:firstLine="420"/>
        <w:rPr>
          <w:rFonts w:ascii="宋体" w:hAnsi="宋体" w:eastAsia="宋体"/>
          <w:sz w:val="18"/>
          <w:szCs w:val="18"/>
        </w:rPr>
      </w:pPr>
      <w:r>
        <w:rPr>
          <w:rFonts w:hint="eastAsia" w:ascii="宋体" w:hAnsi="宋体" w:eastAsia="宋体"/>
          <w:sz w:val="18"/>
          <w:szCs w:val="18"/>
        </w:rPr>
        <w:t>表4-</w:t>
      </w:r>
      <w:r>
        <w:rPr>
          <w:rFonts w:ascii="宋体" w:hAnsi="宋体" w:eastAsia="宋体"/>
          <w:sz w:val="18"/>
          <w:szCs w:val="18"/>
        </w:rPr>
        <w:t>9</w:t>
      </w:r>
      <w:r>
        <w:rPr>
          <w:rFonts w:hint="eastAsia" w:ascii="宋体" w:hAnsi="宋体" w:eastAsia="宋体"/>
          <w:sz w:val="18"/>
          <w:szCs w:val="18"/>
        </w:rPr>
        <w:t xml:space="preserve"> 校正</w:t>
      </w:r>
      <w:r>
        <w:rPr>
          <w:rFonts w:ascii="宋体" w:hAnsi="宋体" w:eastAsia="宋体"/>
          <w:sz w:val="18"/>
          <w:szCs w:val="18"/>
        </w:rPr>
        <w:t>系数</w:t>
      </w:r>
      <w:r>
        <w:rPr>
          <w:rFonts w:ascii="宋体" w:hAnsi="宋体" w:eastAsia="宋体"/>
          <w:i/>
          <w:sz w:val="18"/>
          <w:szCs w:val="18"/>
        </w:rPr>
        <w:t>β</w:t>
      </w:r>
      <w:r>
        <w:rPr>
          <w:rFonts w:hint="eastAsia" w:ascii="宋体" w:hAnsi="宋体" w:eastAsia="宋体"/>
          <w:sz w:val="18"/>
          <w:szCs w:val="18"/>
        </w:rPr>
        <w:t>取值</w:t>
      </w:r>
      <w:r>
        <w:rPr>
          <w:rFonts w:ascii="宋体" w:hAnsi="宋体" w:eastAsia="宋体"/>
          <w:sz w:val="18"/>
          <w:szCs w:val="18"/>
        </w:rPr>
        <w:t>表</w:t>
      </w:r>
    </w:p>
    <w:tbl>
      <w:tblPr>
        <w:tblStyle w:val="44"/>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838"/>
        <w:gridCol w:w="1480"/>
        <w:gridCol w:w="1659"/>
        <w:gridCol w:w="1255"/>
        <w:gridCol w:w="206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838"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危险化学品类别</w:t>
            </w:r>
          </w:p>
        </w:tc>
        <w:tc>
          <w:tcPr>
            <w:tcW w:w="148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毒性气体</w:t>
            </w:r>
          </w:p>
        </w:tc>
        <w:tc>
          <w:tcPr>
            <w:tcW w:w="165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爆炸品</w:t>
            </w:r>
          </w:p>
        </w:tc>
        <w:tc>
          <w:tcPr>
            <w:tcW w:w="125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易燃气体</w:t>
            </w:r>
          </w:p>
        </w:tc>
        <w:tc>
          <w:tcPr>
            <w:tcW w:w="206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其他类危险化学品</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838" w:type="dxa"/>
            <w:shd w:val="clear" w:color="auto" w:fill="D9E2F3" w:themeFill="accent1" w:themeFillTint="33"/>
            <w:vAlign w:val="center"/>
          </w:tcPr>
          <w:p>
            <w:pPr>
              <w:pStyle w:val="37"/>
              <w:spacing w:line="240" w:lineRule="auto"/>
              <w:rPr>
                <w:b w:val="0"/>
                <w:bCs w:val="0"/>
              </w:rPr>
            </w:pPr>
            <w:r>
              <w:rPr>
                <w:b w:val="0"/>
                <w:bCs/>
              </w:rPr>
              <w:t>β</w:t>
            </w:r>
          </w:p>
        </w:tc>
        <w:tc>
          <w:tcPr>
            <w:tcW w:w="1480" w:type="dxa"/>
            <w:shd w:val="clear" w:color="auto" w:fill="D9E2F3" w:themeFill="accent1" w:themeFillTint="33"/>
            <w:vAlign w:val="center"/>
          </w:tcPr>
          <w:p>
            <w:pPr>
              <w:pStyle w:val="37"/>
              <w:spacing w:line="240" w:lineRule="auto"/>
            </w:pPr>
            <w:r>
              <w:t>见下表</w:t>
            </w:r>
          </w:p>
        </w:tc>
        <w:tc>
          <w:tcPr>
            <w:tcW w:w="1659" w:type="dxa"/>
            <w:shd w:val="clear" w:color="auto" w:fill="D9E2F3" w:themeFill="accent1" w:themeFillTint="33"/>
            <w:vAlign w:val="center"/>
          </w:tcPr>
          <w:p>
            <w:pPr>
              <w:pStyle w:val="37"/>
              <w:spacing w:line="240" w:lineRule="auto"/>
            </w:pPr>
            <w:r>
              <w:t>2</w:t>
            </w:r>
          </w:p>
        </w:tc>
        <w:tc>
          <w:tcPr>
            <w:tcW w:w="1255" w:type="dxa"/>
            <w:shd w:val="clear" w:color="auto" w:fill="D9E2F3" w:themeFill="accent1" w:themeFillTint="33"/>
            <w:vAlign w:val="center"/>
          </w:tcPr>
          <w:p>
            <w:pPr>
              <w:pStyle w:val="37"/>
              <w:spacing w:line="240" w:lineRule="auto"/>
            </w:pPr>
            <w:r>
              <w:t>1.5</w:t>
            </w:r>
          </w:p>
        </w:tc>
        <w:tc>
          <w:tcPr>
            <w:tcW w:w="2064" w:type="dxa"/>
            <w:shd w:val="clear" w:color="auto" w:fill="D9E2F3" w:themeFill="accent1" w:themeFillTint="33"/>
            <w:vAlign w:val="center"/>
          </w:tcPr>
          <w:p>
            <w:pPr>
              <w:pStyle w:val="37"/>
              <w:spacing w:line="240" w:lineRule="auto"/>
            </w:pPr>
            <w:r>
              <w:t>1</w:t>
            </w:r>
          </w:p>
        </w:tc>
      </w:tr>
    </w:tbl>
    <w:p>
      <w:pPr>
        <w:spacing w:before="156" w:after="156"/>
        <w:ind w:firstLine="420"/>
      </w:pPr>
      <w:r>
        <w:rPr>
          <w:rFonts w:hint="eastAsia"/>
        </w:rPr>
        <w:t>注：</w:t>
      </w:r>
      <w:r>
        <w:t>危险化学品类别依据《</w:t>
      </w:r>
      <w:r>
        <w:rPr>
          <w:rFonts w:hint="eastAsia"/>
        </w:rPr>
        <w:t>危险货物</w:t>
      </w:r>
      <w:r>
        <w:t>品名表》</w:t>
      </w:r>
      <w:r>
        <w:rPr>
          <w:rFonts w:hint="eastAsia"/>
        </w:rPr>
        <w:t>中</w:t>
      </w:r>
      <w:r>
        <w:t>分类标准确定。</w:t>
      </w:r>
    </w:p>
    <w:p>
      <w:pPr>
        <w:pStyle w:val="39"/>
        <w:spacing w:before="156" w:after="156"/>
        <w:ind w:firstLine="420"/>
      </w:pPr>
      <w:r>
        <w:rPr>
          <w:rFonts w:hint="eastAsia"/>
        </w:rPr>
        <w:t>表4-</w:t>
      </w:r>
      <w:r>
        <w:t>10</w:t>
      </w:r>
      <w:r>
        <w:rPr>
          <w:rFonts w:hint="eastAsia"/>
        </w:rPr>
        <w:t xml:space="preserve"> 常见</w:t>
      </w:r>
      <w:r>
        <w:t>毒性气体校正系数</w:t>
      </w:r>
      <w:r>
        <w:rPr>
          <w:i/>
        </w:rPr>
        <w:t>β</w:t>
      </w:r>
      <w:r>
        <w:rPr>
          <w:rFonts w:hint="eastAsia"/>
        </w:rPr>
        <w:t>值</w:t>
      </w:r>
      <w:r>
        <w:t>取值表</w:t>
      </w:r>
    </w:p>
    <w:tbl>
      <w:tblPr>
        <w:tblStyle w:val="44"/>
        <w:tblW w:w="9493"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555"/>
        <w:gridCol w:w="1137"/>
        <w:gridCol w:w="1131"/>
        <w:gridCol w:w="1134"/>
        <w:gridCol w:w="1134"/>
        <w:gridCol w:w="992"/>
        <w:gridCol w:w="992"/>
        <w:gridCol w:w="141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毒性气体名称</w:t>
            </w:r>
          </w:p>
        </w:tc>
        <w:tc>
          <w:tcPr>
            <w:tcW w:w="113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一氧化碳</w:t>
            </w:r>
          </w:p>
        </w:tc>
        <w:tc>
          <w:tcPr>
            <w:tcW w:w="113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二氧化硫</w:t>
            </w:r>
          </w:p>
        </w:tc>
        <w:tc>
          <w:tcPr>
            <w:tcW w:w="113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氨</w:t>
            </w:r>
          </w:p>
        </w:tc>
        <w:tc>
          <w:tcPr>
            <w:tcW w:w="113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环氧乙烷</w:t>
            </w:r>
          </w:p>
        </w:tc>
        <w:tc>
          <w:tcPr>
            <w:tcW w:w="99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氯化氢</w:t>
            </w:r>
          </w:p>
        </w:tc>
        <w:tc>
          <w:tcPr>
            <w:tcW w:w="99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溴甲烷</w:t>
            </w:r>
          </w:p>
        </w:tc>
        <w:tc>
          <w:tcPr>
            <w:tcW w:w="1418"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氯</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vAlign w:val="center"/>
          </w:tcPr>
          <w:p>
            <w:pPr>
              <w:pStyle w:val="37"/>
              <w:spacing w:line="240" w:lineRule="auto"/>
              <w:rPr>
                <w:b w:val="0"/>
                <w:bCs w:val="0"/>
              </w:rPr>
            </w:pPr>
            <w:r>
              <w:rPr>
                <w:b w:val="0"/>
                <w:bCs/>
              </w:rPr>
              <w:t>β</w:t>
            </w:r>
          </w:p>
        </w:tc>
        <w:tc>
          <w:tcPr>
            <w:tcW w:w="1137" w:type="dxa"/>
            <w:shd w:val="clear" w:color="auto" w:fill="D9E2F3" w:themeFill="accent1" w:themeFillTint="33"/>
            <w:vAlign w:val="center"/>
          </w:tcPr>
          <w:p>
            <w:pPr>
              <w:pStyle w:val="37"/>
              <w:spacing w:line="240" w:lineRule="auto"/>
            </w:pPr>
            <w:r>
              <w:t>2</w:t>
            </w:r>
          </w:p>
        </w:tc>
        <w:tc>
          <w:tcPr>
            <w:tcW w:w="1131" w:type="dxa"/>
            <w:shd w:val="clear" w:color="auto" w:fill="D9E2F3" w:themeFill="accent1" w:themeFillTint="33"/>
            <w:vAlign w:val="center"/>
          </w:tcPr>
          <w:p>
            <w:pPr>
              <w:pStyle w:val="37"/>
              <w:spacing w:line="240" w:lineRule="auto"/>
            </w:pPr>
            <w:r>
              <w:t>2</w:t>
            </w:r>
          </w:p>
        </w:tc>
        <w:tc>
          <w:tcPr>
            <w:tcW w:w="1134" w:type="dxa"/>
            <w:shd w:val="clear" w:color="auto" w:fill="D9E2F3" w:themeFill="accent1" w:themeFillTint="33"/>
            <w:vAlign w:val="center"/>
          </w:tcPr>
          <w:p>
            <w:pPr>
              <w:pStyle w:val="37"/>
              <w:spacing w:line="240" w:lineRule="auto"/>
            </w:pPr>
            <w:r>
              <w:t>2</w:t>
            </w:r>
          </w:p>
        </w:tc>
        <w:tc>
          <w:tcPr>
            <w:tcW w:w="1134" w:type="dxa"/>
            <w:shd w:val="clear" w:color="auto" w:fill="D9E2F3" w:themeFill="accent1" w:themeFillTint="33"/>
            <w:vAlign w:val="center"/>
          </w:tcPr>
          <w:p>
            <w:pPr>
              <w:pStyle w:val="37"/>
              <w:spacing w:line="240" w:lineRule="auto"/>
            </w:pPr>
            <w:r>
              <w:t>2</w:t>
            </w:r>
          </w:p>
        </w:tc>
        <w:tc>
          <w:tcPr>
            <w:tcW w:w="992" w:type="dxa"/>
            <w:shd w:val="clear" w:color="auto" w:fill="D9E2F3" w:themeFill="accent1" w:themeFillTint="33"/>
            <w:vAlign w:val="center"/>
          </w:tcPr>
          <w:p>
            <w:pPr>
              <w:pStyle w:val="37"/>
              <w:spacing w:line="240" w:lineRule="auto"/>
            </w:pPr>
            <w:r>
              <w:t>3</w:t>
            </w:r>
          </w:p>
        </w:tc>
        <w:tc>
          <w:tcPr>
            <w:tcW w:w="992" w:type="dxa"/>
            <w:shd w:val="clear" w:color="auto" w:fill="D9E2F3" w:themeFill="accent1" w:themeFillTint="33"/>
            <w:vAlign w:val="center"/>
          </w:tcPr>
          <w:p>
            <w:pPr>
              <w:pStyle w:val="37"/>
              <w:spacing w:line="240" w:lineRule="auto"/>
            </w:pPr>
            <w:r>
              <w:t>3</w:t>
            </w:r>
          </w:p>
        </w:tc>
        <w:tc>
          <w:tcPr>
            <w:tcW w:w="1418" w:type="dxa"/>
            <w:shd w:val="clear" w:color="auto" w:fill="D9E2F3" w:themeFill="accent1" w:themeFillTint="33"/>
            <w:vAlign w:val="center"/>
          </w:tcPr>
          <w:p>
            <w:pPr>
              <w:pStyle w:val="37"/>
              <w:spacing w:line="240" w:lineRule="auto"/>
            </w:pPr>
            <w:r>
              <w:t>4</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vAlign w:val="center"/>
          </w:tcPr>
          <w:p>
            <w:pPr>
              <w:pStyle w:val="37"/>
              <w:spacing w:line="240" w:lineRule="auto"/>
              <w:rPr>
                <w:b w:val="0"/>
                <w:bCs w:val="0"/>
              </w:rPr>
            </w:pPr>
            <w:r>
              <w:rPr>
                <w:b w:val="0"/>
                <w:bCs/>
              </w:rPr>
              <w:t>毒性气体名称</w:t>
            </w:r>
          </w:p>
        </w:tc>
        <w:tc>
          <w:tcPr>
            <w:tcW w:w="1137" w:type="dxa"/>
            <w:vAlign w:val="center"/>
          </w:tcPr>
          <w:p>
            <w:pPr>
              <w:pStyle w:val="37"/>
              <w:spacing w:line="240" w:lineRule="auto"/>
            </w:pPr>
            <w:r>
              <w:t>硫化氢</w:t>
            </w:r>
          </w:p>
        </w:tc>
        <w:tc>
          <w:tcPr>
            <w:tcW w:w="1131" w:type="dxa"/>
            <w:vAlign w:val="center"/>
          </w:tcPr>
          <w:p>
            <w:pPr>
              <w:pStyle w:val="37"/>
              <w:spacing w:line="240" w:lineRule="auto"/>
            </w:pPr>
            <w:r>
              <w:t>氟化氢</w:t>
            </w:r>
          </w:p>
        </w:tc>
        <w:tc>
          <w:tcPr>
            <w:tcW w:w="1134" w:type="dxa"/>
            <w:vAlign w:val="center"/>
          </w:tcPr>
          <w:p>
            <w:pPr>
              <w:pStyle w:val="37"/>
              <w:spacing w:line="240" w:lineRule="auto"/>
            </w:pPr>
            <w:r>
              <w:t>二氧化氮</w:t>
            </w:r>
          </w:p>
        </w:tc>
        <w:tc>
          <w:tcPr>
            <w:tcW w:w="1134" w:type="dxa"/>
            <w:vAlign w:val="center"/>
          </w:tcPr>
          <w:p>
            <w:pPr>
              <w:pStyle w:val="37"/>
              <w:spacing w:line="240" w:lineRule="auto"/>
            </w:pPr>
            <w:r>
              <w:t>氰化氢</w:t>
            </w:r>
          </w:p>
        </w:tc>
        <w:tc>
          <w:tcPr>
            <w:tcW w:w="992" w:type="dxa"/>
            <w:vAlign w:val="center"/>
          </w:tcPr>
          <w:p>
            <w:pPr>
              <w:pStyle w:val="37"/>
              <w:spacing w:line="240" w:lineRule="auto"/>
            </w:pPr>
            <w:r>
              <w:t>碳酰氯</w:t>
            </w:r>
          </w:p>
        </w:tc>
        <w:tc>
          <w:tcPr>
            <w:tcW w:w="992" w:type="dxa"/>
            <w:vAlign w:val="center"/>
          </w:tcPr>
          <w:p>
            <w:pPr>
              <w:pStyle w:val="37"/>
              <w:spacing w:line="240" w:lineRule="auto"/>
            </w:pPr>
            <w:r>
              <w:t>磷化氢</w:t>
            </w:r>
          </w:p>
        </w:tc>
        <w:tc>
          <w:tcPr>
            <w:tcW w:w="1418" w:type="dxa"/>
            <w:vAlign w:val="center"/>
          </w:tcPr>
          <w:p>
            <w:pPr>
              <w:pStyle w:val="37"/>
              <w:spacing w:line="240" w:lineRule="auto"/>
            </w:pPr>
            <w:r>
              <w:t>异氰酸甲酯</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555" w:type="dxa"/>
            <w:shd w:val="clear" w:color="auto" w:fill="D9E2F3" w:themeFill="accent1" w:themeFillTint="33"/>
            <w:vAlign w:val="center"/>
          </w:tcPr>
          <w:p>
            <w:pPr>
              <w:pStyle w:val="37"/>
              <w:spacing w:line="240" w:lineRule="auto"/>
              <w:rPr>
                <w:b w:val="0"/>
                <w:bCs w:val="0"/>
              </w:rPr>
            </w:pPr>
            <w:r>
              <w:rPr>
                <w:b w:val="0"/>
                <w:bCs/>
              </w:rPr>
              <w:t>β</w:t>
            </w:r>
          </w:p>
        </w:tc>
        <w:tc>
          <w:tcPr>
            <w:tcW w:w="1137" w:type="dxa"/>
            <w:shd w:val="clear" w:color="auto" w:fill="D9E2F3" w:themeFill="accent1" w:themeFillTint="33"/>
            <w:vAlign w:val="center"/>
          </w:tcPr>
          <w:p>
            <w:pPr>
              <w:pStyle w:val="37"/>
              <w:spacing w:line="240" w:lineRule="auto"/>
            </w:pPr>
            <w:r>
              <w:t>5</w:t>
            </w:r>
          </w:p>
        </w:tc>
        <w:tc>
          <w:tcPr>
            <w:tcW w:w="1131" w:type="dxa"/>
            <w:shd w:val="clear" w:color="auto" w:fill="D9E2F3" w:themeFill="accent1" w:themeFillTint="33"/>
            <w:vAlign w:val="center"/>
          </w:tcPr>
          <w:p>
            <w:pPr>
              <w:pStyle w:val="37"/>
              <w:spacing w:line="240" w:lineRule="auto"/>
            </w:pPr>
            <w:r>
              <w:t>5</w:t>
            </w:r>
          </w:p>
        </w:tc>
        <w:tc>
          <w:tcPr>
            <w:tcW w:w="1134" w:type="dxa"/>
            <w:shd w:val="clear" w:color="auto" w:fill="D9E2F3" w:themeFill="accent1" w:themeFillTint="33"/>
            <w:vAlign w:val="center"/>
          </w:tcPr>
          <w:p>
            <w:pPr>
              <w:pStyle w:val="37"/>
              <w:spacing w:line="240" w:lineRule="auto"/>
            </w:pPr>
            <w:r>
              <w:t>10</w:t>
            </w:r>
          </w:p>
        </w:tc>
        <w:tc>
          <w:tcPr>
            <w:tcW w:w="1134" w:type="dxa"/>
            <w:shd w:val="clear" w:color="auto" w:fill="D9E2F3" w:themeFill="accent1" w:themeFillTint="33"/>
            <w:vAlign w:val="center"/>
          </w:tcPr>
          <w:p>
            <w:pPr>
              <w:pStyle w:val="37"/>
              <w:spacing w:line="240" w:lineRule="auto"/>
            </w:pPr>
            <w:r>
              <w:t>10</w:t>
            </w:r>
          </w:p>
        </w:tc>
        <w:tc>
          <w:tcPr>
            <w:tcW w:w="992" w:type="dxa"/>
            <w:shd w:val="clear" w:color="auto" w:fill="D9E2F3" w:themeFill="accent1" w:themeFillTint="33"/>
            <w:vAlign w:val="center"/>
          </w:tcPr>
          <w:p>
            <w:pPr>
              <w:pStyle w:val="37"/>
              <w:spacing w:line="240" w:lineRule="auto"/>
            </w:pPr>
            <w:r>
              <w:t>20</w:t>
            </w:r>
          </w:p>
        </w:tc>
        <w:tc>
          <w:tcPr>
            <w:tcW w:w="992" w:type="dxa"/>
            <w:shd w:val="clear" w:color="auto" w:fill="D9E2F3" w:themeFill="accent1" w:themeFillTint="33"/>
            <w:vAlign w:val="center"/>
          </w:tcPr>
          <w:p>
            <w:pPr>
              <w:pStyle w:val="37"/>
              <w:spacing w:line="240" w:lineRule="auto"/>
            </w:pPr>
            <w:r>
              <w:t>20</w:t>
            </w:r>
          </w:p>
        </w:tc>
        <w:tc>
          <w:tcPr>
            <w:tcW w:w="1418" w:type="dxa"/>
            <w:shd w:val="clear" w:color="auto" w:fill="D9E2F3" w:themeFill="accent1" w:themeFillTint="33"/>
            <w:vAlign w:val="center"/>
          </w:tcPr>
          <w:p>
            <w:pPr>
              <w:pStyle w:val="37"/>
              <w:spacing w:line="240" w:lineRule="auto"/>
            </w:pPr>
            <w:r>
              <w:t>20</w:t>
            </w:r>
          </w:p>
        </w:tc>
      </w:tr>
    </w:tbl>
    <w:p>
      <w:pPr>
        <w:spacing w:before="156" w:after="156"/>
        <w:ind w:firstLine="420"/>
      </w:pPr>
      <w:r>
        <w:rPr>
          <w:rFonts w:hint="eastAsia"/>
        </w:rPr>
        <w:t>注：</w:t>
      </w:r>
      <w:r>
        <w:t>未在表</w:t>
      </w:r>
      <w:r>
        <w:rPr>
          <w:rFonts w:hint="eastAsia"/>
        </w:rPr>
        <w:t>4-</w:t>
      </w:r>
      <w:r>
        <w:t>10</w:t>
      </w:r>
      <w:r>
        <w:rPr>
          <w:rFonts w:hint="eastAsia"/>
        </w:rPr>
        <w:t>中列出</w:t>
      </w:r>
      <w:r>
        <w:t>的有毒气体可按</w:t>
      </w:r>
      <w:r>
        <w:rPr>
          <w:i/>
        </w:rPr>
        <w:t>β=2</w:t>
      </w:r>
      <w:r>
        <w:rPr>
          <w:rFonts w:hint="eastAsia"/>
        </w:rPr>
        <w:t>取值</w:t>
      </w:r>
      <w:r>
        <w:t>，具体气体可按</w:t>
      </w:r>
      <w:r>
        <w:rPr>
          <w:i/>
        </w:rPr>
        <w:t>β=4</w:t>
      </w:r>
      <w:r>
        <w:rPr>
          <w:rFonts w:hint="eastAsia"/>
        </w:rPr>
        <w:t>取值</w:t>
      </w:r>
      <w:r>
        <w:t>。</w:t>
      </w:r>
    </w:p>
    <w:p>
      <w:pPr>
        <w:spacing w:before="156" w:after="156"/>
        <w:ind w:firstLine="420"/>
      </w:pPr>
      <w:r>
        <w:t>根据重大危险源的厂区边界向外扩展500米范围内常住人口数量，设定厂外暴露人员校正系数</w:t>
      </w:r>
      <w:r>
        <w:rPr>
          <w:i/>
        </w:rPr>
        <w:t>α</w:t>
      </w:r>
      <w:r>
        <w:t>值，见表4-11。</w:t>
      </w:r>
    </w:p>
    <w:p>
      <w:pPr>
        <w:pStyle w:val="39"/>
        <w:spacing w:before="156" w:after="156"/>
        <w:ind w:firstLine="420"/>
        <w:rPr>
          <w:rFonts w:ascii="宋体" w:hAnsi="宋体" w:eastAsia="宋体"/>
          <w:sz w:val="18"/>
          <w:szCs w:val="18"/>
        </w:rPr>
      </w:pPr>
      <w:r>
        <w:rPr>
          <w:rFonts w:hint="eastAsia" w:ascii="宋体" w:hAnsi="宋体" w:eastAsia="宋体"/>
          <w:sz w:val="18"/>
          <w:szCs w:val="18"/>
        </w:rPr>
        <w:t>表4-1</w:t>
      </w:r>
      <w:r>
        <w:rPr>
          <w:rFonts w:ascii="宋体" w:hAnsi="宋体" w:eastAsia="宋体"/>
          <w:sz w:val="18"/>
          <w:szCs w:val="18"/>
        </w:rPr>
        <w:t>1</w:t>
      </w:r>
      <w:r>
        <w:rPr>
          <w:rFonts w:hint="eastAsia" w:ascii="宋体" w:hAnsi="宋体" w:eastAsia="宋体"/>
          <w:sz w:val="18"/>
          <w:szCs w:val="18"/>
        </w:rPr>
        <w:t xml:space="preserve"> 校正</w:t>
      </w:r>
      <w:r>
        <w:rPr>
          <w:rFonts w:ascii="宋体" w:hAnsi="宋体" w:eastAsia="宋体"/>
          <w:sz w:val="18"/>
          <w:szCs w:val="18"/>
        </w:rPr>
        <w:t>系数α取值表</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4148"/>
        <w:gridCol w:w="414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148"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厂外可能暴露人员数量</w:t>
            </w:r>
          </w:p>
        </w:tc>
        <w:tc>
          <w:tcPr>
            <w:tcW w:w="4148"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α</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148" w:type="dxa"/>
            <w:shd w:val="clear" w:color="auto" w:fill="D9E2F3" w:themeFill="accent1" w:themeFillTint="33"/>
          </w:tcPr>
          <w:p>
            <w:pPr>
              <w:pStyle w:val="37"/>
              <w:spacing w:line="240" w:lineRule="auto"/>
              <w:rPr>
                <w:b w:val="0"/>
                <w:bCs w:val="0"/>
              </w:rPr>
            </w:pPr>
            <w:r>
              <w:rPr>
                <w:b w:val="0"/>
                <w:bCs/>
              </w:rPr>
              <w:t>100人以上</w:t>
            </w:r>
          </w:p>
        </w:tc>
        <w:tc>
          <w:tcPr>
            <w:tcW w:w="4148" w:type="dxa"/>
            <w:shd w:val="clear" w:color="auto" w:fill="D9E2F3" w:themeFill="accent1" w:themeFillTint="33"/>
          </w:tcPr>
          <w:p>
            <w:pPr>
              <w:pStyle w:val="37"/>
              <w:spacing w:line="240" w:lineRule="auto"/>
            </w:pPr>
            <w:r>
              <w:t>2.0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148" w:type="dxa"/>
          </w:tcPr>
          <w:p>
            <w:pPr>
              <w:pStyle w:val="37"/>
              <w:spacing w:line="240" w:lineRule="auto"/>
              <w:rPr>
                <w:b w:val="0"/>
                <w:bCs w:val="0"/>
              </w:rPr>
            </w:pPr>
            <w:r>
              <w:rPr>
                <w:b w:val="0"/>
                <w:bCs/>
              </w:rPr>
              <w:t>50人～99人</w:t>
            </w:r>
          </w:p>
        </w:tc>
        <w:tc>
          <w:tcPr>
            <w:tcW w:w="4148" w:type="dxa"/>
          </w:tcPr>
          <w:p>
            <w:pPr>
              <w:pStyle w:val="37"/>
              <w:spacing w:line="240" w:lineRule="auto"/>
            </w:pPr>
            <w:r>
              <w:t>1.5</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148" w:type="dxa"/>
            <w:shd w:val="clear" w:color="auto" w:fill="D9E2F3" w:themeFill="accent1" w:themeFillTint="33"/>
          </w:tcPr>
          <w:p>
            <w:pPr>
              <w:pStyle w:val="37"/>
              <w:spacing w:line="240" w:lineRule="auto"/>
              <w:rPr>
                <w:b w:val="0"/>
                <w:bCs w:val="0"/>
              </w:rPr>
            </w:pPr>
            <w:r>
              <w:rPr>
                <w:b w:val="0"/>
                <w:bCs/>
              </w:rPr>
              <w:t>30人～49人</w:t>
            </w:r>
          </w:p>
        </w:tc>
        <w:tc>
          <w:tcPr>
            <w:tcW w:w="4148" w:type="dxa"/>
            <w:shd w:val="clear" w:color="auto" w:fill="D9E2F3" w:themeFill="accent1" w:themeFillTint="33"/>
          </w:tcPr>
          <w:p>
            <w:pPr>
              <w:pStyle w:val="37"/>
              <w:spacing w:line="240" w:lineRule="auto"/>
            </w:pPr>
            <w:r>
              <w:t>1.2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148" w:type="dxa"/>
          </w:tcPr>
          <w:p>
            <w:pPr>
              <w:pStyle w:val="37"/>
              <w:spacing w:line="240" w:lineRule="auto"/>
              <w:rPr>
                <w:b w:val="0"/>
                <w:bCs w:val="0"/>
              </w:rPr>
            </w:pPr>
            <w:r>
              <w:rPr>
                <w:b w:val="0"/>
                <w:bCs/>
              </w:rPr>
              <w:t>1～29人</w:t>
            </w:r>
          </w:p>
        </w:tc>
        <w:tc>
          <w:tcPr>
            <w:tcW w:w="4148" w:type="dxa"/>
          </w:tcPr>
          <w:p>
            <w:pPr>
              <w:pStyle w:val="37"/>
              <w:spacing w:line="240" w:lineRule="auto"/>
            </w:pPr>
            <w:r>
              <w:t>1.0</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148" w:type="dxa"/>
            <w:shd w:val="clear" w:color="auto" w:fill="D9E2F3" w:themeFill="accent1" w:themeFillTint="33"/>
          </w:tcPr>
          <w:p>
            <w:pPr>
              <w:pStyle w:val="37"/>
              <w:spacing w:line="240" w:lineRule="auto"/>
              <w:rPr>
                <w:b w:val="0"/>
                <w:bCs w:val="0"/>
              </w:rPr>
            </w:pPr>
            <w:r>
              <w:rPr>
                <w:b w:val="0"/>
                <w:bCs/>
              </w:rPr>
              <w:t>0人</w:t>
            </w:r>
          </w:p>
        </w:tc>
        <w:tc>
          <w:tcPr>
            <w:tcW w:w="4148" w:type="dxa"/>
            <w:shd w:val="clear" w:color="auto" w:fill="D9E2F3" w:themeFill="accent1" w:themeFillTint="33"/>
          </w:tcPr>
          <w:p>
            <w:pPr>
              <w:pStyle w:val="37"/>
              <w:spacing w:line="240" w:lineRule="auto"/>
            </w:pPr>
            <w:r>
              <w:t>0.5</w:t>
            </w:r>
          </w:p>
        </w:tc>
      </w:tr>
    </w:tbl>
    <w:p>
      <w:pPr>
        <w:pStyle w:val="39"/>
        <w:spacing w:before="156" w:after="156"/>
        <w:ind w:firstLine="420"/>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4-12</w:t>
      </w:r>
      <w:r>
        <w:rPr>
          <w:rFonts w:hint="eastAsia" w:ascii="宋体" w:hAnsi="宋体" w:eastAsia="宋体"/>
          <w:sz w:val="18"/>
          <w:szCs w:val="18"/>
        </w:rPr>
        <w:t>危险化学品</w:t>
      </w:r>
      <w:r>
        <w:rPr>
          <w:rFonts w:ascii="宋体" w:hAnsi="宋体" w:eastAsia="宋体"/>
          <w:sz w:val="18"/>
          <w:szCs w:val="18"/>
        </w:rPr>
        <w:t>重大危险源</w:t>
      </w:r>
      <w:r>
        <w:rPr>
          <w:rFonts w:hint="eastAsia" w:ascii="宋体" w:hAnsi="宋体" w:eastAsia="宋体"/>
          <w:sz w:val="18"/>
          <w:szCs w:val="18"/>
        </w:rPr>
        <w:t>级别</w:t>
      </w:r>
      <w:r>
        <w:rPr>
          <w:rFonts w:ascii="宋体" w:hAnsi="宋体" w:eastAsia="宋体"/>
          <w:sz w:val="18"/>
          <w:szCs w:val="18"/>
        </w:rPr>
        <w:t>和</w:t>
      </w:r>
      <w:r>
        <w:rPr>
          <w:rFonts w:hint="eastAsia" w:ascii="宋体" w:hAnsi="宋体" w:eastAsia="宋体"/>
          <w:sz w:val="18"/>
          <w:szCs w:val="18"/>
        </w:rPr>
        <w:t>R值</w:t>
      </w:r>
      <w:r>
        <w:rPr>
          <w:rFonts w:ascii="宋体" w:hAnsi="宋体" w:eastAsia="宋体"/>
          <w:sz w:val="18"/>
          <w:szCs w:val="18"/>
        </w:rPr>
        <w:t>的对应关系</w:t>
      </w:r>
    </w:p>
    <w:tbl>
      <w:tblPr>
        <w:tblStyle w:val="3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4148"/>
        <w:gridCol w:w="4148"/>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148" w:type="dxa"/>
            <w:tcBorders>
              <w:top w:val="single" w:color="FFFFFF" w:sz="4" w:space="0"/>
              <w:left w:val="single" w:color="FFFFFF" w:sz="4" w:space="0"/>
              <w:right w:val="nil"/>
              <w:insideV w:val="nil"/>
            </w:tcBorders>
            <w:shd w:val="clear" w:color="auto" w:fill="4472C4"/>
          </w:tcPr>
          <w:p>
            <w:pPr>
              <w:pStyle w:val="37"/>
              <w:spacing w:before="156" w:after="156"/>
              <w:ind w:firstLine="420"/>
              <w:rPr>
                <w:b w:val="0"/>
                <w:bCs w:val="0"/>
                <w:color w:val="FFFFFF"/>
                <w:szCs w:val="20"/>
              </w:rPr>
            </w:pPr>
            <w:r>
              <w:rPr>
                <w:rFonts w:hint="eastAsia"/>
                <w:b/>
                <w:bCs/>
                <w:color w:val="FFFFFF"/>
                <w:szCs w:val="20"/>
              </w:rPr>
              <w:t>危险化学品</w:t>
            </w:r>
            <w:r>
              <w:rPr>
                <w:b/>
                <w:bCs/>
                <w:color w:val="FFFFFF"/>
                <w:szCs w:val="20"/>
              </w:rPr>
              <w:t>重大危险源级别</w:t>
            </w:r>
          </w:p>
        </w:tc>
        <w:tc>
          <w:tcPr>
            <w:tcW w:w="4148" w:type="dxa"/>
            <w:tcBorders>
              <w:top w:val="single" w:color="FFFFFF" w:sz="4" w:space="0"/>
              <w:right w:val="single" w:color="FFFFFF" w:sz="4" w:space="0"/>
              <w:insideV w:val="nil"/>
            </w:tcBorders>
            <w:shd w:val="clear" w:color="auto" w:fill="4472C4"/>
          </w:tcPr>
          <w:p>
            <w:pPr>
              <w:pStyle w:val="37"/>
              <w:spacing w:before="156" w:after="156"/>
              <w:ind w:firstLine="420"/>
              <w:rPr>
                <w:b w:val="0"/>
                <w:bCs w:val="0"/>
                <w:color w:val="FFFFFF"/>
                <w:szCs w:val="20"/>
              </w:rPr>
            </w:pPr>
            <w:r>
              <w:rPr>
                <w:b/>
                <w:bCs/>
                <w:color w:val="FFFFFF"/>
                <w:szCs w:val="20"/>
              </w:rPr>
              <w:t>R</w:t>
            </w:r>
            <w:r>
              <w:rPr>
                <w:rFonts w:hint="eastAsia"/>
                <w:b/>
                <w:bCs/>
                <w:color w:val="FFFFFF"/>
                <w:szCs w:val="20"/>
              </w:rPr>
              <w:t>值</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148" w:type="dxa"/>
            <w:tcBorders>
              <w:left w:val="single" w:color="FFFFFF" w:sz="4" w:space="0"/>
            </w:tcBorders>
            <w:shd w:val="clear" w:color="auto" w:fill="DEEAF6" w:themeFill="accent5" w:themeFillTint="33"/>
          </w:tcPr>
          <w:p>
            <w:pPr>
              <w:pStyle w:val="37"/>
              <w:spacing w:before="156" w:after="156"/>
              <w:ind w:firstLine="420"/>
              <w:rPr>
                <w:b w:val="0"/>
                <w:bCs w:val="0"/>
                <w:color w:val="FFFFFF"/>
                <w:szCs w:val="20"/>
              </w:rPr>
            </w:pPr>
            <w:r>
              <w:rPr>
                <w:rFonts w:hint="eastAsia"/>
                <w:b w:val="0"/>
                <w:bCs/>
                <w:color w:val="FFFFFF"/>
                <w:szCs w:val="20"/>
              </w:rPr>
              <w:t>一级</w:t>
            </w:r>
          </w:p>
        </w:tc>
        <w:tc>
          <w:tcPr>
            <w:tcW w:w="4148" w:type="dxa"/>
            <w:shd w:val="clear" w:color="auto" w:fill="DEEAF6" w:themeFill="accent5" w:themeFillTint="33"/>
          </w:tcPr>
          <w:p>
            <w:pPr>
              <w:pStyle w:val="37"/>
              <w:spacing w:before="156" w:after="156"/>
              <w:ind w:firstLine="420"/>
              <w:rPr>
                <w:szCs w:val="20"/>
              </w:rPr>
            </w:pPr>
            <w:r>
              <w:rPr>
                <w:rFonts w:hint="eastAsia"/>
                <w:szCs w:val="20"/>
              </w:rPr>
              <w:t>R≥100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148" w:type="dxa"/>
            <w:tcBorders>
              <w:left w:val="single" w:color="FFFFFF" w:sz="4" w:space="0"/>
            </w:tcBorders>
            <w:shd w:val="clear" w:color="auto" w:fill="4472C4"/>
          </w:tcPr>
          <w:p>
            <w:pPr>
              <w:pStyle w:val="37"/>
              <w:spacing w:before="156" w:after="156"/>
              <w:ind w:firstLine="420"/>
              <w:rPr>
                <w:b w:val="0"/>
                <w:bCs w:val="0"/>
                <w:color w:val="FFFFFF"/>
                <w:szCs w:val="20"/>
              </w:rPr>
            </w:pPr>
            <w:r>
              <w:rPr>
                <w:rFonts w:hint="eastAsia"/>
                <w:b w:val="0"/>
                <w:bCs/>
                <w:color w:val="FFFFFF"/>
                <w:szCs w:val="20"/>
              </w:rPr>
              <w:t>二级</w:t>
            </w:r>
          </w:p>
        </w:tc>
        <w:tc>
          <w:tcPr>
            <w:tcW w:w="4148" w:type="dxa"/>
            <w:shd w:val="clear" w:color="auto" w:fill="D9E2F3"/>
          </w:tcPr>
          <w:p>
            <w:pPr>
              <w:pStyle w:val="37"/>
              <w:spacing w:before="156" w:after="156"/>
              <w:ind w:firstLine="420"/>
              <w:rPr>
                <w:szCs w:val="20"/>
              </w:rPr>
            </w:pPr>
            <w:r>
              <w:rPr>
                <w:szCs w:val="20"/>
              </w:rPr>
              <w:t>100</w:t>
            </w:r>
            <w:r>
              <w:rPr>
                <w:rFonts w:hint="eastAsia"/>
                <w:szCs w:val="20"/>
              </w:rPr>
              <w:t>＞R≥50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c>
          <w:tcPr>
            <w:tcW w:w="4148" w:type="dxa"/>
            <w:tcBorders>
              <w:left w:val="single" w:color="FFFFFF" w:sz="4" w:space="0"/>
            </w:tcBorders>
            <w:shd w:val="clear" w:color="auto" w:fill="DEEAF6" w:themeFill="accent5" w:themeFillTint="33"/>
          </w:tcPr>
          <w:p>
            <w:pPr>
              <w:pStyle w:val="37"/>
              <w:spacing w:before="156" w:after="156"/>
              <w:ind w:firstLine="420"/>
              <w:rPr>
                <w:b w:val="0"/>
                <w:bCs w:val="0"/>
                <w:color w:val="FFFFFF"/>
                <w:szCs w:val="20"/>
              </w:rPr>
            </w:pPr>
            <w:r>
              <w:rPr>
                <w:rFonts w:hint="eastAsia"/>
                <w:b w:val="0"/>
                <w:bCs/>
                <w:color w:val="FFFFFF"/>
                <w:szCs w:val="20"/>
              </w:rPr>
              <w:t>三级</w:t>
            </w:r>
          </w:p>
        </w:tc>
        <w:tc>
          <w:tcPr>
            <w:tcW w:w="4148" w:type="dxa"/>
            <w:shd w:val="clear" w:color="auto" w:fill="DEEAF6" w:themeFill="accent5" w:themeFillTint="33"/>
          </w:tcPr>
          <w:p>
            <w:pPr>
              <w:pStyle w:val="37"/>
              <w:spacing w:before="156" w:after="156"/>
              <w:ind w:firstLine="420"/>
              <w:rPr>
                <w:szCs w:val="20"/>
              </w:rPr>
            </w:pPr>
            <w:r>
              <w:rPr>
                <w:rFonts w:hint="eastAsia"/>
                <w:szCs w:val="20"/>
              </w:rPr>
              <w:t>50＞R≥10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4148" w:type="dxa"/>
            <w:tcBorders>
              <w:left w:val="single" w:color="FFFFFF" w:sz="4" w:space="0"/>
              <w:bottom w:val="single" w:color="FFFFFF" w:sz="4" w:space="0"/>
            </w:tcBorders>
            <w:shd w:val="clear" w:color="auto" w:fill="4472C4"/>
          </w:tcPr>
          <w:p>
            <w:pPr>
              <w:pStyle w:val="37"/>
              <w:spacing w:before="156" w:after="156"/>
              <w:ind w:firstLine="420"/>
              <w:rPr>
                <w:b w:val="0"/>
                <w:bCs w:val="0"/>
                <w:color w:val="FFFFFF"/>
                <w:szCs w:val="20"/>
              </w:rPr>
            </w:pPr>
            <w:r>
              <w:rPr>
                <w:rFonts w:hint="eastAsia"/>
                <w:b w:val="0"/>
                <w:bCs/>
                <w:color w:val="FFFFFF"/>
                <w:szCs w:val="20"/>
              </w:rPr>
              <w:t>四级</w:t>
            </w:r>
          </w:p>
        </w:tc>
        <w:tc>
          <w:tcPr>
            <w:tcW w:w="4148" w:type="dxa"/>
            <w:shd w:val="clear" w:color="auto" w:fill="D9E2F3"/>
          </w:tcPr>
          <w:p>
            <w:pPr>
              <w:pStyle w:val="37"/>
              <w:spacing w:before="156" w:after="156"/>
              <w:ind w:firstLine="420"/>
              <w:rPr>
                <w:szCs w:val="20"/>
              </w:rPr>
            </w:pPr>
            <w:r>
              <w:rPr>
                <w:rFonts w:hint="eastAsia"/>
                <w:szCs w:val="20"/>
              </w:rPr>
              <w:t>R＜10</w:t>
            </w:r>
          </w:p>
        </w:tc>
      </w:tr>
    </w:tbl>
    <w:p>
      <w:pPr>
        <w:pStyle w:val="4"/>
        <w:spacing w:before="156" w:after="156"/>
        <w:ind w:firstLine="482"/>
      </w:pPr>
      <w:bookmarkStart w:id="133" w:name="_Toc141203930"/>
      <w:bookmarkStart w:id="134" w:name="_Toc108206521"/>
      <w:r>
        <w:rPr>
          <w:rFonts w:hint="eastAsia"/>
        </w:rPr>
        <w:t>4</w:t>
      </w:r>
      <w:r>
        <w:t>.2.2</w:t>
      </w:r>
      <w:r>
        <w:rPr>
          <w:rFonts w:hint="eastAsia"/>
        </w:rPr>
        <w:t>重大危险源等级确定</w:t>
      </w:r>
      <w:bookmarkEnd w:id="133"/>
      <w:bookmarkEnd w:id="134"/>
    </w:p>
    <w:p>
      <w:pPr>
        <w:autoSpaceDE/>
        <w:autoSpaceDN/>
        <w:spacing w:before="0" w:beforeLines="0" w:after="0" w:afterLines="0"/>
        <w:ind w:firstLine="360"/>
        <w:jc w:val="both"/>
        <w:rPr>
          <w:rFonts w:ascii="Times New Roman" w:hAnsi="Times New Roman" w:cs="Times New Roman"/>
          <w:kern w:val="2"/>
          <w:sz w:val="18"/>
          <w:szCs w:val="18"/>
          <w:highlight w:val="yellow"/>
        </w:rPr>
      </w:pPr>
      <m:oMathPara>
        <m:oMath>
          <m:r>
            <m:rPr/>
            <w:rPr>
              <w:rFonts w:ascii="Cambria Math" w:hAnsi="Cambria Math" w:cs="Times New Roman"/>
              <w:kern w:val="2"/>
              <w:sz w:val="18"/>
              <w:szCs w:val="18"/>
            </w:rPr>
            <m:t>R</m:t>
          </m:r>
          <m:r>
            <m:rPr>
              <m:sty m:val="p"/>
            </m:rPr>
            <w:rPr>
              <w:rFonts w:ascii="Cambria Math" w:hAnsi="Cambria Math" w:cs="Times New Roman"/>
              <w:kern w:val="2"/>
              <w:sz w:val="18"/>
              <w:szCs w:val="18"/>
            </w:rPr>
            <m:t>=</m:t>
          </m:r>
          <m:r>
            <m:rPr/>
            <w:rPr>
              <w:rFonts w:ascii="Cambria Math" w:hAnsi="Cambria Math" w:cs="Times New Roman"/>
              <w:kern w:val="2"/>
              <w:sz w:val="18"/>
              <w:szCs w:val="18"/>
            </w:rPr>
            <m:t>α</m:t>
          </m:r>
          <m:d>
            <m:dPr>
              <m:ctrlPr>
                <w:rPr>
                  <w:rFonts w:ascii="Cambria Math" w:hAnsi="Cambria Math" w:cs="Times New Roman"/>
                  <w:kern w:val="2"/>
                  <w:sz w:val="18"/>
                  <w:szCs w:val="18"/>
                </w:rPr>
              </m:ctrlPr>
            </m:dPr>
            <m:e>
              <m:sSub>
                <m:sSubPr>
                  <m:ctrlPr>
                    <w:rPr>
                      <w:rFonts w:ascii="Cambria Math" w:hAnsi="Cambria Math" w:cs="Times New Roman"/>
                      <w:kern w:val="2"/>
                      <w:sz w:val="18"/>
                      <w:szCs w:val="18"/>
                    </w:rPr>
                  </m:ctrlPr>
                </m:sSubPr>
                <m:e>
                  <m:r>
                    <m:rPr/>
                    <w:rPr>
                      <w:rFonts w:ascii="Cambria Math" w:hAnsi="Cambria Math" w:cs="Times New Roman"/>
                      <w:kern w:val="2"/>
                      <w:sz w:val="18"/>
                      <w:szCs w:val="18"/>
                    </w:rPr>
                    <m:t>β</m:t>
                  </m:r>
                  <m:ctrlPr>
                    <w:rPr>
                      <w:rFonts w:ascii="Cambria Math" w:hAnsi="Cambria Math" w:cs="Times New Roman"/>
                      <w:kern w:val="2"/>
                      <w:sz w:val="18"/>
                      <w:szCs w:val="18"/>
                    </w:rPr>
                  </m:ctrlPr>
                </m:e>
                <m:sub>
                  <m:r>
                    <m:rPr>
                      <m:sty m:val="p"/>
                    </m:rPr>
                    <w:rPr>
                      <w:rFonts w:ascii="Cambria Math" w:hAnsi="Cambria Math" w:cs="Times New Roman"/>
                      <w:kern w:val="2"/>
                      <w:sz w:val="18"/>
                      <w:szCs w:val="18"/>
                    </w:rPr>
                    <m:t>1</m:t>
                  </m:r>
                  <m:ctrlPr>
                    <w:rPr>
                      <w:rFonts w:ascii="Cambria Math" w:hAnsi="Cambria Math" w:cs="Times New Roman"/>
                      <w:kern w:val="2"/>
                      <w:sz w:val="18"/>
                      <w:szCs w:val="18"/>
                    </w:rPr>
                  </m:ctrlPr>
                </m:sub>
              </m:sSub>
              <m:f>
                <m:fPr>
                  <m:ctrlPr>
                    <w:rPr>
                      <w:rFonts w:ascii="Cambria Math" w:hAnsi="Cambria Math" w:cs="Times New Roman"/>
                      <w:kern w:val="2"/>
                      <w:sz w:val="18"/>
                      <w:szCs w:val="18"/>
                    </w:rPr>
                  </m:ctrlPr>
                </m:fPr>
                <m:num>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m:sty m:val="p"/>
                        </m:rPr>
                        <w:rPr>
                          <w:rFonts w:ascii="Cambria Math" w:hAnsi="Cambria Math" w:cs="Times New Roman"/>
                          <w:kern w:val="2"/>
                          <w:sz w:val="18"/>
                          <w:szCs w:val="18"/>
                        </w:rPr>
                        <m:t>1</m:t>
                      </m:r>
                      <m:ctrlPr>
                        <w:rPr>
                          <w:rFonts w:ascii="Cambria Math" w:hAnsi="Cambria Math" w:cs="Times New Roman"/>
                          <w:kern w:val="2"/>
                          <w:sz w:val="18"/>
                          <w:szCs w:val="18"/>
                        </w:rPr>
                      </m:ctrlPr>
                    </m:sub>
                  </m:sSub>
                  <m:ctrlPr>
                    <w:rPr>
                      <w:rFonts w:ascii="Cambria Math" w:hAnsi="Cambria Math" w:cs="Times New Roman"/>
                      <w:kern w:val="2"/>
                      <w:sz w:val="18"/>
                      <w:szCs w:val="18"/>
                    </w:rPr>
                  </m:ctrlPr>
                </m:num>
                <m:den>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m:sty m:val="p"/>
                        </m:rPr>
                        <w:rPr>
                          <w:rFonts w:ascii="Cambria Math" w:hAnsi="Cambria Math" w:cs="Times New Roman"/>
                          <w:kern w:val="2"/>
                          <w:sz w:val="18"/>
                          <w:szCs w:val="18"/>
                        </w:rPr>
                        <m:t>1</m:t>
                      </m:r>
                      <m:ctrlPr>
                        <w:rPr>
                          <w:rFonts w:ascii="Cambria Math" w:hAnsi="Cambria Math" w:cs="Times New Roman"/>
                          <w:kern w:val="2"/>
                          <w:sz w:val="18"/>
                          <w:szCs w:val="18"/>
                        </w:rPr>
                      </m:ctrlPr>
                    </m:sub>
                  </m:sSub>
                  <m:ctrlPr>
                    <w:rPr>
                      <w:rFonts w:ascii="Cambria Math" w:hAnsi="Cambria Math" w:cs="Times New Roman"/>
                      <w:kern w:val="2"/>
                      <w:sz w:val="18"/>
                      <w:szCs w:val="18"/>
                    </w:rPr>
                  </m:ctrlPr>
                </m:den>
              </m:f>
              <m:r>
                <m:rPr>
                  <m:sty m:val="p"/>
                </m:rPr>
                <w:rPr>
                  <w:rFonts w:ascii="Cambria Math" w:hAnsi="Cambria Math" w:cs="Times New Roman"/>
                  <w:kern w:val="2"/>
                  <w:sz w:val="18"/>
                  <w:szCs w:val="18"/>
                </w:rPr>
                <m:t>+</m:t>
              </m:r>
              <m:sSub>
                <m:sSubPr>
                  <m:ctrlPr>
                    <w:rPr>
                      <w:rFonts w:ascii="Cambria Math" w:hAnsi="Cambria Math" w:cs="Times New Roman"/>
                      <w:kern w:val="2"/>
                      <w:sz w:val="18"/>
                      <w:szCs w:val="18"/>
                    </w:rPr>
                  </m:ctrlPr>
                </m:sSubPr>
                <m:e>
                  <m:r>
                    <m:rPr/>
                    <w:rPr>
                      <w:rFonts w:ascii="Cambria Math" w:hAnsi="Cambria Math" w:cs="Times New Roman"/>
                      <w:kern w:val="2"/>
                      <w:sz w:val="18"/>
                      <w:szCs w:val="18"/>
                    </w:rPr>
                    <m:t>β</m:t>
                  </m:r>
                  <m:ctrlPr>
                    <w:rPr>
                      <w:rFonts w:ascii="Cambria Math" w:hAnsi="Cambria Math" w:cs="Times New Roman"/>
                      <w:kern w:val="2"/>
                      <w:sz w:val="18"/>
                      <w:szCs w:val="18"/>
                    </w:rPr>
                  </m:ctrlPr>
                </m:e>
                <m:sub>
                  <m:r>
                    <m:rPr>
                      <m:sty m:val="p"/>
                    </m:rPr>
                    <w:rPr>
                      <w:rFonts w:ascii="Cambria Math" w:hAnsi="Cambria Math" w:cs="Times New Roman"/>
                      <w:kern w:val="2"/>
                      <w:sz w:val="18"/>
                      <w:szCs w:val="18"/>
                    </w:rPr>
                    <m:t>2</m:t>
                  </m:r>
                  <m:ctrlPr>
                    <w:rPr>
                      <w:rFonts w:ascii="Cambria Math" w:hAnsi="Cambria Math" w:cs="Times New Roman"/>
                      <w:kern w:val="2"/>
                      <w:sz w:val="18"/>
                      <w:szCs w:val="18"/>
                    </w:rPr>
                  </m:ctrlPr>
                </m:sub>
              </m:sSub>
              <m:f>
                <m:fPr>
                  <m:ctrlPr>
                    <w:rPr>
                      <w:rFonts w:ascii="Cambria Math" w:hAnsi="Cambria Math" w:cs="Times New Roman"/>
                      <w:kern w:val="2"/>
                      <w:sz w:val="18"/>
                      <w:szCs w:val="18"/>
                    </w:rPr>
                  </m:ctrlPr>
                </m:fPr>
                <m:num>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m:sty m:val="p"/>
                        </m:rPr>
                        <w:rPr>
                          <w:rFonts w:ascii="Cambria Math" w:hAnsi="Cambria Math" w:cs="Times New Roman"/>
                          <w:kern w:val="2"/>
                          <w:sz w:val="18"/>
                          <w:szCs w:val="18"/>
                        </w:rPr>
                        <m:t>2</m:t>
                      </m:r>
                      <m:ctrlPr>
                        <w:rPr>
                          <w:rFonts w:ascii="Cambria Math" w:hAnsi="Cambria Math" w:cs="Times New Roman"/>
                          <w:kern w:val="2"/>
                          <w:sz w:val="18"/>
                          <w:szCs w:val="18"/>
                        </w:rPr>
                      </m:ctrlPr>
                    </m:sub>
                  </m:sSub>
                  <m:ctrlPr>
                    <w:rPr>
                      <w:rFonts w:ascii="Cambria Math" w:hAnsi="Cambria Math" w:cs="Times New Roman"/>
                      <w:kern w:val="2"/>
                      <w:sz w:val="18"/>
                      <w:szCs w:val="18"/>
                    </w:rPr>
                  </m:ctrlPr>
                </m:num>
                <m:den>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m:sty m:val="p"/>
                        </m:rPr>
                        <w:rPr>
                          <w:rFonts w:ascii="Cambria Math" w:hAnsi="Cambria Math" w:cs="Times New Roman"/>
                          <w:kern w:val="2"/>
                          <w:sz w:val="18"/>
                          <w:szCs w:val="18"/>
                        </w:rPr>
                        <m:t>2</m:t>
                      </m:r>
                      <m:ctrlPr>
                        <w:rPr>
                          <w:rFonts w:ascii="Cambria Math" w:hAnsi="Cambria Math" w:cs="Times New Roman"/>
                          <w:kern w:val="2"/>
                          <w:sz w:val="18"/>
                          <w:szCs w:val="18"/>
                        </w:rPr>
                      </m:ctrlPr>
                    </m:sub>
                  </m:sSub>
                  <m:ctrlPr>
                    <w:rPr>
                      <w:rFonts w:ascii="Cambria Math" w:hAnsi="Cambria Math" w:cs="Times New Roman"/>
                      <w:kern w:val="2"/>
                      <w:sz w:val="18"/>
                      <w:szCs w:val="18"/>
                    </w:rPr>
                  </m:ctrlPr>
                </m:den>
              </m:f>
              <m:r>
                <m:rPr>
                  <m:sty m:val="p"/>
                </m:rPr>
                <w:rPr>
                  <w:rFonts w:ascii="Cambria Math" w:hAnsi="Cambria Math" w:cs="Times New Roman"/>
                  <w:kern w:val="2"/>
                  <w:sz w:val="18"/>
                  <w:szCs w:val="18"/>
                </w:rPr>
                <m:t>+...+</m:t>
              </m:r>
              <m:sSub>
                <m:sSubPr>
                  <m:ctrlPr>
                    <w:rPr>
                      <w:rFonts w:ascii="Cambria Math" w:hAnsi="Cambria Math" w:cs="Times New Roman"/>
                      <w:kern w:val="2"/>
                      <w:sz w:val="18"/>
                      <w:szCs w:val="18"/>
                    </w:rPr>
                  </m:ctrlPr>
                </m:sSubPr>
                <m:e>
                  <m:r>
                    <m:rPr/>
                    <w:rPr>
                      <w:rFonts w:ascii="Cambria Math" w:hAnsi="Cambria Math" w:cs="Times New Roman"/>
                      <w:kern w:val="2"/>
                      <w:sz w:val="18"/>
                      <w:szCs w:val="18"/>
                    </w:rPr>
                    <m:t>β</m:t>
                  </m:r>
                  <m:ctrlPr>
                    <w:rPr>
                      <w:rFonts w:ascii="Cambria Math" w:hAnsi="Cambria Math" w:cs="Times New Roman"/>
                      <w:kern w:val="2"/>
                      <w:sz w:val="18"/>
                      <w:szCs w:val="18"/>
                    </w:rPr>
                  </m:ctrlPr>
                </m:e>
                <m:sub>
                  <m:r>
                    <m:rPr/>
                    <w:rPr>
                      <w:rFonts w:ascii="Cambria Math" w:hAnsi="Cambria Math" w:cs="Times New Roman"/>
                      <w:kern w:val="2"/>
                      <w:sz w:val="18"/>
                      <w:szCs w:val="18"/>
                    </w:rPr>
                    <m:t>n</m:t>
                  </m:r>
                  <m:ctrlPr>
                    <w:rPr>
                      <w:rFonts w:ascii="Cambria Math" w:hAnsi="Cambria Math" w:cs="Times New Roman"/>
                      <w:kern w:val="2"/>
                      <w:sz w:val="18"/>
                      <w:szCs w:val="18"/>
                    </w:rPr>
                  </m:ctrlPr>
                </m:sub>
              </m:sSub>
              <m:f>
                <m:fPr>
                  <m:ctrlPr>
                    <w:rPr>
                      <w:rFonts w:ascii="Cambria Math" w:hAnsi="Cambria Math" w:cs="Times New Roman"/>
                      <w:kern w:val="2"/>
                      <w:sz w:val="18"/>
                      <w:szCs w:val="18"/>
                    </w:rPr>
                  </m:ctrlPr>
                </m:fPr>
                <m:num>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w:rPr>
                          <w:rFonts w:ascii="Cambria Math" w:hAnsi="Cambria Math" w:cs="Times New Roman"/>
                          <w:kern w:val="2"/>
                          <w:sz w:val="18"/>
                          <w:szCs w:val="18"/>
                        </w:rPr>
                        <m:t>n</m:t>
                      </m:r>
                      <m:ctrlPr>
                        <w:rPr>
                          <w:rFonts w:ascii="Cambria Math" w:hAnsi="Cambria Math" w:cs="Times New Roman"/>
                          <w:kern w:val="2"/>
                          <w:sz w:val="18"/>
                          <w:szCs w:val="18"/>
                        </w:rPr>
                      </m:ctrlPr>
                    </m:sub>
                  </m:sSub>
                  <m:ctrlPr>
                    <w:rPr>
                      <w:rFonts w:ascii="Cambria Math" w:hAnsi="Cambria Math" w:cs="Times New Roman"/>
                      <w:kern w:val="2"/>
                      <w:sz w:val="18"/>
                      <w:szCs w:val="18"/>
                    </w:rPr>
                  </m:ctrlPr>
                </m:num>
                <m:den>
                  <m:sSub>
                    <m:sSubPr>
                      <m:ctrlPr>
                        <w:rPr>
                          <w:rFonts w:ascii="Cambria Math" w:hAnsi="Cambria Math" w:cs="Times New Roman"/>
                          <w:kern w:val="2"/>
                          <w:sz w:val="18"/>
                          <w:szCs w:val="18"/>
                        </w:rPr>
                      </m:ctrlPr>
                    </m:sSubPr>
                    <m:e>
                      <m:r>
                        <m:rPr/>
                        <w:rPr>
                          <w:rFonts w:ascii="Cambria Math" w:hAnsi="Cambria Math" w:cs="Times New Roman"/>
                          <w:kern w:val="2"/>
                          <w:sz w:val="18"/>
                          <w:szCs w:val="18"/>
                        </w:rPr>
                        <m:t>Q</m:t>
                      </m:r>
                      <m:ctrlPr>
                        <w:rPr>
                          <w:rFonts w:ascii="Cambria Math" w:hAnsi="Cambria Math" w:cs="Times New Roman"/>
                          <w:kern w:val="2"/>
                          <w:sz w:val="18"/>
                          <w:szCs w:val="18"/>
                        </w:rPr>
                      </m:ctrlPr>
                    </m:e>
                    <m:sub>
                      <m:r>
                        <m:rPr/>
                        <w:rPr>
                          <w:rFonts w:ascii="Cambria Math" w:hAnsi="Cambria Math" w:cs="Times New Roman"/>
                          <w:kern w:val="2"/>
                          <w:sz w:val="18"/>
                          <w:szCs w:val="18"/>
                        </w:rPr>
                        <m:t>n</m:t>
                      </m:r>
                      <m:ctrlPr>
                        <w:rPr>
                          <w:rFonts w:ascii="Cambria Math" w:hAnsi="Cambria Math" w:cs="Times New Roman"/>
                          <w:kern w:val="2"/>
                          <w:sz w:val="18"/>
                          <w:szCs w:val="18"/>
                        </w:rPr>
                      </m:ctrlPr>
                    </m:sub>
                  </m:sSub>
                  <m:ctrlPr>
                    <w:rPr>
                      <w:rFonts w:ascii="Cambria Math" w:hAnsi="Cambria Math" w:cs="Times New Roman"/>
                      <w:kern w:val="2"/>
                      <w:sz w:val="18"/>
                      <w:szCs w:val="18"/>
                    </w:rPr>
                  </m:ctrlPr>
                </m:den>
              </m:f>
              <m:ctrlPr>
                <w:rPr>
                  <w:rFonts w:ascii="Cambria Math" w:hAnsi="Cambria Math" w:cs="Times New Roman"/>
                  <w:kern w:val="2"/>
                  <w:sz w:val="18"/>
                  <w:szCs w:val="18"/>
                </w:rPr>
              </m:ctrlPr>
            </m:e>
          </m:d>
          <m:r>
            <m:rPr>
              <m:sty m:val="p"/>
            </m:rPr>
            <w:rPr>
              <w:rFonts w:ascii="Cambria Math" w:hAnsi="Cambria Math" w:cs="Times New Roman"/>
              <w:kern w:val="2"/>
              <w:sz w:val="18"/>
              <w:szCs w:val="18"/>
            </w:rPr>
            <m:t>=1.5×</m:t>
          </m:r>
          <m:d>
            <m:dPr>
              <m:ctrlPr>
                <w:rPr>
                  <w:rFonts w:ascii="Cambria Math" w:hAnsi="Cambria Math" w:cs="Times New Roman"/>
                  <w:kern w:val="2"/>
                  <w:sz w:val="18"/>
                  <w:szCs w:val="18"/>
                </w:rPr>
              </m:ctrlPr>
            </m:dPr>
            <m:e>
              <m:r>
                <m:rPr>
                  <m:sty m:val="p"/>
                </m:rPr>
                <w:rPr>
                  <w:rFonts w:ascii="Cambria Math" w:hAnsi="Cambria Math" w:cs="Times New Roman"/>
                  <w:kern w:val="2"/>
                  <w:sz w:val="18"/>
                  <w:szCs w:val="18"/>
                </w:rPr>
                <m:t>2×</m:t>
              </m:r>
              <m:f>
                <m:fPr>
                  <m:ctrlPr>
                    <w:rPr>
                      <w:rFonts w:ascii="Cambria Math" w:hAnsi="Cambria Math" w:cs="Times New Roman"/>
                      <w:kern w:val="2"/>
                      <w:sz w:val="18"/>
                      <w:szCs w:val="18"/>
                    </w:rPr>
                  </m:ctrlPr>
                </m:fPr>
                <m:num>
                  <m:r>
                    <m:rPr>
                      <m:sty m:val="p"/>
                    </m:rPr>
                    <w:rPr>
                      <w:rFonts w:ascii="Cambria Math" w:hAnsi="Cambria Math" w:cs="Times New Roman"/>
                      <w:kern w:val="2"/>
                      <w:sz w:val="18"/>
                      <w:szCs w:val="18"/>
                    </w:rPr>
                    <m:t>86.8</m:t>
                  </m:r>
                  <m:ctrlPr>
                    <w:rPr>
                      <w:rFonts w:ascii="Cambria Math" w:hAnsi="Cambria Math" w:cs="Times New Roman"/>
                      <w:kern w:val="2"/>
                      <w:sz w:val="18"/>
                      <w:szCs w:val="18"/>
                    </w:rPr>
                  </m:ctrlPr>
                </m:num>
                <m:den>
                  <m:r>
                    <m:rPr>
                      <m:sty m:val="p"/>
                    </m:rPr>
                    <w:rPr>
                      <w:rFonts w:ascii="Cambria Math" w:hAnsi="Cambria Math" w:cs="Times New Roman"/>
                      <w:kern w:val="2"/>
                      <w:sz w:val="18"/>
                      <w:szCs w:val="18"/>
                    </w:rPr>
                    <m:t>10</m:t>
                  </m:r>
                  <m:ctrlPr>
                    <w:rPr>
                      <w:rFonts w:ascii="Cambria Math" w:hAnsi="Cambria Math" w:cs="Times New Roman"/>
                      <w:kern w:val="2"/>
                      <w:sz w:val="18"/>
                      <w:szCs w:val="18"/>
                    </w:rPr>
                  </m:ctrlPr>
                </m:den>
              </m:f>
              <m:r>
                <m:rPr>
                  <m:sty m:val="p"/>
                </m:rPr>
                <w:rPr>
                  <w:rFonts w:ascii="Cambria Math" w:hAnsi="Cambria Math" w:cs="Times New Roman"/>
                  <w:kern w:val="2"/>
                  <w:sz w:val="18"/>
                  <w:szCs w:val="18"/>
                </w:rPr>
                <m:t>+2×</m:t>
              </m:r>
              <m:f>
                <m:fPr>
                  <m:ctrlPr>
                    <w:rPr>
                      <w:rFonts w:ascii="Cambria Math" w:hAnsi="Cambria Math" w:cs="Times New Roman"/>
                      <w:kern w:val="2"/>
                      <w:sz w:val="18"/>
                      <w:szCs w:val="18"/>
                    </w:rPr>
                  </m:ctrlPr>
                </m:fPr>
                <m:num>
                  <m:r>
                    <m:rPr>
                      <m:sty m:val="p"/>
                    </m:rPr>
                    <w:rPr>
                      <w:rFonts w:ascii="Cambria Math" w:hAnsi="Cambria Math" w:cs="Times New Roman"/>
                      <w:kern w:val="2"/>
                      <w:sz w:val="18"/>
                      <w:szCs w:val="18"/>
                    </w:rPr>
                    <m:t>86.7</m:t>
                  </m:r>
                  <m:ctrlPr>
                    <w:rPr>
                      <w:rFonts w:ascii="Cambria Math" w:hAnsi="Cambria Math" w:cs="Times New Roman"/>
                      <w:kern w:val="2"/>
                      <w:sz w:val="18"/>
                      <w:szCs w:val="18"/>
                    </w:rPr>
                  </m:ctrlPr>
                </m:num>
                <m:den>
                  <m:r>
                    <m:rPr>
                      <m:sty m:val="p"/>
                    </m:rPr>
                    <w:rPr>
                      <w:rFonts w:ascii="Cambria Math" w:hAnsi="Cambria Math" w:cs="Times New Roman"/>
                      <w:kern w:val="2"/>
                      <w:sz w:val="18"/>
                      <w:szCs w:val="18"/>
                    </w:rPr>
                    <m:t>50</m:t>
                  </m:r>
                  <m:ctrlPr>
                    <w:rPr>
                      <w:rFonts w:ascii="Cambria Math" w:hAnsi="Cambria Math" w:cs="Times New Roman"/>
                      <w:kern w:val="2"/>
                      <w:sz w:val="18"/>
                      <w:szCs w:val="18"/>
                    </w:rPr>
                  </m:ctrlPr>
                </m:den>
              </m:f>
              <m:r>
                <m:rPr/>
                <w:rPr>
                  <w:rFonts w:ascii="Cambria Math" w:hAnsi="Cambria Math" w:cs="Times New Roman"/>
                  <w:kern w:val="2"/>
                  <w:sz w:val="18"/>
                  <w:szCs w:val="18"/>
                </w:rPr>
                <m:t>+4×</m:t>
              </m:r>
              <m:f>
                <m:fPr>
                  <m:ctrlPr>
                    <w:rPr>
                      <w:rFonts w:ascii="Cambria Math" w:hAnsi="Cambria Math" w:cs="Times New Roman"/>
                      <w:i/>
                      <w:kern w:val="2"/>
                      <w:sz w:val="18"/>
                      <w:szCs w:val="18"/>
                    </w:rPr>
                  </m:ctrlPr>
                </m:fPr>
                <m:num>
                  <m:r>
                    <m:rPr/>
                    <w:rPr>
                      <w:rFonts w:ascii="Cambria Math" w:hAnsi="Cambria Math" w:cs="Times New Roman"/>
                      <w:kern w:val="2"/>
                      <w:sz w:val="18"/>
                      <w:szCs w:val="18"/>
                    </w:rPr>
                    <m:t>0.068</m:t>
                  </m:r>
                  <m:ctrlPr>
                    <w:rPr>
                      <w:rFonts w:ascii="Cambria Math" w:hAnsi="Cambria Math" w:cs="Times New Roman"/>
                      <w:i/>
                      <w:kern w:val="2"/>
                      <w:sz w:val="18"/>
                      <w:szCs w:val="18"/>
                    </w:rPr>
                  </m:ctrlPr>
                </m:num>
                <m:den>
                  <m:r>
                    <m:rPr/>
                    <w:rPr>
                      <w:rFonts w:ascii="Cambria Math" w:hAnsi="Cambria Math" w:cs="Times New Roman"/>
                      <w:kern w:val="2"/>
                      <w:sz w:val="18"/>
                      <w:szCs w:val="18"/>
                    </w:rPr>
                    <m:t>50</m:t>
                  </m:r>
                  <m:ctrlPr>
                    <w:rPr>
                      <w:rFonts w:ascii="Cambria Math" w:hAnsi="Cambria Math" w:cs="Times New Roman"/>
                      <w:i/>
                      <w:kern w:val="2"/>
                      <w:sz w:val="18"/>
                      <w:szCs w:val="18"/>
                    </w:rPr>
                  </m:ctrlPr>
                </m:den>
              </m:f>
              <m:r>
                <m:rPr/>
                <w:rPr>
                  <w:rFonts w:ascii="Cambria Math" w:hAnsi="Cambria Math" w:cs="Times New Roman"/>
                  <w:kern w:val="2"/>
                  <w:sz w:val="18"/>
                  <w:szCs w:val="18"/>
                </w:rPr>
                <m:t>+1×</m:t>
              </m:r>
              <m:f>
                <m:fPr>
                  <m:ctrlPr>
                    <w:rPr>
                      <w:rFonts w:ascii="Cambria Math" w:hAnsi="Cambria Math" w:cs="Times New Roman"/>
                      <w:i/>
                      <w:kern w:val="2"/>
                      <w:sz w:val="18"/>
                      <w:szCs w:val="18"/>
                    </w:rPr>
                  </m:ctrlPr>
                </m:fPr>
                <m:num>
                  <m:r>
                    <m:rPr/>
                    <w:rPr>
                      <w:rFonts w:ascii="Cambria Math" w:hAnsi="Cambria Math" w:cs="Times New Roman"/>
                      <w:kern w:val="2"/>
                      <w:sz w:val="18"/>
                      <w:szCs w:val="18"/>
                    </w:rPr>
                    <m:t>0.0415</m:t>
                  </m:r>
                  <m:ctrlPr>
                    <w:rPr>
                      <w:rFonts w:ascii="Cambria Math" w:hAnsi="Cambria Math" w:cs="Times New Roman"/>
                      <w:i/>
                      <w:kern w:val="2"/>
                      <w:sz w:val="18"/>
                      <w:szCs w:val="18"/>
                    </w:rPr>
                  </m:ctrlPr>
                </m:num>
                <m:den>
                  <m:r>
                    <m:rPr/>
                    <w:rPr>
                      <w:rFonts w:ascii="Cambria Math" w:hAnsi="Cambria Math" w:cs="Times New Roman"/>
                      <w:kern w:val="2"/>
                      <w:sz w:val="18"/>
                      <w:szCs w:val="18"/>
                    </w:rPr>
                    <m:t>10</m:t>
                  </m:r>
                  <m:ctrlPr>
                    <w:rPr>
                      <w:rFonts w:ascii="Cambria Math" w:hAnsi="Cambria Math" w:cs="Times New Roman"/>
                      <w:i/>
                      <w:kern w:val="2"/>
                      <w:sz w:val="18"/>
                      <w:szCs w:val="18"/>
                    </w:rPr>
                  </m:ctrlPr>
                </m:den>
              </m:f>
              <m:ctrlPr>
                <w:rPr>
                  <w:rFonts w:ascii="Cambria Math" w:hAnsi="Cambria Math" w:cs="Times New Roman"/>
                  <w:kern w:val="2"/>
                  <w:sz w:val="18"/>
                  <w:szCs w:val="18"/>
                </w:rPr>
              </m:ctrlPr>
            </m:e>
          </m:d>
          <m:r>
            <m:rPr>
              <m:nor/>
              <m:sty m:val="p"/>
            </m:rPr>
            <w:rPr>
              <w:rFonts w:ascii="Cambria Math" w:hAnsi="Cambria Math" w:cs="Times New Roman"/>
              <w:kern w:val="2"/>
              <w:sz w:val="18"/>
              <w:szCs w:val="18"/>
            </w:rPr>
            <m:t>≈</m:t>
          </m:r>
          <m:r>
            <m:rPr>
              <m:nor/>
              <m:sty m:val="p"/>
            </m:rPr>
            <w:rPr>
              <w:rFonts w:ascii="Times New Roman" w:hAnsi="Times New Roman" w:cs="Times New Roman"/>
              <w:kern w:val="2"/>
              <w:sz w:val="18"/>
              <w:szCs w:val="18"/>
            </w:rPr>
            <m:t>31.26</m:t>
          </m:r>
        </m:oMath>
      </m:oMathPara>
    </w:p>
    <w:p>
      <w:pPr>
        <w:spacing w:before="156" w:after="156"/>
        <w:ind w:firstLine="420"/>
      </w:pPr>
      <w:r>
        <w:t>根据表4-13</w:t>
      </w:r>
      <w:r>
        <w:rPr>
          <w:rFonts w:hint="eastAsia"/>
        </w:rPr>
        <w:t>可知</w:t>
      </w:r>
      <w:r>
        <w:t>为</w:t>
      </w:r>
      <w:r>
        <w:rPr>
          <w:rFonts w:hint="eastAsia"/>
        </w:rPr>
        <w:t>三</w:t>
      </w:r>
      <w:r>
        <w:t>级</w:t>
      </w:r>
      <w:r>
        <w:rPr>
          <w:rFonts w:hint="eastAsia"/>
        </w:rPr>
        <w:t>危险源</w:t>
      </w:r>
      <w:r>
        <w:t>级别。</w:t>
      </w:r>
    </w:p>
    <w:p>
      <w:pPr>
        <w:pStyle w:val="39"/>
        <w:spacing w:before="156" w:after="156"/>
        <w:ind w:firstLine="420"/>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4-13</w:t>
      </w:r>
      <w:r>
        <w:rPr>
          <w:rFonts w:hint="eastAsia" w:ascii="宋体" w:hAnsi="宋体" w:eastAsia="宋体"/>
          <w:sz w:val="18"/>
          <w:szCs w:val="18"/>
        </w:rPr>
        <w:t xml:space="preserve"> 本工程重大</w:t>
      </w:r>
      <w:r>
        <w:rPr>
          <w:rFonts w:ascii="宋体" w:hAnsi="宋体" w:eastAsia="宋体"/>
          <w:sz w:val="18"/>
          <w:szCs w:val="18"/>
        </w:rPr>
        <w:t>危险源物质辨识表</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765"/>
        <w:gridCol w:w="2765"/>
        <w:gridCol w:w="2766"/>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76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000000" w:themeColor="text1"/>
                <w14:textFill>
                  <w14:solidFill>
                    <w14:schemeClr w14:val="tx1"/>
                  </w14:solidFill>
                </w14:textFill>
              </w:rPr>
            </w:pPr>
            <w:r>
              <w:rPr>
                <w:rFonts w:hint="eastAsia"/>
                <w:b/>
                <w:bCs/>
                <w:color w:val="FFFFFF" w:themeColor="background1"/>
                <w14:textFill>
                  <w14:solidFill>
                    <w14:schemeClr w14:val="bg1"/>
                  </w14:solidFill>
                </w14:textFill>
              </w:rPr>
              <w:t>序号</w:t>
            </w:r>
          </w:p>
        </w:tc>
        <w:tc>
          <w:tcPr>
            <w:tcW w:w="276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000000" w:themeColor="text1"/>
                <w14:textFill>
                  <w14:solidFill>
                    <w14:schemeClr w14:val="tx1"/>
                  </w14:solidFill>
                </w14:textFill>
              </w:rPr>
            </w:pPr>
            <w:r>
              <w:rPr>
                <w:rFonts w:hint="eastAsia"/>
                <w:b/>
                <w:bCs/>
                <w:color w:val="FFFFFF" w:themeColor="background1"/>
                <w14:textFill>
                  <w14:solidFill>
                    <w14:schemeClr w14:val="bg1"/>
                  </w14:solidFill>
                </w14:textFill>
              </w:rPr>
              <w:t>危险物质</w:t>
            </w:r>
          </w:p>
        </w:tc>
        <w:tc>
          <w:tcPr>
            <w:tcW w:w="2766"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pStyle w:val="37"/>
              <w:spacing w:line="240" w:lineRule="auto"/>
              <w:rPr>
                <w:b w:val="0"/>
                <w:bCs w:val="0"/>
                <w:color w:val="000000" w:themeColor="text1"/>
                <w14:textFill>
                  <w14:solidFill>
                    <w14:schemeClr w14:val="tx1"/>
                  </w14:solidFill>
                </w14:textFill>
              </w:rPr>
            </w:pPr>
            <w:r>
              <w:rPr>
                <w:rFonts w:hint="eastAsia"/>
                <w:b/>
                <w:bCs/>
                <w:color w:val="FFFFFF" w:themeColor="background1"/>
                <w14:textFill>
                  <w14:solidFill>
                    <w14:schemeClr w14:val="bg1"/>
                  </w14:solidFill>
                </w14:textFill>
              </w:rPr>
              <w:t>是否构成</w:t>
            </w:r>
            <w:r>
              <w:rPr>
                <w:b/>
                <w:bCs/>
                <w:color w:val="FFFFFF" w:themeColor="background1"/>
                <w14:textFill>
                  <w14:solidFill>
                    <w14:schemeClr w14:val="bg1"/>
                  </w14:solidFill>
                </w14:textFill>
              </w:rPr>
              <w:t>重大危险源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765" w:type="dxa"/>
            <w:shd w:val="clear" w:color="auto" w:fill="D9E2F3" w:themeFill="accent1" w:themeFillTint="33"/>
          </w:tcPr>
          <w:p>
            <w:pPr>
              <w:pStyle w:val="37"/>
              <w:spacing w:line="240" w:lineRule="auto"/>
              <w:rPr>
                <w:b w:val="0"/>
                <w:bCs w:val="0"/>
                <w:color w:val="000000" w:themeColor="text1"/>
                <w14:textFill>
                  <w14:solidFill>
                    <w14:schemeClr w14:val="tx1"/>
                  </w14:solidFill>
                </w14:textFill>
              </w:rPr>
            </w:pPr>
            <w:r>
              <w:rPr>
                <w:b w:val="0"/>
                <w:bCs/>
              </w:rPr>
              <w:t>1</w:t>
            </w:r>
          </w:p>
        </w:tc>
        <w:tc>
          <w:tcPr>
            <w:tcW w:w="2765" w:type="dxa"/>
            <w:shd w:val="clear" w:color="auto" w:fill="D9E2F3" w:themeFill="accent1" w:themeFillTint="33"/>
          </w:tcPr>
          <w:p>
            <w:pPr>
              <w:pStyle w:val="37"/>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氨</w:t>
            </w:r>
          </w:p>
        </w:tc>
        <w:tc>
          <w:tcPr>
            <w:tcW w:w="2766" w:type="dxa"/>
            <w:shd w:val="clear" w:color="auto" w:fill="D9E2F3" w:themeFill="accent1" w:themeFillTint="33"/>
          </w:tcPr>
          <w:p>
            <w:pPr>
              <w:pStyle w:val="37"/>
              <w:spacing w:line="240" w:lineRule="auto"/>
              <w:rPr>
                <w:color w:val="000000" w:themeColor="text1"/>
                <w14:textFill>
                  <w14:solidFill>
                    <w14:schemeClr w14:val="tx1"/>
                  </w14:solidFill>
                </w14:textFill>
              </w:rPr>
            </w:pPr>
            <w:r>
              <w:rPr>
                <w:rFonts w:hint="eastAsia"/>
              </w:rPr>
              <w:t>不构成</w:t>
            </w:r>
            <w:r>
              <w:t>重大危险源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765" w:type="dxa"/>
          </w:tcPr>
          <w:p>
            <w:pPr>
              <w:pStyle w:val="37"/>
              <w:spacing w:line="240" w:lineRule="auto"/>
              <w:rPr>
                <w:b w:val="0"/>
                <w:bCs w:val="0"/>
              </w:rPr>
            </w:pPr>
            <w:r>
              <w:rPr>
                <w:b w:val="0"/>
                <w:bCs/>
              </w:rPr>
              <w:t>2</w:t>
            </w:r>
          </w:p>
        </w:tc>
        <w:tc>
          <w:tcPr>
            <w:tcW w:w="2765" w:type="dxa"/>
          </w:tcPr>
          <w:p>
            <w:pPr>
              <w:pStyle w:val="37"/>
              <w:spacing w:line="240" w:lineRule="auto"/>
            </w:pPr>
            <w:r>
              <w:rPr>
                <w:rFonts w:hint="eastAsia"/>
              </w:rPr>
              <w:t>己二腈</w:t>
            </w:r>
          </w:p>
        </w:tc>
        <w:tc>
          <w:tcPr>
            <w:tcW w:w="2766" w:type="dxa"/>
          </w:tcPr>
          <w:p>
            <w:pPr>
              <w:pStyle w:val="37"/>
              <w:spacing w:line="240" w:lineRule="auto"/>
            </w:pPr>
            <w:r>
              <w:rPr>
                <w:rFonts w:hint="eastAsia"/>
              </w:rPr>
              <w:t>构成</w:t>
            </w:r>
            <w:r>
              <w:t>重大危险源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765" w:type="dxa"/>
            <w:shd w:val="clear" w:color="auto" w:fill="D9E2F3" w:themeFill="accent1" w:themeFillTint="33"/>
          </w:tcPr>
          <w:p>
            <w:pPr>
              <w:pStyle w:val="37"/>
              <w:spacing w:line="240" w:lineRule="auto"/>
              <w:rPr>
                <w:b w:val="0"/>
                <w:bCs/>
              </w:rPr>
            </w:pPr>
            <w:r>
              <w:rPr>
                <w:rFonts w:hint="eastAsia"/>
                <w:b w:val="0"/>
                <w:bCs/>
              </w:rPr>
              <w:t>3</w:t>
            </w:r>
          </w:p>
        </w:tc>
        <w:tc>
          <w:tcPr>
            <w:tcW w:w="2765" w:type="dxa"/>
            <w:shd w:val="clear" w:color="auto" w:fill="D9E2F3" w:themeFill="accent1" w:themeFillTint="33"/>
          </w:tcPr>
          <w:p>
            <w:pPr>
              <w:pStyle w:val="37"/>
              <w:spacing w:line="240" w:lineRule="auto"/>
            </w:pPr>
            <w:r>
              <w:rPr>
                <w:rFonts w:hint="eastAsia"/>
              </w:rPr>
              <w:t>磷酸</w:t>
            </w:r>
          </w:p>
        </w:tc>
        <w:tc>
          <w:tcPr>
            <w:tcW w:w="2766" w:type="dxa"/>
            <w:shd w:val="clear" w:color="auto" w:fill="D9E2F3" w:themeFill="accent1" w:themeFillTint="33"/>
          </w:tcPr>
          <w:p>
            <w:pPr>
              <w:pStyle w:val="37"/>
              <w:spacing w:line="240" w:lineRule="auto"/>
            </w:pPr>
            <w:r>
              <w:rPr>
                <w:rFonts w:hint="eastAsia"/>
              </w:rPr>
              <w:t>不构成重大危险源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765" w:type="dxa"/>
          </w:tcPr>
          <w:p>
            <w:pPr>
              <w:pStyle w:val="37"/>
              <w:spacing w:line="240" w:lineRule="auto"/>
              <w:rPr>
                <w:b w:val="0"/>
                <w:bCs/>
              </w:rPr>
            </w:pPr>
            <w:r>
              <w:rPr>
                <w:rFonts w:hint="eastAsia"/>
                <w:b w:val="0"/>
                <w:bCs/>
              </w:rPr>
              <w:t>4</w:t>
            </w:r>
          </w:p>
        </w:tc>
        <w:tc>
          <w:tcPr>
            <w:tcW w:w="2765" w:type="dxa"/>
          </w:tcPr>
          <w:p>
            <w:pPr>
              <w:pStyle w:val="37"/>
              <w:spacing w:line="240" w:lineRule="auto"/>
            </w:pPr>
            <w:r>
              <w:rPr>
                <w:rFonts w:hint="eastAsia"/>
              </w:rPr>
              <w:t>环戊酮</w:t>
            </w:r>
          </w:p>
        </w:tc>
        <w:tc>
          <w:tcPr>
            <w:tcW w:w="2766" w:type="dxa"/>
          </w:tcPr>
          <w:p>
            <w:pPr>
              <w:pStyle w:val="37"/>
              <w:spacing w:line="240" w:lineRule="auto"/>
            </w:pPr>
            <w:r>
              <w:rPr>
                <w:rFonts w:hint="eastAsia"/>
              </w:rPr>
              <w:t>不构成重大危险源</w:t>
            </w:r>
          </w:p>
        </w:tc>
      </w:tr>
    </w:tbl>
    <w:p>
      <w:pPr>
        <w:spacing w:before="156" w:after="156"/>
        <w:ind w:firstLine="420"/>
      </w:pPr>
      <w:r>
        <w:rPr>
          <w:rFonts w:hint="eastAsia"/>
        </w:rPr>
        <w:t>当单元内</w:t>
      </w:r>
      <w:r>
        <w:t>存在的危险物质为单一品种</w:t>
      </w:r>
      <w:r>
        <w:rPr>
          <w:rFonts w:hint="eastAsia"/>
        </w:rPr>
        <w:t>时，</w:t>
      </w:r>
      <w:r>
        <w:t>其数量等于或超过标准中的</w:t>
      </w:r>
      <w:r>
        <w:rPr>
          <w:rFonts w:hint="eastAsia"/>
        </w:rPr>
        <w:t>规定</w:t>
      </w:r>
      <w:r>
        <w:t>的临界量，则定义为重大危险源。本</w:t>
      </w:r>
      <w:r>
        <w:rPr>
          <w:rFonts w:hint="eastAsia"/>
        </w:rPr>
        <w:t>项目</w:t>
      </w:r>
      <w:r>
        <w:t>中</w:t>
      </w:r>
      <w:r>
        <w:rPr>
          <w:rFonts w:hint="eastAsia"/>
        </w:rPr>
        <w:t>氢气实际含量</w:t>
      </w:r>
      <w:r>
        <w:t>为</w:t>
      </w:r>
      <w:r>
        <w:rPr>
          <w:rFonts w:hint="eastAsia"/>
        </w:rPr>
        <w:t>6</w:t>
      </w:r>
      <w:r>
        <w:t>.5t，</w:t>
      </w:r>
      <w:r>
        <w:rPr>
          <w:rFonts w:hint="eastAsia"/>
        </w:rPr>
        <w:t>大于</w:t>
      </w:r>
      <w:r>
        <w:t>标准</w:t>
      </w:r>
      <w:r>
        <w:rPr>
          <w:rFonts w:hint="eastAsia"/>
        </w:rPr>
        <w:t>中</w:t>
      </w:r>
      <w:r>
        <w:t>规定的5t</w:t>
      </w:r>
      <w:r>
        <w:rPr>
          <w:rFonts w:hint="eastAsia"/>
        </w:rPr>
        <w:t>，</w:t>
      </w:r>
      <w:r>
        <w:t>构成重大危险源</w:t>
      </w:r>
      <w:r>
        <w:rPr>
          <w:rFonts w:hint="eastAsia"/>
        </w:rPr>
        <w:t>。</w:t>
      </w:r>
    </w:p>
    <w:p>
      <w:pPr>
        <w:spacing w:before="156" w:after="156"/>
        <w:ind w:firstLine="420"/>
      </w:pPr>
      <w:r>
        <w:rPr>
          <w:rFonts w:hint="eastAsia"/>
        </w:rPr>
        <w:t>当单元内存在的危险化学品为多种时，若</w:t>
      </w:r>
      <w:r>
        <w:object>
          <v:shape id="_x0000_i1030" o:spt="75" type="#_x0000_t75" style="height:14.95pt;width:147.55pt;" o:ole="t" filled="f" o:preferrelative="t" stroked="f" coordsize="21600,21600">
            <v:path/>
            <v:fill on="f" focussize="0,0"/>
            <v:stroke on="f" joinstyle="miter"/>
            <v:imagedata r:id="rId30" o:title=""/>
            <o:lock v:ext="edit" aspectratio="t"/>
            <w10:wrap type="none"/>
            <w10:anchorlock/>
          </v:shape>
          <o:OLEObject Type="Embed" ProgID="Equation.3" ShapeID="_x0000_i1030" DrawAspect="Content" ObjectID="_1468075730" r:id="rId29">
            <o:LockedField>false</o:LockedField>
          </o:OLEObject>
        </w:object>
      </w:r>
      <w:r>
        <w:rPr>
          <w:rFonts w:hint="eastAsia"/>
        </w:rPr>
        <w:t>，则定义为重大危险源。以车间为单元，重新进行计算，辨识结果如表4-1</w:t>
      </w:r>
      <w:r>
        <w:t>4</w:t>
      </w:r>
      <w:r>
        <w:rPr>
          <w:rFonts w:hint="eastAsia"/>
        </w:rPr>
        <w:t>所示。</w:t>
      </w:r>
    </w:p>
    <w:p>
      <w:pPr>
        <w:pStyle w:val="39"/>
        <w:spacing w:before="156" w:after="156"/>
        <w:ind w:firstLine="420"/>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4-14</w:t>
      </w:r>
      <w:r>
        <w:rPr>
          <w:rFonts w:hint="eastAsia" w:ascii="宋体" w:hAnsi="宋体" w:eastAsia="宋体"/>
          <w:sz w:val="18"/>
          <w:szCs w:val="18"/>
        </w:rPr>
        <w:t xml:space="preserve"> 本工程重大</w:t>
      </w:r>
      <w:r>
        <w:rPr>
          <w:rFonts w:ascii="宋体" w:hAnsi="宋体" w:eastAsia="宋体"/>
          <w:sz w:val="18"/>
          <w:szCs w:val="18"/>
        </w:rPr>
        <w:t>危险源</w:t>
      </w:r>
      <w:r>
        <w:rPr>
          <w:rFonts w:hint="eastAsia" w:ascii="宋体" w:hAnsi="宋体" w:eastAsia="宋体"/>
          <w:sz w:val="18"/>
          <w:szCs w:val="18"/>
        </w:rPr>
        <w:t>单元</w:t>
      </w:r>
      <w:r>
        <w:rPr>
          <w:rFonts w:ascii="宋体" w:hAnsi="宋体" w:eastAsia="宋体"/>
          <w:sz w:val="18"/>
          <w:szCs w:val="18"/>
        </w:rPr>
        <w:t>辨识表</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765"/>
        <w:gridCol w:w="2765"/>
        <w:gridCol w:w="2766"/>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76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000000" w:themeColor="text1"/>
                <w14:textFill>
                  <w14:solidFill>
                    <w14:schemeClr w14:val="tx1"/>
                  </w14:solidFill>
                </w14:textFill>
              </w:rPr>
            </w:pPr>
            <w:r>
              <w:rPr>
                <w:rFonts w:hint="eastAsia"/>
                <w:b/>
                <w:bCs/>
                <w:color w:val="FFFFFF" w:themeColor="background1"/>
                <w14:textFill>
                  <w14:solidFill>
                    <w14:schemeClr w14:val="bg1"/>
                  </w14:solidFill>
                </w14:textFill>
              </w:rPr>
              <w:t>序号</w:t>
            </w:r>
          </w:p>
        </w:tc>
        <w:tc>
          <w:tcPr>
            <w:tcW w:w="276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000000" w:themeColor="text1"/>
                <w14:textFill>
                  <w14:solidFill>
                    <w14:schemeClr w14:val="tx1"/>
                  </w14:solidFill>
                </w14:textFill>
              </w:rPr>
            </w:pPr>
            <w:r>
              <w:rPr>
                <w:rFonts w:hint="eastAsia"/>
                <w:b/>
                <w:bCs/>
                <w:color w:val="FFFFFF" w:themeColor="background1"/>
                <w14:textFill>
                  <w14:solidFill>
                    <w14:schemeClr w14:val="bg1"/>
                  </w14:solidFill>
                </w14:textFill>
              </w:rPr>
              <w:t>工段</w:t>
            </w:r>
          </w:p>
        </w:tc>
        <w:tc>
          <w:tcPr>
            <w:tcW w:w="2766"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pStyle w:val="37"/>
              <w:spacing w:line="240" w:lineRule="auto"/>
              <w:rPr>
                <w:b w:val="0"/>
                <w:bCs w:val="0"/>
                <w:color w:val="000000" w:themeColor="text1"/>
                <w14:textFill>
                  <w14:solidFill>
                    <w14:schemeClr w14:val="tx1"/>
                  </w14:solidFill>
                </w14:textFill>
              </w:rPr>
            </w:pPr>
            <w:r>
              <w:rPr>
                <w:rFonts w:hint="eastAsia"/>
                <w:b/>
                <w:bCs/>
                <w:color w:val="FFFFFF" w:themeColor="background1"/>
                <w14:textFill>
                  <w14:solidFill>
                    <w14:schemeClr w14:val="bg1"/>
                  </w14:solidFill>
                </w14:textFill>
              </w:rPr>
              <w:t>是否构成</w:t>
            </w:r>
            <w:r>
              <w:rPr>
                <w:b/>
                <w:bCs/>
                <w:color w:val="FFFFFF" w:themeColor="background1"/>
                <w14:textFill>
                  <w14:solidFill>
                    <w14:schemeClr w14:val="bg1"/>
                  </w14:solidFill>
                </w14:textFill>
              </w:rPr>
              <w:t>重大危险源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765" w:type="dxa"/>
            <w:shd w:val="clear" w:color="auto" w:fill="D9E2F3" w:themeFill="accent1" w:themeFillTint="33"/>
          </w:tcPr>
          <w:p>
            <w:pPr>
              <w:pStyle w:val="37"/>
              <w:spacing w:line="240" w:lineRule="auto"/>
              <w:rPr>
                <w:b w:val="0"/>
                <w:bCs w:val="0"/>
                <w:color w:val="000000" w:themeColor="text1"/>
                <w14:textFill>
                  <w14:solidFill>
                    <w14:schemeClr w14:val="tx1"/>
                  </w14:solidFill>
                </w14:textFill>
              </w:rPr>
            </w:pPr>
            <w:r>
              <w:rPr>
                <w:rFonts w:hint="eastAsia"/>
                <w:b/>
                <w:bCs/>
                <w:color w:val="000000" w:themeColor="text1"/>
                <w14:textFill>
                  <w14:solidFill>
                    <w14:schemeClr w14:val="tx1"/>
                  </w14:solidFill>
                </w14:textFill>
              </w:rPr>
              <w:t>1</w:t>
            </w:r>
          </w:p>
        </w:tc>
        <w:tc>
          <w:tcPr>
            <w:tcW w:w="2765" w:type="dxa"/>
            <w:shd w:val="clear" w:color="auto" w:fill="D9E2F3" w:themeFill="accent1" w:themeFillTint="33"/>
          </w:tcPr>
          <w:p>
            <w:pPr>
              <w:pStyle w:val="37"/>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氨化反应工段</w:t>
            </w:r>
          </w:p>
        </w:tc>
        <w:tc>
          <w:tcPr>
            <w:tcW w:w="2766" w:type="dxa"/>
            <w:shd w:val="clear" w:color="auto" w:fill="D9E2F3" w:themeFill="accent1" w:themeFillTint="33"/>
          </w:tcPr>
          <w:p>
            <w:pPr>
              <w:pStyle w:val="37"/>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构成重大危险源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765" w:type="dxa"/>
          </w:tcPr>
          <w:p>
            <w:pPr>
              <w:pStyle w:val="37"/>
              <w:spacing w:line="240" w:lineRule="auto"/>
              <w:rPr>
                <w:b w:val="0"/>
                <w:bCs w:val="0"/>
                <w:color w:val="000000" w:themeColor="text1"/>
                <w14:textFill>
                  <w14:solidFill>
                    <w14:schemeClr w14:val="tx1"/>
                  </w14:solidFill>
                </w14:textFill>
              </w:rPr>
            </w:pPr>
            <w:r>
              <w:rPr>
                <w:rFonts w:hint="eastAsia"/>
                <w:b/>
                <w:bCs/>
                <w:color w:val="000000" w:themeColor="text1"/>
                <w14:textFill>
                  <w14:solidFill>
                    <w14:schemeClr w14:val="tx1"/>
                  </w14:solidFill>
                </w14:textFill>
              </w:rPr>
              <w:t>2</w:t>
            </w:r>
          </w:p>
        </w:tc>
        <w:tc>
          <w:tcPr>
            <w:tcW w:w="2765" w:type="dxa"/>
          </w:tcPr>
          <w:p>
            <w:pPr>
              <w:pStyle w:val="37"/>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氨气回收工段</w:t>
            </w:r>
          </w:p>
        </w:tc>
        <w:tc>
          <w:tcPr>
            <w:tcW w:w="2766" w:type="dxa"/>
          </w:tcPr>
          <w:p>
            <w:pPr>
              <w:pStyle w:val="37"/>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构成重大危险源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765" w:type="dxa"/>
            <w:shd w:val="clear" w:color="auto" w:fill="D9E2F3" w:themeFill="accent1" w:themeFillTint="33"/>
          </w:tcPr>
          <w:p>
            <w:pPr>
              <w:pStyle w:val="37"/>
              <w:spacing w:line="240" w:lineRule="auto"/>
              <w:rPr>
                <w:b w:val="0"/>
                <w:bCs w:val="0"/>
                <w:color w:val="000000" w:themeColor="text1"/>
                <w14:textFill>
                  <w14:solidFill>
                    <w14:schemeClr w14:val="tx1"/>
                  </w14:solidFill>
                </w14:textFill>
              </w:rPr>
            </w:pPr>
            <w:r>
              <w:rPr>
                <w:rFonts w:hint="eastAsia"/>
                <w:b/>
                <w:bCs/>
                <w:color w:val="000000" w:themeColor="text1"/>
                <w14:textFill>
                  <w14:solidFill>
                    <w14:schemeClr w14:val="tx1"/>
                  </w14:solidFill>
                </w14:textFill>
              </w:rPr>
              <w:t>3</w:t>
            </w:r>
          </w:p>
        </w:tc>
        <w:tc>
          <w:tcPr>
            <w:tcW w:w="2765" w:type="dxa"/>
            <w:shd w:val="clear" w:color="auto" w:fill="D9E2F3" w:themeFill="accent1" w:themeFillTint="33"/>
          </w:tcPr>
          <w:p>
            <w:pPr>
              <w:pStyle w:val="37"/>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分离精制工段</w:t>
            </w:r>
          </w:p>
        </w:tc>
        <w:tc>
          <w:tcPr>
            <w:tcW w:w="2766" w:type="dxa"/>
            <w:shd w:val="clear" w:color="auto" w:fill="D9E2F3" w:themeFill="accent1" w:themeFillTint="33"/>
          </w:tcPr>
          <w:p>
            <w:pPr>
              <w:pStyle w:val="37"/>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不构成重大危险源</w:t>
            </w:r>
          </w:p>
        </w:tc>
      </w:tr>
    </w:tbl>
    <w:p>
      <w:pPr>
        <w:spacing w:before="156" w:after="156"/>
        <w:ind w:firstLine="420"/>
      </w:pPr>
      <w:r>
        <w:rPr>
          <w:rFonts w:hint="eastAsia"/>
        </w:rPr>
        <w:t>根据国家</w:t>
      </w:r>
      <w:r>
        <w:t>安监局《</w:t>
      </w:r>
      <w:r>
        <w:rPr>
          <w:rFonts w:hint="eastAsia"/>
        </w:rPr>
        <w:t>关于开展</w:t>
      </w:r>
      <w:r>
        <w:t>重大危险源监督管理工作的指导意见》</w:t>
      </w:r>
      <w:r>
        <w:rPr>
          <w:rFonts w:hint="eastAsia"/>
        </w:rPr>
        <w:t>（安监</w:t>
      </w:r>
      <w:r>
        <w:t>管协调字</w:t>
      </w:r>
      <w:r>
        <w:rPr>
          <w:rFonts w:hint="eastAsia"/>
        </w:rPr>
        <w:t>[</w:t>
      </w:r>
      <w:r>
        <w:t>2004</w:t>
      </w:r>
      <w:r>
        <w:rPr>
          <w:rFonts w:hint="eastAsia"/>
        </w:rPr>
        <w:t>]</w:t>
      </w:r>
      <w:r>
        <w:t>56</w:t>
      </w:r>
      <w:r>
        <w:rPr>
          <w:rFonts w:hint="eastAsia"/>
        </w:rPr>
        <w:t>号）规定</w:t>
      </w:r>
      <w:r>
        <w:t>的《</w:t>
      </w:r>
      <w:r>
        <w:rPr>
          <w:rFonts w:hint="eastAsia"/>
        </w:rPr>
        <w:t>重大危险源</w:t>
      </w:r>
      <w:r>
        <w:t>申报范围》</w:t>
      </w:r>
      <w:r>
        <w:rPr>
          <w:rFonts w:hint="eastAsia"/>
        </w:rPr>
        <w:t>，</w:t>
      </w:r>
      <w:r>
        <w:t>对该项目压力容器、压力管道进行重大危险源识别，辨识结果</w:t>
      </w:r>
      <w:r>
        <w:rPr>
          <w:rFonts w:hint="eastAsia"/>
        </w:rPr>
        <w:t>见表</w:t>
      </w:r>
      <w:r>
        <w:t>4-15</w:t>
      </w:r>
      <w:r>
        <w:rPr>
          <w:rFonts w:hint="eastAsia"/>
        </w:rPr>
        <w:t>。</w:t>
      </w:r>
    </w:p>
    <w:p>
      <w:pPr>
        <w:pStyle w:val="39"/>
        <w:spacing w:before="156" w:after="156"/>
        <w:ind w:firstLine="420"/>
        <w:rPr>
          <w:rFonts w:ascii="宋体" w:hAnsi="宋体" w:eastAsia="宋体"/>
          <w:sz w:val="18"/>
          <w:szCs w:val="18"/>
        </w:rPr>
      </w:pPr>
      <w:r>
        <w:rPr>
          <w:rFonts w:hint="eastAsia" w:ascii="宋体" w:hAnsi="宋体" w:eastAsia="宋体"/>
          <w:sz w:val="18"/>
          <w:szCs w:val="18"/>
        </w:rPr>
        <w:t>表4</w:t>
      </w:r>
      <w:r>
        <w:rPr>
          <w:rFonts w:ascii="宋体" w:hAnsi="宋体" w:eastAsia="宋体"/>
          <w:sz w:val="18"/>
          <w:szCs w:val="18"/>
        </w:rPr>
        <w:t>-15</w:t>
      </w:r>
      <w:r>
        <w:rPr>
          <w:rFonts w:hint="eastAsia" w:ascii="宋体" w:hAnsi="宋体" w:eastAsia="宋体"/>
          <w:sz w:val="18"/>
          <w:szCs w:val="18"/>
        </w:rPr>
        <w:t xml:space="preserve"> 设施</w:t>
      </w:r>
      <w:r>
        <w:rPr>
          <w:rFonts w:ascii="宋体" w:hAnsi="宋体" w:eastAsia="宋体"/>
          <w:sz w:val="18"/>
          <w:szCs w:val="18"/>
        </w:rPr>
        <w:t>、设备重大危险源辨识结果</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555"/>
        <w:gridCol w:w="4252"/>
        <w:gridCol w:w="1418"/>
        <w:gridCol w:w="1071"/>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5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类别</w:t>
            </w:r>
          </w:p>
        </w:tc>
        <w:tc>
          <w:tcPr>
            <w:tcW w:w="425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判别标准</w:t>
            </w:r>
          </w:p>
        </w:tc>
        <w:tc>
          <w:tcPr>
            <w:tcW w:w="141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实际</w:t>
            </w:r>
            <w:r>
              <w:rPr>
                <w:b/>
                <w:bCs/>
                <w:color w:val="FFFFFF" w:themeColor="background1"/>
                <w14:textFill>
                  <w14:solidFill>
                    <w14:schemeClr w14:val="bg1"/>
                  </w14:solidFill>
                </w14:textFill>
              </w:rPr>
              <w:t>情况</w:t>
            </w:r>
          </w:p>
        </w:tc>
        <w:tc>
          <w:tcPr>
            <w:tcW w:w="1071"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结果</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55" w:type="dxa"/>
            <w:shd w:val="clear" w:color="auto" w:fill="D9E2F3" w:themeFill="accent1" w:themeFillTint="33"/>
            <w:vAlign w:val="center"/>
          </w:tcPr>
          <w:p>
            <w:pPr>
              <w:pStyle w:val="37"/>
              <w:spacing w:line="240" w:lineRule="auto"/>
              <w:rPr>
                <w:b w:val="0"/>
                <w:bCs w:val="0"/>
              </w:rPr>
            </w:pPr>
            <w:r>
              <w:rPr>
                <w:rFonts w:hint="eastAsia"/>
                <w:b w:val="0"/>
                <w:bCs/>
              </w:rPr>
              <w:t>蒸汽锅炉</w:t>
            </w:r>
          </w:p>
        </w:tc>
        <w:tc>
          <w:tcPr>
            <w:tcW w:w="4252" w:type="dxa"/>
            <w:shd w:val="clear" w:color="auto" w:fill="D9E2F3" w:themeFill="accent1" w:themeFillTint="33"/>
            <w:vAlign w:val="center"/>
          </w:tcPr>
          <w:p>
            <w:pPr>
              <w:pStyle w:val="37"/>
              <w:spacing w:line="240" w:lineRule="auto"/>
            </w:pPr>
            <w:r>
              <w:rPr>
                <w:rFonts w:hint="eastAsia"/>
              </w:rPr>
              <w:t>额定</w:t>
            </w:r>
            <w:r>
              <w:t>蒸汽压力大于</w:t>
            </w:r>
            <w:r>
              <w:rPr>
                <w:rFonts w:hint="eastAsia"/>
              </w:rPr>
              <w:t>2.5M</w:t>
            </w:r>
            <w:r>
              <w:t>Pa，且额定蒸发量大于等于</w:t>
            </w:r>
            <w:r>
              <w:rPr>
                <w:rFonts w:hint="eastAsia"/>
              </w:rPr>
              <w:t>10</w:t>
            </w:r>
            <w:r>
              <w:t>t/h</w:t>
            </w:r>
          </w:p>
        </w:tc>
        <w:tc>
          <w:tcPr>
            <w:tcW w:w="1418" w:type="dxa"/>
            <w:shd w:val="clear" w:color="auto" w:fill="D9E2F3" w:themeFill="accent1" w:themeFillTint="33"/>
            <w:vAlign w:val="center"/>
          </w:tcPr>
          <w:p>
            <w:pPr>
              <w:pStyle w:val="37"/>
              <w:spacing w:line="240" w:lineRule="auto"/>
            </w:pPr>
            <w:r>
              <w:rPr>
                <w:rFonts w:hint="eastAsia"/>
              </w:rPr>
              <w:t>无</w:t>
            </w:r>
          </w:p>
        </w:tc>
        <w:tc>
          <w:tcPr>
            <w:tcW w:w="1071" w:type="dxa"/>
            <w:shd w:val="clear" w:color="auto" w:fill="D9E2F3" w:themeFill="accent1" w:themeFillTint="33"/>
            <w:vAlign w:val="center"/>
          </w:tcPr>
          <w:p>
            <w:pPr>
              <w:pStyle w:val="37"/>
              <w:spacing w:line="240" w:lineRule="auto"/>
            </w:pPr>
            <w:r>
              <w:rPr>
                <w:rFonts w:hint="eastAsia"/>
              </w:rPr>
              <w:t>否</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55" w:type="dxa"/>
            <w:vAlign w:val="center"/>
          </w:tcPr>
          <w:p>
            <w:pPr>
              <w:pStyle w:val="37"/>
              <w:spacing w:line="240" w:lineRule="auto"/>
              <w:rPr>
                <w:b w:val="0"/>
                <w:bCs w:val="0"/>
              </w:rPr>
            </w:pPr>
            <w:r>
              <w:rPr>
                <w:rFonts w:hint="eastAsia"/>
                <w:b w:val="0"/>
                <w:bCs/>
              </w:rPr>
              <w:t>压力管道</w:t>
            </w:r>
          </w:p>
        </w:tc>
        <w:tc>
          <w:tcPr>
            <w:tcW w:w="4252" w:type="dxa"/>
            <w:vAlign w:val="center"/>
          </w:tcPr>
          <w:p>
            <w:pPr>
              <w:pStyle w:val="37"/>
              <w:spacing w:line="240" w:lineRule="auto"/>
            </w:pPr>
            <w:r>
              <w:rPr>
                <w:rFonts w:hint="eastAsia"/>
              </w:rPr>
              <w:t>①输送GB5044中</w:t>
            </w:r>
            <w:r>
              <w:t>，毒性程度极度、高度危害气体，液化气体介质，且公称直径≥100mm的管道。</w:t>
            </w:r>
          </w:p>
          <w:p>
            <w:pPr>
              <w:pStyle w:val="37"/>
              <w:spacing w:line="240" w:lineRule="auto"/>
            </w:pPr>
            <w:r>
              <w:rPr>
                <w:rFonts w:hint="eastAsia"/>
              </w:rPr>
              <w:t>②</w:t>
            </w:r>
            <w:r>
              <w:t>输送</w:t>
            </w:r>
            <w:r>
              <w:rPr>
                <w:rFonts w:hint="eastAsia"/>
              </w:rPr>
              <w:t>GB5044中</w:t>
            </w:r>
            <w:r>
              <w:t>极度、高度危害液体介质，</w:t>
            </w:r>
            <w:r>
              <w:rPr>
                <w:rFonts w:hint="eastAsia"/>
              </w:rPr>
              <w:t>GB50160及GB50016中</w:t>
            </w:r>
            <w:r>
              <w:t>规定的火灾危险性</w:t>
            </w:r>
            <w:r>
              <w:rPr>
                <w:rFonts w:hint="eastAsia"/>
              </w:rPr>
              <w:t>为甲</w:t>
            </w:r>
            <w:r>
              <w:t>、乙类可燃气体，</w:t>
            </w:r>
            <w:r>
              <w:rPr>
                <w:rFonts w:hint="eastAsia"/>
              </w:rPr>
              <w:t>或甲类</w:t>
            </w:r>
            <w:r>
              <w:t>可燃液体</w:t>
            </w:r>
            <w:r>
              <w:rPr>
                <w:rFonts w:hint="eastAsia"/>
              </w:rPr>
              <w:t>介质</w:t>
            </w:r>
            <w:r>
              <w:t>，且公称直径≥100mm，设计压力≥4MPa的管道。</w:t>
            </w:r>
          </w:p>
          <w:p>
            <w:pPr>
              <w:pStyle w:val="37"/>
              <w:spacing w:line="240" w:lineRule="auto"/>
            </w:pPr>
            <w:r>
              <w:rPr>
                <w:rFonts w:hint="eastAsia"/>
              </w:rPr>
              <w:t>③</w:t>
            </w:r>
            <w:r>
              <w:t>输送其他可燃，有毒流体，且</w:t>
            </w:r>
            <w:r>
              <w:rPr>
                <w:rFonts w:hint="eastAsia"/>
              </w:rPr>
              <w:t>公称直径≥100</w:t>
            </w:r>
            <w:r>
              <w:t>mm，设计压力≥4MPa，设计温度≥400</w:t>
            </w:r>
            <w:r>
              <w:rPr>
                <w:rFonts w:hint="eastAsia"/>
              </w:rPr>
              <w:t>℃</w:t>
            </w:r>
            <w:r>
              <w:t>管道。</w:t>
            </w:r>
          </w:p>
        </w:tc>
        <w:tc>
          <w:tcPr>
            <w:tcW w:w="1418" w:type="dxa"/>
            <w:vAlign w:val="center"/>
          </w:tcPr>
          <w:p>
            <w:pPr>
              <w:pStyle w:val="37"/>
              <w:spacing w:line="240" w:lineRule="auto"/>
            </w:pPr>
            <w:r>
              <w:rPr>
                <w:rFonts w:hint="eastAsia"/>
              </w:rPr>
              <w:t>无</w:t>
            </w:r>
          </w:p>
        </w:tc>
        <w:tc>
          <w:tcPr>
            <w:tcW w:w="1071" w:type="dxa"/>
            <w:vAlign w:val="center"/>
          </w:tcPr>
          <w:p>
            <w:pPr>
              <w:pStyle w:val="37"/>
              <w:spacing w:line="240" w:lineRule="auto"/>
            </w:pPr>
            <w:r>
              <w:rPr>
                <w:rFonts w:hint="eastAsia"/>
              </w:rPr>
              <w:t>否</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55" w:type="dxa"/>
            <w:vMerge w:val="restart"/>
            <w:shd w:val="clear" w:color="auto" w:fill="D9E2F3" w:themeFill="accent1" w:themeFillTint="33"/>
            <w:vAlign w:val="center"/>
          </w:tcPr>
          <w:p>
            <w:pPr>
              <w:pStyle w:val="37"/>
              <w:spacing w:line="240" w:lineRule="auto"/>
              <w:rPr>
                <w:b w:val="0"/>
                <w:bCs w:val="0"/>
              </w:rPr>
            </w:pPr>
            <w:r>
              <w:rPr>
                <w:rFonts w:hint="eastAsia"/>
                <w:b w:val="0"/>
                <w:bCs/>
              </w:rPr>
              <w:t>压力容器</w:t>
            </w:r>
          </w:p>
        </w:tc>
        <w:tc>
          <w:tcPr>
            <w:tcW w:w="4252" w:type="dxa"/>
            <w:shd w:val="clear" w:color="auto" w:fill="D9E2F3" w:themeFill="accent1" w:themeFillTint="33"/>
            <w:vAlign w:val="center"/>
          </w:tcPr>
          <w:p>
            <w:pPr>
              <w:pStyle w:val="37"/>
              <w:spacing w:line="240" w:lineRule="auto"/>
            </w:pPr>
            <w:r>
              <w:rPr>
                <w:rFonts w:hint="eastAsia"/>
              </w:rPr>
              <w:t>储存</w:t>
            </w:r>
            <w:r>
              <w:t>介质毒性程度为极度、高度或</w:t>
            </w:r>
            <w:r>
              <w:rPr>
                <w:rFonts w:hint="eastAsia"/>
              </w:rPr>
              <w:t>中度</w:t>
            </w:r>
            <w:r>
              <w:t>危害的三类压力容器</w:t>
            </w:r>
          </w:p>
        </w:tc>
        <w:tc>
          <w:tcPr>
            <w:tcW w:w="1418" w:type="dxa"/>
            <w:shd w:val="clear" w:color="auto" w:fill="D9E2F3" w:themeFill="accent1" w:themeFillTint="33"/>
            <w:vAlign w:val="center"/>
          </w:tcPr>
          <w:p>
            <w:pPr>
              <w:pStyle w:val="37"/>
              <w:spacing w:line="240" w:lineRule="auto"/>
            </w:pPr>
            <w:r>
              <w:rPr>
                <w:rFonts w:hint="eastAsia"/>
              </w:rPr>
              <w:t>有</w:t>
            </w:r>
          </w:p>
        </w:tc>
        <w:tc>
          <w:tcPr>
            <w:tcW w:w="1071" w:type="dxa"/>
            <w:shd w:val="clear" w:color="auto" w:fill="D9E2F3" w:themeFill="accent1" w:themeFillTint="33"/>
            <w:vAlign w:val="center"/>
          </w:tcPr>
          <w:p>
            <w:pPr>
              <w:pStyle w:val="37"/>
              <w:spacing w:line="240" w:lineRule="auto"/>
            </w:pPr>
            <w:r>
              <w:rPr>
                <w:rFonts w:hint="eastAsia"/>
              </w:rPr>
              <w:t>是</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555" w:type="dxa"/>
            <w:vMerge w:val="continue"/>
            <w:vAlign w:val="center"/>
          </w:tcPr>
          <w:p>
            <w:pPr>
              <w:pStyle w:val="37"/>
              <w:spacing w:line="240" w:lineRule="auto"/>
              <w:rPr>
                <w:b w:val="0"/>
                <w:bCs w:val="0"/>
              </w:rPr>
            </w:pPr>
          </w:p>
        </w:tc>
        <w:tc>
          <w:tcPr>
            <w:tcW w:w="4252" w:type="dxa"/>
            <w:vAlign w:val="center"/>
          </w:tcPr>
          <w:p>
            <w:pPr>
              <w:pStyle w:val="37"/>
              <w:spacing w:line="240" w:lineRule="auto"/>
            </w:pPr>
            <w:r>
              <w:rPr>
                <w:rFonts w:hint="eastAsia"/>
              </w:rPr>
              <w:t>储存易燃</w:t>
            </w:r>
            <w:r>
              <w:t>介质，最高工作压力≥0.1MPa，</w:t>
            </w:r>
            <w:r>
              <w:rPr>
                <w:rFonts w:hint="eastAsia"/>
              </w:rPr>
              <w:t>且PV≥100M</w:t>
            </w:r>
            <w:r>
              <w:t>Pa·m</w:t>
            </w:r>
            <w:r>
              <w:rPr>
                <w:vertAlign w:val="superscript"/>
              </w:rPr>
              <w:t>3</w:t>
            </w:r>
            <w:r>
              <w:rPr>
                <w:rFonts w:hint="eastAsia"/>
              </w:rPr>
              <w:t>的</w:t>
            </w:r>
            <w:r>
              <w:t>压力容器</w:t>
            </w:r>
            <w:r>
              <w:rPr>
                <w:rFonts w:hint="eastAsia"/>
              </w:rPr>
              <w:t>（群）</w:t>
            </w:r>
          </w:p>
        </w:tc>
        <w:tc>
          <w:tcPr>
            <w:tcW w:w="1418" w:type="dxa"/>
            <w:vAlign w:val="center"/>
          </w:tcPr>
          <w:p>
            <w:pPr>
              <w:pStyle w:val="37"/>
              <w:spacing w:line="240" w:lineRule="auto"/>
            </w:pPr>
            <w:r>
              <w:rPr>
                <w:rFonts w:hint="eastAsia"/>
              </w:rPr>
              <w:t>有</w:t>
            </w:r>
          </w:p>
        </w:tc>
        <w:tc>
          <w:tcPr>
            <w:tcW w:w="1071" w:type="dxa"/>
            <w:vAlign w:val="center"/>
          </w:tcPr>
          <w:p>
            <w:pPr>
              <w:pStyle w:val="37"/>
              <w:spacing w:line="240" w:lineRule="auto"/>
            </w:pPr>
            <w:r>
              <w:rPr>
                <w:rFonts w:hint="eastAsia"/>
              </w:rPr>
              <w:t>是</w:t>
            </w:r>
          </w:p>
        </w:tc>
      </w:tr>
    </w:tbl>
    <w:p>
      <w:pPr>
        <w:pStyle w:val="3"/>
        <w:spacing w:before="156" w:after="156"/>
        <w:ind w:firstLine="562"/>
      </w:pPr>
      <w:bookmarkStart w:id="135" w:name="_Toc108206522"/>
      <w:bookmarkStart w:id="136" w:name="_Toc141203931"/>
      <w:r>
        <w:rPr>
          <w:rFonts w:hint="eastAsia"/>
        </w:rPr>
        <w:t>4</w:t>
      </w:r>
      <w:r>
        <w:t>.3</w:t>
      </w:r>
      <w:r>
        <w:rPr>
          <w:rFonts w:hint="eastAsia"/>
        </w:rPr>
        <w:t>重大危险源辨识结果</w:t>
      </w:r>
      <w:bookmarkEnd w:id="135"/>
      <w:bookmarkEnd w:id="136"/>
    </w:p>
    <w:p>
      <w:pPr>
        <w:spacing w:before="156" w:after="156"/>
        <w:ind w:firstLine="420"/>
      </w:pPr>
      <w:r>
        <w:t>综上所述，本项目</w:t>
      </w:r>
      <w:r>
        <w:rPr>
          <w:rFonts w:hint="eastAsia"/>
        </w:rPr>
        <w:t>储罐区和生产区</w:t>
      </w:r>
      <w:r>
        <w:t>涉及的危险化学品构成重大危险源，危险源等级为</w:t>
      </w:r>
      <w:r>
        <w:rPr>
          <w:rFonts w:hint="eastAsia"/>
        </w:rPr>
        <w:t>三</w:t>
      </w:r>
      <w:r>
        <w:t>级。企业应特别重视对</w:t>
      </w:r>
      <w:r>
        <w:rPr>
          <w:rFonts w:hint="eastAsia"/>
        </w:rPr>
        <w:t>氨</w:t>
      </w:r>
      <w:r>
        <w:t>的贮存、运输和使用过程的安全管理，以防止由于泄漏造成严重的污染、中毒事故发生，以及火灾爆炸</w:t>
      </w:r>
      <w:r>
        <w:rPr>
          <w:rFonts w:hint="eastAsia"/>
        </w:rPr>
        <w:t>事故</w:t>
      </w:r>
      <w:r>
        <w:t>。</w:t>
      </w:r>
    </w:p>
    <w:p>
      <w:pPr>
        <w:spacing w:before="156" w:after="156"/>
        <w:ind w:firstLine="361"/>
        <w:rPr>
          <w:b/>
          <w:sz w:val="18"/>
          <w:szCs w:val="18"/>
        </w:rPr>
      </w:pPr>
    </w:p>
    <w:p>
      <w:pPr>
        <w:widowControl/>
        <w:autoSpaceDE/>
        <w:autoSpaceDN/>
        <w:spacing w:before="0" w:beforeLines="0" w:after="0" w:afterLines="0" w:line="240" w:lineRule="auto"/>
        <w:ind w:firstLine="0" w:firstLineChars="0"/>
        <w:rPr>
          <w:b/>
          <w:sz w:val="18"/>
          <w:szCs w:val="18"/>
        </w:rPr>
      </w:pPr>
      <w:r>
        <w:rPr>
          <w:b/>
          <w:sz w:val="18"/>
          <w:szCs w:val="18"/>
        </w:rPr>
        <w:br w:type="page"/>
      </w:r>
    </w:p>
    <w:p>
      <w:pPr>
        <w:pStyle w:val="2"/>
        <w:spacing w:before="156" w:after="156"/>
        <w:ind w:firstLine="883"/>
      </w:pPr>
      <w:bookmarkStart w:id="137" w:name="_Toc141203932"/>
      <w:bookmarkStart w:id="138" w:name="_Toc108206523"/>
      <w:r>
        <w:rPr>
          <w:rFonts w:hint="eastAsia"/>
        </w:rPr>
        <w:t>第五章 安全设备清单</w:t>
      </w:r>
      <w:bookmarkEnd w:id="137"/>
      <w:bookmarkEnd w:id="138"/>
    </w:p>
    <w:p>
      <w:pPr>
        <w:spacing w:before="156" w:after="156"/>
        <w:ind w:firstLine="420"/>
      </w:pPr>
      <w:r>
        <w:rPr>
          <w:rFonts w:hint="eastAsia"/>
        </w:rPr>
        <w:t>本安全</w:t>
      </w:r>
      <w:r>
        <w:t>设备清单使我们依据《</w:t>
      </w:r>
      <w:r>
        <w:rPr>
          <w:rFonts w:hint="eastAsia"/>
        </w:rPr>
        <w:t>危险</w:t>
      </w:r>
      <w:r>
        <w:t>化学品建设项目安全设施目录》</w:t>
      </w:r>
      <w:r>
        <w:rPr>
          <w:rFonts w:hint="eastAsia"/>
        </w:rPr>
        <w:t>提出</w:t>
      </w:r>
      <w:r>
        <w:t>的，分为预防事故设施、控制事故设施、减少与消除事故影响设施</w:t>
      </w:r>
      <w:r>
        <w:rPr>
          <w:rFonts w:hint="eastAsia"/>
        </w:rPr>
        <w:t>3类</w:t>
      </w:r>
      <w:r>
        <w:t>，具体清单如下</w:t>
      </w:r>
      <w:r>
        <w:rPr>
          <w:rFonts w:hint="eastAsia"/>
        </w:rPr>
        <w:t>。</w:t>
      </w:r>
    </w:p>
    <w:p>
      <w:pPr>
        <w:pStyle w:val="3"/>
        <w:spacing w:before="156" w:after="156"/>
        <w:ind w:firstLine="562"/>
      </w:pPr>
      <w:bookmarkStart w:id="139" w:name="_Toc108206524"/>
      <w:bookmarkStart w:id="140" w:name="_Toc141203933"/>
      <w:r>
        <w:rPr>
          <w:rFonts w:hint="eastAsia"/>
        </w:rPr>
        <w:t>5</w:t>
      </w:r>
      <w:r>
        <w:t>.1</w:t>
      </w:r>
      <w:r>
        <w:rPr>
          <w:rFonts w:hint="eastAsia"/>
        </w:rPr>
        <w:t>预防事故安全设备</w:t>
      </w:r>
      <w:bookmarkEnd w:id="139"/>
      <w:bookmarkEnd w:id="140"/>
    </w:p>
    <w:p>
      <w:pPr>
        <w:pStyle w:val="4"/>
        <w:spacing w:before="156" w:after="156"/>
        <w:ind w:firstLine="482"/>
      </w:pPr>
      <w:bookmarkStart w:id="141" w:name="_Toc108206525"/>
      <w:bookmarkStart w:id="142" w:name="_Toc141203934"/>
      <w:r>
        <w:rPr>
          <w:rFonts w:hint="eastAsia"/>
        </w:rPr>
        <w:t>5</w:t>
      </w:r>
      <w:r>
        <w:t>.1.1</w:t>
      </w:r>
      <w:r>
        <w:rPr>
          <w:rFonts w:hint="eastAsia"/>
        </w:rPr>
        <w:t>检测报警设施</w:t>
      </w:r>
      <w:bookmarkEnd w:id="141"/>
      <w:bookmarkEnd w:id="142"/>
    </w:p>
    <w:p>
      <w:pPr>
        <w:pStyle w:val="5"/>
        <w:spacing w:before="156" w:after="156"/>
        <w:ind w:firstLine="560"/>
      </w:pPr>
      <w:r>
        <w:t>5.1.1.1</w:t>
      </w:r>
      <w:r>
        <w:rPr>
          <w:rFonts w:hint="eastAsia"/>
        </w:rPr>
        <w:t>压力检测报警</w:t>
      </w:r>
    </w:p>
    <w:p>
      <w:pPr>
        <w:spacing w:before="156" w:after="156"/>
        <w:ind w:firstLine="422"/>
        <w:rPr>
          <w:b/>
          <w:bCs/>
        </w:rPr>
      </w:pPr>
      <w:r>
        <w:rPr>
          <w:rFonts w:hint="eastAsia"/>
          <w:b/>
          <w:bCs/>
        </w:rPr>
        <w:t>(</w:t>
      </w:r>
      <w:r>
        <w:rPr>
          <w:b/>
          <w:bCs/>
        </w:rPr>
        <w:t>1)</w:t>
      </w:r>
      <w:r>
        <w:rPr>
          <w:rFonts w:hint="eastAsia"/>
          <w:b/>
          <w:bCs/>
        </w:rPr>
        <w:t>设置依据</w:t>
      </w:r>
    </w:p>
    <w:p>
      <w:pPr>
        <w:spacing w:before="156" w:after="156"/>
        <w:ind w:firstLine="420"/>
      </w:pPr>
      <w:r>
        <w:t>中华人民共和国国务院令第591号《危险化学品安全管理条例》第二十条：生产、储存危险化学品的单位，应当根据其生产、储存的危险化学品的种类和危险特性，在作业场所设置相应的监测、监控、安全设施、设备，并按照国家标准、行业标准或者国家有关规定对安全设施、设备进行经常性维护、保养，保证安全设施、设备的正常使用；第二十一条：生产、储存危险化学品的单位，应当在其作业场所设置通信、报警装置，并保证处于适用状态。</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各塔塔顶和塔底都应设有压力检测报警仪、作为热源蒸汽管线以及吹扫管线上、泵出口和冷却水网系统。</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仪表的压力设定值应在设备设计压力的范围之内，过高或过低均会发出报警信号。并同时使用在线仪表（便于现场人员的监测和操作）和远传仪表（集中于控制室自动控制）。仪表的选型应依据各塔的工艺参数，并选择防静电、防爆类型；</w:t>
      </w:r>
    </w:p>
    <w:p>
      <w:pPr>
        <w:spacing w:before="156" w:after="156"/>
        <w:ind w:firstLine="420"/>
      </w:pPr>
      <w:r>
        <w:rPr>
          <w:rFonts w:hint="eastAsia"/>
        </w:rPr>
        <w:t>（2）</w:t>
      </w:r>
      <w:r>
        <w:t>各仪表应集中设置在塔底易于人员观察、校验的地方；</w:t>
      </w:r>
    </w:p>
    <w:p>
      <w:pPr>
        <w:spacing w:before="156" w:after="156"/>
        <w:ind w:firstLine="420"/>
      </w:pPr>
      <w:r>
        <w:rPr>
          <w:rFonts w:hint="eastAsia"/>
        </w:rPr>
        <w:t>（3）</w:t>
      </w:r>
      <w:r>
        <w:t>仪表均应设有联动装置，其中精馏塔塔顶压力采用热旁路控制，通过调节塔顶气相冷凝量大小来控制压力大小，同时可采用不凝气的排放来泄压；直接通过排放不凝气来控制塔顶压力；</w:t>
      </w:r>
    </w:p>
    <w:p>
      <w:pPr>
        <w:spacing w:before="156" w:after="156"/>
        <w:ind w:firstLine="420"/>
      </w:pPr>
      <w:r>
        <w:rPr>
          <w:rFonts w:hint="eastAsia"/>
        </w:rPr>
        <w:t>（4）</w:t>
      </w:r>
      <w:r>
        <w:t>各仪表需定期校验维护。</w:t>
      </w:r>
    </w:p>
    <w:p>
      <w:pPr>
        <w:pStyle w:val="5"/>
        <w:spacing w:before="156" w:after="156"/>
        <w:ind w:firstLine="560"/>
      </w:pPr>
      <w:r>
        <w:rPr>
          <w:rFonts w:hint="eastAsia"/>
        </w:rPr>
        <w:t>5</w:t>
      </w:r>
      <w:r>
        <w:t>.1.1.2</w:t>
      </w:r>
      <w:r>
        <w:rPr>
          <w:rFonts w:hint="eastAsia"/>
        </w:rPr>
        <w:t>温度检测报警设施</w:t>
      </w:r>
    </w:p>
    <w:p>
      <w:pPr>
        <w:spacing w:before="156" w:after="156"/>
        <w:ind w:firstLine="422"/>
        <w:rPr>
          <w:b/>
          <w:bCs/>
        </w:rPr>
      </w:pPr>
      <w:r>
        <w:rPr>
          <w:rFonts w:hint="eastAsia"/>
          <w:b/>
          <w:bCs/>
        </w:rPr>
        <w:t>(</w:t>
      </w:r>
      <w:r>
        <w:rPr>
          <w:b/>
          <w:bCs/>
        </w:rPr>
        <w:t>1)</w:t>
      </w:r>
      <w:r>
        <w:rPr>
          <w:rFonts w:hint="eastAsia"/>
          <w:b/>
          <w:bCs/>
        </w:rPr>
        <w:t>设置依据</w:t>
      </w:r>
    </w:p>
    <w:p>
      <w:pPr>
        <w:spacing w:before="156" w:after="156"/>
        <w:ind w:firstLine="420"/>
      </w:pPr>
      <w:r>
        <w:t>中华人民共和国国务院令第591号《危险化学品安全管理条例》第二十条：生产、储存危险化学品的单位，应当根据其生产、储存的危险化学品的种类和危险特性，在作业场所设置相应的监测、监控、安全设施、设备，并按照国家标准、行业标准或者国家有关规定对安全设施、设备进行经常性维护、保养，保证安全设施、设备的正常使用；第二十一条：生产、储存危险化学品的单位，应当在其作业场所设置通信、报警装置，并保证处于适用状态。</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各换热器进出物料的管道口、各塔塔顶的气相、液相部分、回流线上和各塔塔底。</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仪表的温度设定值应在物料设计温度的范围之内，过高或过低均会发出报警信号。并同时使用在线仪表（便于现场人员的监测和操作）和远传仪表（集中于控制室自动控制）。仪表的选型应依据各塔的工艺参数，并选择防静电、防爆类型；</w:t>
      </w:r>
    </w:p>
    <w:p>
      <w:pPr>
        <w:spacing w:before="156" w:after="156"/>
        <w:ind w:firstLine="420"/>
      </w:pPr>
      <w:r>
        <w:rPr>
          <w:rFonts w:hint="eastAsia"/>
        </w:rPr>
        <w:t>（2）</w:t>
      </w:r>
      <w:r>
        <w:t>各仪表应集中设置在塔底易于人员观察、校验的地方；</w:t>
      </w:r>
    </w:p>
    <w:p>
      <w:pPr>
        <w:spacing w:before="156" w:after="156"/>
        <w:ind w:firstLine="420"/>
      </w:pPr>
      <w:r>
        <w:rPr>
          <w:rFonts w:hint="eastAsia"/>
        </w:rPr>
        <w:t>（3）</w:t>
      </w:r>
      <w:r>
        <w:t>仪表均应设有联动装置，其中精馏塔塔顶压力采用热旁路控制，通过调节塔顶气相冷凝量大小来控制压力大小，同时可采用不凝气的排放来泄压；直接通过排放不凝气来控制塔顶压力；</w:t>
      </w:r>
    </w:p>
    <w:p>
      <w:pPr>
        <w:spacing w:before="156" w:after="156"/>
        <w:ind w:firstLine="420"/>
      </w:pPr>
      <w:r>
        <w:rPr>
          <w:rFonts w:hint="eastAsia"/>
        </w:rPr>
        <w:t>（4）</w:t>
      </w:r>
      <w:r>
        <w:t>各仪表需定期校验维护。</w:t>
      </w:r>
    </w:p>
    <w:p>
      <w:pPr>
        <w:pStyle w:val="5"/>
        <w:spacing w:before="156" w:after="156"/>
        <w:ind w:firstLine="560"/>
      </w:pPr>
      <w:r>
        <w:rPr>
          <w:rFonts w:hint="eastAsia"/>
        </w:rPr>
        <w:t>5</w:t>
      </w:r>
      <w:r>
        <w:t>.1.1.3</w:t>
      </w:r>
      <w:r>
        <w:rPr>
          <w:rFonts w:hint="eastAsia"/>
        </w:rPr>
        <w:t>液位检测报警设施</w:t>
      </w:r>
    </w:p>
    <w:p>
      <w:pPr>
        <w:spacing w:before="156" w:after="156"/>
        <w:ind w:firstLine="422"/>
        <w:rPr>
          <w:b/>
          <w:bCs/>
        </w:rPr>
      </w:pPr>
      <w:r>
        <w:rPr>
          <w:rFonts w:hint="eastAsia"/>
          <w:b/>
          <w:bCs/>
        </w:rPr>
        <w:t>(</w:t>
      </w:r>
      <w:r>
        <w:rPr>
          <w:b/>
          <w:bCs/>
        </w:rPr>
        <w:t>1)</w:t>
      </w:r>
      <w:r>
        <w:rPr>
          <w:rFonts w:hint="eastAsia"/>
          <w:b/>
          <w:bCs/>
        </w:rPr>
        <w:t>设置依据</w:t>
      </w:r>
    </w:p>
    <w:p>
      <w:pPr>
        <w:spacing w:before="156" w:after="156"/>
        <w:ind w:firstLine="420"/>
      </w:pPr>
      <w:r>
        <w:t>中华人民共和国国务院令第591号《危险化学品安全管理条例》第二十条：生产、储存危险化学品的单位，应当根据其生产、储存的危险化学品的种类和危险特性，在作业场所设置相应的监测、监控、安全设施、设备，并按照国家标准、行业标准或者国家有关规定对安全设施、设备进行经常性维护、保养，保证安全设施、设备的正常使用；第二十一条；生产、储存危险化学品的单位，应当在其作业场所设置通信、报警装置，并保证处于适用状态。</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rPr>
          <w:rFonts w:hint="eastAsia"/>
        </w:rPr>
        <w:t>各</w:t>
      </w:r>
      <w:r>
        <w:t>塔顶回流罐和各塔塔底。</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仪表的液位设定值应在设备设计液位的范围之内，过高或过低均会发出报警信号。并同时使用在线仪表（便于现场人员的监测和操作）和远传仪表（集中于控制室自动控制）。仪表的选型应依据各工艺参数，并选择防静电、防爆类型；</w:t>
      </w:r>
    </w:p>
    <w:p>
      <w:pPr>
        <w:spacing w:before="156" w:after="156"/>
        <w:ind w:firstLine="420"/>
      </w:pPr>
      <w:r>
        <w:rPr>
          <w:rFonts w:hint="eastAsia"/>
        </w:rPr>
        <w:t>（2）</w:t>
      </w:r>
      <w:r>
        <w:t>各仪表应集中设置在塔底易于人员观察、校验的地方；</w:t>
      </w:r>
    </w:p>
    <w:p>
      <w:pPr>
        <w:spacing w:before="156" w:after="156"/>
        <w:ind w:firstLine="420"/>
      </w:pPr>
      <w:r>
        <w:rPr>
          <w:rFonts w:hint="eastAsia"/>
        </w:rPr>
        <w:t>（3）</w:t>
      </w:r>
      <w:r>
        <w:t>仪表均应设有联动装置，即液位检测仪要同时连锁进出物料的流量控制仪，以保证设备内的液位维持在安全范围；</w:t>
      </w:r>
    </w:p>
    <w:p>
      <w:pPr>
        <w:spacing w:before="156" w:after="156"/>
        <w:ind w:firstLine="420"/>
      </w:pPr>
      <w:r>
        <w:rPr>
          <w:rFonts w:hint="eastAsia"/>
        </w:rPr>
        <w:t>（4）</w:t>
      </w:r>
      <w:r>
        <w:t>各仪表需定期校验维护。</w:t>
      </w:r>
    </w:p>
    <w:p>
      <w:pPr>
        <w:pStyle w:val="5"/>
        <w:spacing w:before="156" w:after="156"/>
        <w:ind w:firstLine="560"/>
      </w:pPr>
      <w:r>
        <w:rPr>
          <w:rFonts w:hint="eastAsia"/>
        </w:rPr>
        <w:t>5</w:t>
      </w:r>
      <w:r>
        <w:t>.1.1.4</w:t>
      </w:r>
      <w:r>
        <w:rPr>
          <w:rFonts w:hint="eastAsia"/>
        </w:rPr>
        <w:t>流量检测报警设施</w:t>
      </w:r>
    </w:p>
    <w:p>
      <w:pPr>
        <w:spacing w:before="156" w:after="156"/>
        <w:ind w:firstLine="422"/>
        <w:rPr>
          <w:b/>
          <w:bCs/>
        </w:rPr>
      </w:pPr>
      <w:r>
        <w:rPr>
          <w:rFonts w:hint="eastAsia"/>
          <w:b/>
          <w:bCs/>
        </w:rPr>
        <w:t>(</w:t>
      </w:r>
      <w:r>
        <w:rPr>
          <w:b/>
          <w:bCs/>
        </w:rPr>
        <w:t>1)</w:t>
      </w:r>
      <w:r>
        <w:rPr>
          <w:rFonts w:hint="eastAsia"/>
          <w:b/>
          <w:bCs/>
        </w:rPr>
        <w:t>设置依据</w:t>
      </w:r>
    </w:p>
    <w:p>
      <w:pPr>
        <w:spacing w:before="156" w:after="156"/>
        <w:ind w:firstLine="420"/>
      </w:pPr>
      <w:r>
        <w:t>中华人民共和国国务院令第591号《危险化学品安全管理条例》第二十条：生产、储存危险化学品的单位，应当根据其生产、储存的危险化学品的种类和危险特性，在作业场所设置相应的监测、监控、安全设施、设备，并按照国家标准、行业标准或者国家有关规定对安全设施、设备进行经常性维护、保养，保证安全设施、设备的正常使用；第二十一条：生产、储存危险化学品的单位，应当在其作业场所设置通信、报警装置，并保证处于适用状态。</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rPr>
          <w:rFonts w:hint="eastAsia"/>
        </w:rPr>
        <w:t>各</w:t>
      </w:r>
      <w:r>
        <w:t>换热器进出物料的管道口、回流线上和加热蒸汽管道中。</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仪表的流量设定值应在物料设计流量的范围之内，过高或过低均会发出报警信号。并同时使用在线仪表（便于现场人员的监测和操作）和远传仪表（集中于控制室自动控制）。仪表的选型应依据各工艺参数，并选择防静电、防爆类型；</w:t>
      </w:r>
    </w:p>
    <w:p>
      <w:pPr>
        <w:spacing w:before="156" w:after="156"/>
        <w:ind w:firstLine="420"/>
      </w:pPr>
      <w:r>
        <w:rPr>
          <w:rFonts w:hint="eastAsia"/>
        </w:rPr>
        <w:t>（2）</w:t>
      </w:r>
      <w:r>
        <w:t>各仪表应集中设置在塔底易于人员观察、校验的地方；</w:t>
      </w:r>
    </w:p>
    <w:p>
      <w:pPr>
        <w:spacing w:before="156" w:after="156"/>
        <w:ind w:firstLine="420"/>
      </w:pPr>
      <w:r>
        <w:rPr>
          <w:rFonts w:hint="eastAsia"/>
        </w:rPr>
        <w:t>（3）</w:t>
      </w:r>
      <w:r>
        <w:t>各流量检测仪应与流量控制仪连锁；</w:t>
      </w:r>
    </w:p>
    <w:p>
      <w:pPr>
        <w:spacing w:before="156" w:after="156"/>
        <w:ind w:firstLine="420"/>
      </w:pPr>
      <w:r>
        <w:rPr>
          <w:rFonts w:hint="eastAsia"/>
        </w:rPr>
        <w:t>（4）</w:t>
      </w:r>
      <w:r>
        <w:t>各流量检测数值应通过计算机进行实时监控，作为危险信号，其中换热器进出管道上的流量检测数值可作为进出物料温度控制的预先标志值，以便及时监控物料的温度；塔顶回流线上的流量检测数值可作为塔顶压力控制的预先标志值，以便及时监控塔顶压力；加热蒸汽管道上的流量检测数值可作为塔底温度控制的预先标志值，以便及时监控塔内物料温度；</w:t>
      </w:r>
    </w:p>
    <w:p>
      <w:pPr>
        <w:spacing w:before="156" w:after="156"/>
        <w:ind w:firstLine="420"/>
      </w:pPr>
      <w:r>
        <w:rPr>
          <w:rFonts w:hint="eastAsia"/>
        </w:rPr>
        <w:t>（5）</w:t>
      </w:r>
      <w:r>
        <w:t>各仪表需定期校验维护。</w:t>
      </w:r>
    </w:p>
    <w:p>
      <w:pPr>
        <w:pStyle w:val="5"/>
        <w:spacing w:before="156" w:after="156"/>
        <w:ind w:firstLine="560"/>
      </w:pPr>
      <w:r>
        <w:rPr>
          <w:rFonts w:hint="eastAsia"/>
        </w:rPr>
        <w:t>5</w:t>
      </w:r>
      <w:r>
        <w:t>.1.1.5</w:t>
      </w:r>
      <w:r>
        <w:rPr>
          <w:rFonts w:hint="eastAsia"/>
        </w:rPr>
        <w:t>可燃气体浓度检测和报警设施</w:t>
      </w:r>
    </w:p>
    <w:p>
      <w:pPr>
        <w:spacing w:before="156" w:after="156"/>
        <w:ind w:firstLine="422"/>
        <w:rPr>
          <w:b/>
          <w:bCs/>
        </w:rPr>
      </w:pPr>
      <w:r>
        <w:rPr>
          <w:b/>
          <w:bCs/>
        </w:rPr>
        <w:t>(1)</w:t>
      </w:r>
      <w:r>
        <w:rPr>
          <w:rFonts w:hint="eastAsia"/>
          <w:b/>
          <w:bCs/>
        </w:rPr>
        <w:t>设置依据</w:t>
      </w:r>
    </w:p>
    <w:p>
      <w:pPr>
        <w:spacing w:before="156" w:after="156"/>
        <w:ind w:firstLine="420"/>
      </w:pPr>
      <w:r>
        <w:t>中华人民共和国国家标准GB</w:t>
      </w:r>
      <w:r>
        <w:rPr>
          <w:rFonts w:hint="eastAsia"/>
        </w:rPr>
        <w:t xml:space="preserve"> </w:t>
      </w:r>
      <w:r>
        <w:t>50493</w:t>
      </w:r>
      <w:r>
        <w:rPr>
          <w:rFonts w:hint="eastAsia"/>
        </w:rPr>
        <w:t>-</w:t>
      </w:r>
      <w:r>
        <w:t>2009《石油化工可燃气体和有毒气体检测报警设计规范》中一般规定：生产或使用可燃气体、有毒气体或在装置生产过程中产生可燃气体及有毒气体的工艺装置和储运设施的区域内，按GB</w:t>
      </w:r>
      <w:r>
        <w:rPr>
          <w:rFonts w:hint="eastAsia"/>
        </w:rPr>
        <w:t xml:space="preserve">/T </w:t>
      </w:r>
      <w:r>
        <w:t>12801</w:t>
      </w:r>
      <w:r>
        <w:rPr>
          <w:rFonts w:hint="eastAsia"/>
        </w:rPr>
        <w:t>-2008</w:t>
      </w:r>
      <w:r>
        <w:t>《生产过程安全卫生要求总则》和GB</w:t>
      </w:r>
      <w:r>
        <w:rPr>
          <w:rFonts w:hint="eastAsia"/>
        </w:rPr>
        <w:t xml:space="preserve"> </w:t>
      </w:r>
      <w:r>
        <w:t>50160</w:t>
      </w:r>
      <w:r>
        <w:rPr>
          <w:rFonts w:hint="eastAsia"/>
        </w:rPr>
        <w:t>-2014</w:t>
      </w:r>
      <w:r>
        <w:t>《石油化工企业设计防火规范》的要求，需要对可能发生的泄漏进行监测；GB 50493-2009《石油化工可燃气体和有毒气体检测报警设计规范》</w:t>
      </w:r>
      <w:r>
        <w:rPr>
          <w:rFonts w:hint="eastAsia"/>
        </w:rPr>
        <w:t>。</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装置区内和控制室、配电室、自备发电室。</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本装置区应设置可燃气体检测报警仪，并采用一级报警和二级报警，在二级报警的同时，输出接点信号供联锁保护系统使用；同时进行连续检测、指示、报警，并对报警进行记录或打印；</w:t>
      </w:r>
    </w:p>
    <w:p>
      <w:pPr>
        <w:spacing w:before="156" w:after="156"/>
        <w:ind w:firstLine="420"/>
      </w:pPr>
      <w:r>
        <w:rPr>
          <w:rFonts w:hint="eastAsia"/>
        </w:rPr>
        <w:t>（2）</w:t>
      </w:r>
      <w:r>
        <w:t>检测器宜布置在本装置区的最小频率风向的上风侧；有效覆盖水平平面半径，宜为15m，共设置8台固定式检测器（具体布置详见可燃气体浓度检测器布置图），具体设于装置设备下方，距离地面30-60cm，同时配备便携式检测器；</w:t>
      </w:r>
    </w:p>
    <w:p>
      <w:pPr>
        <w:spacing w:before="156" w:after="156"/>
        <w:ind w:firstLine="420"/>
      </w:pPr>
      <w:r>
        <w:rPr>
          <w:rFonts w:hint="eastAsia"/>
        </w:rPr>
        <w:t>（3）</w:t>
      </w:r>
      <w:r>
        <w:t>控制室、配电室和在线分析仪表间应设可燃气体浓度检测器；</w:t>
      </w:r>
    </w:p>
    <w:p>
      <w:pPr>
        <w:spacing w:before="156" w:after="156"/>
        <w:ind w:firstLine="420"/>
      </w:pPr>
      <w:r>
        <w:rPr>
          <w:rFonts w:hint="eastAsia"/>
        </w:rPr>
        <w:t>（4）</w:t>
      </w:r>
      <w:r>
        <w:t>仪表应选择防静电、防爆类型；</w:t>
      </w:r>
    </w:p>
    <w:p>
      <w:pPr>
        <w:spacing w:before="156" w:after="156"/>
        <w:ind w:firstLine="420"/>
      </w:pPr>
      <w:r>
        <w:rPr>
          <w:rFonts w:hint="eastAsia"/>
        </w:rPr>
        <w:t>（5）</w:t>
      </w:r>
      <w:r>
        <w:t>各仪表报警信号应统一发送至控制室；</w:t>
      </w:r>
    </w:p>
    <w:p>
      <w:pPr>
        <w:spacing w:before="156" w:after="156"/>
        <w:ind w:firstLine="420"/>
      </w:pPr>
      <w:r>
        <w:rPr>
          <w:rFonts w:hint="eastAsia"/>
        </w:rPr>
        <w:t>（6）</w:t>
      </w:r>
      <w:r>
        <w:t>各仪表需定期校验维护（具体设置按《石油化工企业可燃气体和有毒气体检测报警设计规范》设计</w:t>
      </w:r>
      <w:r>
        <w:rPr>
          <w:rFonts w:hint="eastAsia"/>
        </w:rPr>
        <w:t>）。</w:t>
      </w:r>
    </w:p>
    <w:p>
      <w:pPr>
        <w:pStyle w:val="5"/>
        <w:spacing w:before="156" w:after="156"/>
        <w:ind w:firstLine="560"/>
      </w:pPr>
      <w:r>
        <w:rPr>
          <w:rFonts w:hint="eastAsia"/>
        </w:rPr>
        <w:t>5</w:t>
      </w:r>
      <w:r>
        <w:t>.1.1.6</w:t>
      </w:r>
      <w:r>
        <w:rPr>
          <w:rFonts w:hint="eastAsia"/>
        </w:rPr>
        <w:t>氧气浓度检测和报警设施</w:t>
      </w:r>
    </w:p>
    <w:p>
      <w:pPr>
        <w:spacing w:before="156" w:after="156"/>
        <w:ind w:firstLine="422"/>
        <w:rPr>
          <w:b/>
          <w:bCs/>
        </w:rPr>
      </w:pPr>
      <w:r>
        <w:rPr>
          <w:b/>
          <w:bCs/>
        </w:rPr>
        <w:t>(1)</w:t>
      </w:r>
      <w:r>
        <w:rPr>
          <w:rFonts w:hint="eastAsia"/>
          <w:b/>
          <w:bCs/>
        </w:rPr>
        <w:t>设施设置注意事项</w:t>
      </w:r>
    </w:p>
    <w:p>
      <w:pPr>
        <w:spacing w:before="156" w:after="156"/>
        <w:ind w:firstLine="420"/>
      </w:pPr>
      <w:r>
        <w:rPr>
          <w:rFonts w:hint="eastAsia"/>
        </w:rPr>
        <w:t>检修时</w:t>
      </w:r>
      <w:r>
        <w:t>，氮气吹扫后需保证设备内一定的氧气浓度以确保检修</w:t>
      </w:r>
      <w:r>
        <w:rPr>
          <w:rFonts w:hint="eastAsia"/>
        </w:rPr>
        <w:t>人员</w:t>
      </w:r>
      <w:r>
        <w:t>安全。</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rPr>
          <w:rFonts w:hint="eastAsia"/>
        </w:rPr>
        <w:t>吹扫</w:t>
      </w:r>
      <w:r>
        <w:t>管线出口</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仪表应选择防静电、防爆类型；</w:t>
      </w:r>
    </w:p>
    <w:p>
      <w:pPr>
        <w:spacing w:before="156" w:after="156"/>
        <w:ind w:firstLine="420"/>
      </w:pPr>
      <w:r>
        <w:rPr>
          <w:rFonts w:hint="eastAsia"/>
        </w:rPr>
        <w:t>（2）</w:t>
      </w:r>
      <w:r>
        <w:t>各仪表需定期校验维护</w:t>
      </w:r>
      <w:r>
        <w:rPr>
          <w:rFonts w:hint="eastAsia"/>
        </w:rPr>
        <w:t>。</w:t>
      </w:r>
    </w:p>
    <w:p>
      <w:pPr>
        <w:pStyle w:val="4"/>
        <w:spacing w:before="156" w:after="156"/>
        <w:ind w:firstLine="482"/>
      </w:pPr>
      <w:bookmarkStart w:id="143" w:name="_Toc141203935"/>
      <w:bookmarkStart w:id="144" w:name="_Toc108206526"/>
      <w:r>
        <w:rPr>
          <w:rFonts w:hint="eastAsia"/>
        </w:rPr>
        <w:t>5</w:t>
      </w:r>
      <w:r>
        <w:t>.1.2</w:t>
      </w:r>
      <w:r>
        <w:rPr>
          <w:rFonts w:hint="eastAsia"/>
        </w:rPr>
        <w:t>设备安全防护措施</w:t>
      </w:r>
      <w:bookmarkEnd w:id="143"/>
      <w:bookmarkEnd w:id="144"/>
    </w:p>
    <w:p>
      <w:pPr>
        <w:pStyle w:val="5"/>
        <w:spacing w:before="156" w:after="156"/>
        <w:ind w:firstLine="560"/>
      </w:pPr>
      <w:r>
        <w:rPr>
          <w:rFonts w:hint="eastAsia"/>
        </w:rPr>
        <w:t>5</w:t>
      </w:r>
      <w:r>
        <w:t>.1.2.1</w:t>
      </w:r>
      <w:r>
        <w:rPr>
          <w:rFonts w:hint="eastAsia"/>
        </w:rPr>
        <w:t>防护罩</w:t>
      </w:r>
    </w:p>
    <w:p>
      <w:pPr>
        <w:spacing w:before="156" w:after="156"/>
        <w:ind w:firstLine="422"/>
        <w:rPr>
          <w:b/>
          <w:bCs/>
        </w:rPr>
      </w:pPr>
      <w:r>
        <w:rPr>
          <w:rFonts w:hint="eastAsia"/>
          <w:b/>
          <w:bCs/>
        </w:rPr>
        <w:t>(</w:t>
      </w:r>
      <w:r>
        <w:rPr>
          <w:b/>
          <w:bCs/>
        </w:rPr>
        <w:t>1)</w:t>
      </w:r>
      <w:r>
        <w:rPr>
          <w:rFonts w:hint="eastAsia"/>
          <w:b/>
          <w:bCs/>
        </w:rPr>
        <w:t>设备设置</w:t>
      </w:r>
    </w:p>
    <w:p>
      <w:pPr>
        <w:spacing w:before="156" w:after="156"/>
        <w:ind w:firstLine="420"/>
      </w:pPr>
      <w:r>
        <w:t>《机械设备防护罩设计规范》</w:t>
      </w:r>
      <w:r>
        <w:rPr>
          <w:rFonts w:hint="eastAsia"/>
        </w:rPr>
        <w:t>（</w:t>
      </w:r>
      <w:r>
        <w:t>GB</w:t>
      </w:r>
      <w:r>
        <w:rPr>
          <w:rFonts w:hint="eastAsia"/>
        </w:rPr>
        <w:t xml:space="preserve"> </w:t>
      </w:r>
      <w:r>
        <w:t>8196-2003</w:t>
      </w:r>
      <w:r>
        <w:rPr>
          <w:rFonts w:hint="eastAsia"/>
        </w:rPr>
        <w:t>）</w:t>
      </w:r>
      <w:r>
        <w:t>以及对于高速工作的泵机，需要求安放防护罩防止人员伤害等规定。</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机泵传动装置外露部分、传动装置。</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t>安装金属网或防护罩隔离。</w:t>
      </w:r>
    </w:p>
    <w:p>
      <w:pPr>
        <w:pStyle w:val="5"/>
        <w:spacing w:before="156" w:after="156"/>
        <w:ind w:firstLine="560"/>
      </w:pPr>
      <w:r>
        <w:rPr>
          <w:rFonts w:hint="eastAsia"/>
        </w:rPr>
        <w:t>5</w:t>
      </w:r>
      <w:r>
        <w:t>.1.2.2</w:t>
      </w:r>
      <w:r>
        <w:rPr>
          <w:rFonts w:hint="eastAsia"/>
        </w:rPr>
        <w:t>防护栏</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《固定式钢直梯和斜梯安全技术条件》</w:t>
      </w:r>
      <w:r>
        <w:rPr>
          <w:rFonts w:hint="eastAsia"/>
        </w:rPr>
        <w:t>（</w:t>
      </w:r>
      <w:r>
        <w:t>GB</w:t>
      </w:r>
      <w:r>
        <w:rPr>
          <w:rFonts w:hint="eastAsia"/>
        </w:rPr>
        <w:t xml:space="preserve"> </w:t>
      </w:r>
      <w:r>
        <w:t>4053.1</w:t>
      </w:r>
      <w:r>
        <w:rPr>
          <w:rFonts w:hint="eastAsia"/>
        </w:rPr>
        <w:t>-3</w:t>
      </w:r>
      <w:r>
        <w:t>-2009</w:t>
      </w:r>
      <w:r>
        <w:rPr>
          <w:rFonts w:hint="eastAsia"/>
        </w:rPr>
        <w:t>）</w:t>
      </w:r>
      <w:r>
        <w:t>、《固定式工业防护栏杆安全技术条件》</w:t>
      </w:r>
      <w:r>
        <w:rPr>
          <w:rFonts w:hint="eastAsia"/>
        </w:rPr>
        <w:t>（</w:t>
      </w:r>
      <w:r>
        <w:t>GB</w:t>
      </w:r>
      <w:r>
        <w:rPr>
          <w:rFonts w:hint="eastAsia"/>
        </w:rPr>
        <w:t xml:space="preserve"> </w:t>
      </w:r>
      <w:r>
        <w:t>4053.3-2009</w:t>
      </w:r>
      <w:r>
        <w:rPr>
          <w:rFonts w:hint="eastAsia"/>
        </w:rPr>
        <w:t>）</w:t>
      </w:r>
      <w:r>
        <w:t>。</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装置需登高操作的地方（回流罐、进料罐或精馏塔）</w:t>
      </w:r>
      <w:r>
        <w:rPr>
          <w:rFonts w:hint="eastAsia"/>
        </w:rPr>
        <w:t>、</w:t>
      </w:r>
      <w:r>
        <w:t>钢平台</w:t>
      </w:r>
      <w:r>
        <w:rPr>
          <w:rFonts w:hint="eastAsia"/>
        </w:rPr>
        <w:t>、</w:t>
      </w:r>
      <w:r>
        <w:t>与钢平台相连的钢斜梯。</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固定式钢直梯和斜梯安全技术条件》</w:t>
      </w:r>
      <w:r>
        <w:rPr>
          <w:rFonts w:hint="eastAsia"/>
        </w:rPr>
        <w:t>（</w:t>
      </w:r>
      <w:r>
        <w:t>GB</w:t>
      </w:r>
      <w:r>
        <w:rPr>
          <w:rFonts w:hint="eastAsia"/>
        </w:rPr>
        <w:t xml:space="preserve"> </w:t>
      </w:r>
      <w:r>
        <w:t>4053.1</w:t>
      </w:r>
      <w:r>
        <w:rPr>
          <w:rFonts w:hint="eastAsia"/>
        </w:rPr>
        <w:t>-3</w:t>
      </w:r>
      <w:r>
        <w:t>-2009</w:t>
      </w:r>
      <w:r>
        <w:rPr>
          <w:rFonts w:hint="eastAsia"/>
        </w:rPr>
        <w:t>）</w:t>
      </w:r>
      <w:r>
        <w:t>和《固定式工业防护栏杆安全技术条件</w:t>
      </w:r>
      <w:r>
        <w:rPr>
          <w:rFonts w:hint="eastAsia"/>
        </w:rPr>
        <w:t>（</w:t>
      </w:r>
      <w:r>
        <w:t>GB</w:t>
      </w:r>
      <w:r>
        <w:rPr>
          <w:rFonts w:hint="eastAsia"/>
        </w:rPr>
        <w:t xml:space="preserve"> </w:t>
      </w:r>
      <w:r>
        <w:t>4053.3-2009</w:t>
      </w:r>
      <w:r>
        <w:rPr>
          <w:rFonts w:hint="eastAsia"/>
        </w:rPr>
        <w:t>）</w:t>
      </w:r>
      <w:r>
        <w:t>。所有防护栏杆高不低于1050mm，安全色刷黄黑间隔，间隔距离100mm。钢斜梯立柱栏杆间距不小于1000mm，上下横杆间距不得大于500mm；</w:t>
      </w:r>
    </w:p>
    <w:p>
      <w:pPr>
        <w:spacing w:before="156" w:after="156"/>
        <w:ind w:firstLine="420"/>
      </w:pPr>
      <w:r>
        <w:rPr>
          <w:rFonts w:hint="eastAsia"/>
        </w:rPr>
        <w:t>（2）</w:t>
      </w:r>
      <w:r>
        <w:t>钢斜梯宽600mm，与水平面倾角为33°；</w:t>
      </w:r>
    </w:p>
    <w:p>
      <w:pPr>
        <w:spacing w:before="156" w:after="156"/>
        <w:ind w:firstLine="420"/>
      </w:pPr>
      <w:r>
        <w:rPr>
          <w:rFonts w:hint="eastAsia"/>
        </w:rPr>
        <w:t>（3）</w:t>
      </w:r>
      <w:r>
        <w:t>钢平台分为2层，共10.4m，按GB</w:t>
      </w:r>
      <w:r>
        <w:rPr>
          <w:rFonts w:hint="eastAsia"/>
        </w:rPr>
        <w:t xml:space="preserve"> </w:t>
      </w:r>
      <w:r>
        <w:t>4053.2-2009第5.1.1条，分段设梯，并设有宽800mm、行进方向长1300mm的梯间平台；</w:t>
      </w:r>
    </w:p>
    <w:p>
      <w:pPr>
        <w:spacing w:before="156" w:after="156"/>
        <w:ind w:firstLine="420"/>
      </w:pPr>
      <w:r>
        <w:rPr>
          <w:rFonts w:hint="eastAsia"/>
        </w:rPr>
        <w:t>（4）</w:t>
      </w:r>
      <w:r>
        <w:t>按照防腐、防锈和防静电要求，钢斜梯和钢平台均至少涂一层涂底漆和一层面漆，钢平台地面采用格栅板，防止气体聚集，且涂导电橡胶层。</w:t>
      </w:r>
    </w:p>
    <w:p>
      <w:pPr>
        <w:pStyle w:val="5"/>
        <w:spacing w:before="156" w:after="156"/>
        <w:ind w:firstLine="560"/>
      </w:pPr>
      <w:r>
        <w:rPr>
          <w:rFonts w:hint="eastAsia"/>
        </w:rPr>
        <w:t>5</w:t>
      </w:r>
      <w:r>
        <w:t>.1.2.3</w:t>
      </w:r>
      <w:r>
        <w:rPr>
          <w:rFonts w:hint="eastAsia"/>
        </w:rPr>
        <w:t>制动设备</w:t>
      </w:r>
    </w:p>
    <w:p>
      <w:pPr>
        <w:spacing w:before="156" w:after="156"/>
        <w:ind w:firstLine="422"/>
        <w:rPr>
          <w:b/>
          <w:bCs/>
        </w:rPr>
      </w:pPr>
      <w:r>
        <w:rPr>
          <w:rFonts w:hint="eastAsia"/>
          <w:b/>
          <w:bCs/>
        </w:rPr>
        <w:t>(</w:t>
      </w:r>
      <w:r>
        <w:rPr>
          <w:b/>
          <w:bCs/>
        </w:rPr>
        <w:t>1)</w:t>
      </w:r>
      <w:r>
        <w:rPr>
          <w:rFonts w:hint="eastAsia"/>
          <w:b/>
          <w:bCs/>
        </w:rPr>
        <w:t>设备设置位置</w:t>
      </w:r>
    </w:p>
    <w:p>
      <w:pPr>
        <w:spacing w:before="156" w:after="156"/>
        <w:ind w:firstLine="420"/>
      </w:pPr>
      <w:r>
        <w:t>控制室、装置区机泵处。</w:t>
      </w:r>
    </w:p>
    <w:p>
      <w:pPr>
        <w:spacing w:before="156" w:after="156"/>
        <w:ind w:firstLine="422"/>
        <w:rPr>
          <w:b/>
          <w:bCs/>
        </w:rPr>
      </w:pPr>
      <w:r>
        <w:rPr>
          <w:rFonts w:hint="eastAsia"/>
          <w:b/>
          <w:bCs/>
        </w:rPr>
        <w:t>(</w:t>
      </w:r>
      <w:r>
        <w:rPr>
          <w:b/>
          <w:bCs/>
        </w:rPr>
        <w:t>2)</w:t>
      </w:r>
      <w:r>
        <w:rPr>
          <w:rFonts w:hint="eastAsia"/>
          <w:b/>
          <w:bCs/>
        </w:rPr>
        <w:t>设备设置要求</w:t>
      </w:r>
    </w:p>
    <w:p>
      <w:pPr>
        <w:spacing w:before="156" w:after="156"/>
        <w:ind w:firstLine="420"/>
      </w:pPr>
      <w:r>
        <w:rPr>
          <w:rFonts w:hint="eastAsia"/>
        </w:rPr>
        <w:t>（1）</w:t>
      </w:r>
      <w:r>
        <w:t>当机泵吸入口液位较低时或机泵无法正常工作时，系统自动控制机泵电机，实现机泵的正常制动；</w:t>
      </w:r>
    </w:p>
    <w:p>
      <w:pPr>
        <w:spacing w:before="156" w:after="156"/>
        <w:ind w:firstLine="420"/>
      </w:pPr>
      <w:r>
        <w:rPr>
          <w:rFonts w:hint="eastAsia"/>
        </w:rPr>
        <w:t>（2）</w:t>
      </w:r>
      <w:r>
        <w:t>当突然断电或设备运转异常时，通过自动控制机泵电机，以实现生产的正常停车；</w:t>
      </w:r>
    </w:p>
    <w:p>
      <w:pPr>
        <w:spacing w:before="156" w:after="156"/>
        <w:ind w:firstLine="420"/>
      </w:pPr>
      <w:r>
        <w:rPr>
          <w:rFonts w:hint="eastAsia"/>
        </w:rPr>
        <w:t>（3）</w:t>
      </w:r>
      <w:r>
        <w:t>当系统不能及时调节的时候，需现场作业人员手动关闭机泵电机，使机泵制动；</w:t>
      </w:r>
    </w:p>
    <w:p>
      <w:pPr>
        <w:spacing w:before="156" w:after="156"/>
        <w:ind w:firstLine="420"/>
      </w:pPr>
      <w:r>
        <w:rPr>
          <w:rFonts w:hint="eastAsia"/>
        </w:rPr>
        <w:t>（4）</w:t>
      </w:r>
      <w:r>
        <w:t>此处注意当启动机泵时，只能在现场启动，控制室不安装启动设施。</w:t>
      </w:r>
    </w:p>
    <w:p>
      <w:pPr>
        <w:pStyle w:val="5"/>
        <w:spacing w:before="156" w:after="156"/>
        <w:ind w:firstLine="560"/>
      </w:pPr>
      <w:r>
        <w:rPr>
          <w:rFonts w:hint="eastAsia"/>
        </w:rPr>
        <w:t>5</w:t>
      </w:r>
      <w:r>
        <w:t>.1.2.4</w:t>
      </w:r>
      <w:r>
        <w:rPr>
          <w:rFonts w:hint="eastAsia"/>
        </w:rPr>
        <w:t>防雷设施</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《石油化工装置防雷设计规范》</w:t>
      </w:r>
      <w:r>
        <w:rPr>
          <w:rFonts w:hint="eastAsia"/>
        </w:rPr>
        <w:t>（</w:t>
      </w:r>
      <w:r>
        <w:t>GB</w:t>
      </w:r>
      <w:r>
        <w:rPr>
          <w:rFonts w:hint="eastAsia"/>
        </w:rPr>
        <w:t xml:space="preserve"> </w:t>
      </w:r>
      <w:r>
        <w:t>50650-2011</w:t>
      </w:r>
      <w:r>
        <w:rPr>
          <w:rFonts w:hint="eastAsia"/>
        </w:rPr>
        <w:t>）</w:t>
      </w:r>
      <w:r>
        <w:t>第4.2.3</w:t>
      </w:r>
      <w:r>
        <w:rPr>
          <w:rFonts w:hint="eastAsia"/>
        </w:rPr>
        <w:t>和</w:t>
      </w:r>
      <w:r>
        <w:t>5.2.15.2条、《石油化工企业设计防火规范》</w:t>
      </w:r>
      <w:r>
        <w:rPr>
          <w:rFonts w:hint="eastAsia"/>
        </w:rPr>
        <w:t>（</w:t>
      </w:r>
      <w:r>
        <w:t>GB</w:t>
      </w:r>
      <w:r>
        <w:rPr>
          <w:rFonts w:hint="eastAsia"/>
        </w:rPr>
        <w:t xml:space="preserve"> </w:t>
      </w:r>
      <w:r>
        <w:t>50160-200</w:t>
      </w:r>
      <w:r>
        <w:rPr>
          <w:rFonts w:hint="eastAsia"/>
        </w:rPr>
        <w:t>8）第9.2条</w:t>
      </w:r>
      <w:r>
        <w:t>、《建筑物防雷规范》</w:t>
      </w:r>
      <w:r>
        <w:rPr>
          <w:rFonts w:hint="eastAsia"/>
        </w:rPr>
        <w:t>（</w:t>
      </w:r>
      <w:r>
        <w:t>GB</w:t>
      </w:r>
      <w:r>
        <w:rPr>
          <w:rFonts w:hint="eastAsia"/>
        </w:rPr>
        <w:t xml:space="preserve"> </w:t>
      </w:r>
      <w:r>
        <w:t>50057-2010</w:t>
      </w:r>
      <w:r>
        <w:rPr>
          <w:rFonts w:hint="eastAsia"/>
        </w:rPr>
        <w:t>）</w:t>
      </w:r>
      <w:r>
        <w:t>。</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塔、容器、进料罐温度液面测量装置处、控制室和配电室、自备发电室房顶。</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根据第4.2.3、5.2.1条，采取塔区作为接闪装置，且用作接闪器的塔应有金属外壳</w:t>
      </w:r>
      <w:r>
        <w:rPr>
          <w:rFonts w:hint="eastAsia"/>
        </w:rPr>
        <w:t>，</w:t>
      </w:r>
      <w:r>
        <w:t>其易受直击雷的顶部和外侧上部应有足够的厚度。钢制设备的壁厚应大于或等于4mm；</w:t>
      </w:r>
    </w:p>
    <w:p>
      <w:pPr>
        <w:spacing w:before="156" w:after="156"/>
        <w:ind w:firstLine="420"/>
      </w:pPr>
      <w:r>
        <w:rPr>
          <w:rFonts w:hint="eastAsia"/>
        </w:rPr>
        <w:t>（2）</w:t>
      </w:r>
      <w:r>
        <w:t>参照5.2具体设置露天户外塔区的防雷设施。需注意塔体作为接闪器时，接地点不应少于2处</w:t>
      </w:r>
      <w:r>
        <w:rPr>
          <w:rFonts w:hint="eastAsia"/>
        </w:rPr>
        <w:t>，</w:t>
      </w:r>
      <w:r>
        <w:t>并应沿塔体周边均匀布置</w:t>
      </w:r>
      <w:r>
        <w:rPr>
          <w:rFonts w:hint="eastAsia"/>
        </w:rPr>
        <w:t>，</w:t>
      </w:r>
      <w:r>
        <w:t>引下线的间距不应大于18m。引下线应与塔体金属底座上预设的接地耳相连。与塔体相连的非金属物体或管道</w:t>
      </w:r>
      <w:r>
        <w:rPr>
          <w:rFonts w:hint="eastAsia"/>
        </w:rPr>
        <w:t>，</w:t>
      </w:r>
      <w:r>
        <w:t>当处于塔体本身保护范围之外时</w:t>
      </w:r>
      <w:r>
        <w:rPr>
          <w:rFonts w:hint="eastAsia"/>
        </w:rPr>
        <w:t>，</w:t>
      </w:r>
      <w:r>
        <w:t>应在合适的地点安装接闪器加以保护；</w:t>
      </w:r>
    </w:p>
    <w:p>
      <w:pPr>
        <w:spacing w:before="156" w:after="156"/>
        <w:ind w:firstLine="420"/>
      </w:pPr>
      <w:r>
        <w:rPr>
          <w:rFonts w:hint="eastAsia"/>
        </w:rPr>
        <w:t>（3）</w:t>
      </w:r>
      <w:r>
        <w:t>装置内露天放置的塔类、容器类</w:t>
      </w:r>
      <w:r>
        <w:rPr>
          <w:rFonts w:hint="eastAsia"/>
        </w:rPr>
        <w:t>，</w:t>
      </w:r>
      <w:r>
        <w:t>当顶板厚度小于4mm时，设置避雷针、线保护；当顶板厚度大于等于4mm时，可不设避雷针、线，但一定防雷接地；</w:t>
      </w:r>
    </w:p>
    <w:p>
      <w:pPr>
        <w:spacing w:before="156" w:after="156"/>
        <w:ind w:firstLine="420"/>
      </w:pPr>
      <w:r>
        <w:rPr>
          <w:rFonts w:hint="eastAsia"/>
        </w:rPr>
        <w:t>（4）</w:t>
      </w:r>
      <w:r>
        <w:t>装置内进料罐温度、液面测量装置采用铠装电缆或钢管配线，电缆外皮或配线钢管与罐体应做电气连接；</w:t>
      </w:r>
    </w:p>
    <w:p>
      <w:pPr>
        <w:spacing w:before="156" w:after="156"/>
        <w:ind w:firstLine="420"/>
      </w:pPr>
      <w:r>
        <w:rPr>
          <w:rFonts w:hint="eastAsia"/>
        </w:rPr>
        <w:t>（5）</w:t>
      </w:r>
      <w:r>
        <w:t>装置内控制室和配电室按照GB</w:t>
      </w:r>
      <w:r>
        <w:rPr>
          <w:rFonts w:hint="eastAsia"/>
        </w:rPr>
        <w:t xml:space="preserve"> </w:t>
      </w:r>
      <w:r>
        <w:t>50057-2010的相关规定设计建造；</w:t>
      </w:r>
    </w:p>
    <w:p>
      <w:pPr>
        <w:spacing w:before="156" w:after="156"/>
        <w:ind w:firstLine="420"/>
      </w:pPr>
      <w:r>
        <w:rPr>
          <w:rFonts w:hint="eastAsia"/>
        </w:rPr>
        <w:t>（6）</w:t>
      </w:r>
      <w:r>
        <w:t>若慎重考虑安全因素，可以不将塔器作为接闪装置，而是改为在装置区四角安装高于装置的避雷针，并有效接地；</w:t>
      </w:r>
    </w:p>
    <w:p>
      <w:pPr>
        <w:spacing w:before="156" w:after="156"/>
        <w:ind w:firstLine="420"/>
      </w:pPr>
      <w:r>
        <w:rPr>
          <w:rFonts w:hint="eastAsia"/>
        </w:rPr>
        <w:t>（7）</w:t>
      </w:r>
      <w:r>
        <w:t>在控制室、配电室、自备发电室房顶设置避雷带，并保证有效接地；并采取防闪电电涌侵入措施。</w:t>
      </w:r>
    </w:p>
    <w:p>
      <w:pPr>
        <w:pStyle w:val="5"/>
        <w:spacing w:before="156" w:after="156"/>
        <w:ind w:firstLine="560"/>
      </w:pPr>
      <w:r>
        <w:rPr>
          <w:rFonts w:hint="eastAsia"/>
        </w:rPr>
        <w:t>5</w:t>
      </w:r>
      <w:r>
        <w:t>.1.2.5</w:t>
      </w:r>
      <w:r>
        <w:rPr>
          <w:rFonts w:hint="eastAsia"/>
        </w:rPr>
        <w:t>防腐设施</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w:t>
      </w:r>
      <w:r>
        <w:rPr>
          <w:rFonts w:hint="eastAsia"/>
        </w:rPr>
        <w:t>钢质管道内腐蚀控制规范</w:t>
      </w:r>
      <w:r>
        <w:t>》（GB/T 23258-2009）第4、5、6条、《固定式钢直梯和斜梯安全技术条件》</w:t>
      </w:r>
      <w:r>
        <w:rPr>
          <w:rFonts w:hint="eastAsia"/>
        </w:rPr>
        <w:t>（</w:t>
      </w:r>
      <w:r>
        <w:t>GB</w:t>
      </w:r>
      <w:r>
        <w:rPr>
          <w:rFonts w:hint="eastAsia"/>
        </w:rPr>
        <w:t xml:space="preserve"> </w:t>
      </w:r>
      <w:r>
        <w:t>4053.1</w:t>
      </w:r>
      <w:r>
        <w:rPr>
          <w:rFonts w:hint="eastAsia"/>
        </w:rPr>
        <w:t>-3</w:t>
      </w:r>
      <w:r>
        <w:t>-2009</w:t>
      </w:r>
      <w:r>
        <w:rPr>
          <w:rFonts w:hint="eastAsia"/>
        </w:rPr>
        <w:t>）、</w:t>
      </w:r>
      <w:r>
        <w:t>《固定式工业防护栏杆安全技术条件》</w:t>
      </w:r>
      <w:r>
        <w:rPr>
          <w:rFonts w:hint="eastAsia"/>
        </w:rPr>
        <w:t>（</w:t>
      </w:r>
      <w:r>
        <w:t>GB</w:t>
      </w:r>
      <w:r>
        <w:rPr>
          <w:rFonts w:hint="eastAsia"/>
        </w:rPr>
        <w:t xml:space="preserve"> </w:t>
      </w:r>
      <w:r>
        <w:t>4053.3-2009</w:t>
      </w:r>
      <w:r>
        <w:rPr>
          <w:rFonts w:hint="eastAsia"/>
        </w:rPr>
        <w:t>）</w:t>
      </w:r>
      <w:r>
        <w:t>。</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整个工艺生产线上、所有钢平台、钢斜梯、钢直梯、管廊。</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管道、塔和各类设备根据GB/T 23258-2009第4、5、6条设计防腐层、阴极保护、干扰腐蚀措施，其中要考虑设备的材质等因素；</w:t>
      </w:r>
    </w:p>
    <w:p>
      <w:pPr>
        <w:spacing w:before="156" w:after="156"/>
        <w:ind w:firstLine="420"/>
      </w:pPr>
      <w:r>
        <w:rPr>
          <w:rFonts w:hint="eastAsia"/>
        </w:rPr>
        <w:t>（2）</w:t>
      </w:r>
      <w:r>
        <w:t>腐蚀控制系统需要安排人员检修和维护，并参照第7条调查和记录；</w:t>
      </w:r>
    </w:p>
    <w:p>
      <w:pPr>
        <w:spacing w:before="156" w:after="156"/>
        <w:ind w:firstLine="420"/>
      </w:pPr>
      <w:r>
        <w:rPr>
          <w:rFonts w:hint="eastAsia"/>
        </w:rPr>
        <w:t>（</w:t>
      </w:r>
      <w:r>
        <w:t>3</w:t>
      </w:r>
      <w:r>
        <w:rPr>
          <w:rFonts w:hint="eastAsia"/>
        </w:rPr>
        <w:t>）</w:t>
      </w:r>
      <w:r>
        <w:t>对所有钢架结构，必须涂一层底漆和一层面漆。</w:t>
      </w:r>
    </w:p>
    <w:p>
      <w:pPr>
        <w:pStyle w:val="5"/>
        <w:spacing w:before="156" w:after="156"/>
        <w:ind w:firstLine="560"/>
      </w:pPr>
      <w:r>
        <w:rPr>
          <w:rFonts w:hint="eastAsia"/>
        </w:rPr>
        <w:t>5</w:t>
      </w:r>
      <w:r>
        <w:t>.1.2.6</w:t>
      </w:r>
      <w:r>
        <w:rPr>
          <w:rFonts w:hint="eastAsia"/>
        </w:rPr>
        <w:t>防渗透设施</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《石油化工企业设计防火规范》</w:t>
      </w:r>
      <w:r>
        <w:rPr>
          <w:rFonts w:hint="eastAsia"/>
        </w:rPr>
        <w:t>（</w:t>
      </w:r>
      <w:r>
        <w:t>GB</w:t>
      </w:r>
      <w:r>
        <w:rPr>
          <w:rFonts w:hint="eastAsia"/>
        </w:rPr>
        <w:t xml:space="preserve"> </w:t>
      </w:r>
      <w:r>
        <w:t>50160-2008</w:t>
      </w:r>
      <w:r>
        <w:rPr>
          <w:rFonts w:hint="eastAsia"/>
        </w:rPr>
        <w:t>）</w:t>
      </w:r>
      <w:r>
        <w:t>第7.1.4、7.2.1条。</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跨越泵房和罐区的液化烃管道、各金属运输管道。</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根据7.1.4跨越泵房和罐区的液化烃管道上不允许设置阀门和易发生泄漏的管道附件；</w:t>
      </w:r>
    </w:p>
    <w:p>
      <w:pPr>
        <w:spacing w:before="156" w:after="156"/>
        <w:ind w:firstLine="420"/>
      </w:pPr>
      <w:r>
        <w:rPr>
          <w:rFonts w:hint="eastAsia"/>
        </w:rPr>
        <w:t>（2）</w:t>
      </w:r>
      <w:r>
        <w:t>根据7.2.1液化烃运输管道除需要采取法兰连接外，均采用焊接；</w:t>
      </w:r>
    </w:p>
    <w:p>
      <w:pPr>
        <w:spacing w:before="156" w:after="156"/>
        <w:ind w:firstLine="420"/>
      </w:pPr>
      <w:r>
        <w:rPr>
          <w:rFonts w:hint="eastAsia"/>
        </w:rPr>
        <w:t>（3）</w:t>
      </w:r>
      <w:r>
        <w:t>公称直径小于或等于25mm的液化烃金属管道和阀门采用椎管螺纹连接时，除能产生缝隙介质腐蚀的管道外，应在螺纹处采用密封焊；</w:t>
      </w:r>
    </w:p>
    <w:p>
      <w:pPr>
        <w:spacing w:before="156" w:after="156"/>
        <w:ind w:firstLine="420"/>
      </w:pPr>
      <w:r>
        <w:rPr>
          <w:rFonts w:hint="eastAsia"/>
        </w:rPr>
        <w:t>（4）</w:t>
      </w:r>
      <w:r>
        <w:t>管廊设计时考虑消除热胀冷缩的应力，管廊设计采用膨胀节、弯头。</w:t>
      </w:r>
    </w:p>
    <w:p>
      <w:pPr>
        <w:pStyle w:val="5"/>
        <w:spacing w:before="156" w:after="156"/>
        <w:ind w:firstLine="560"/>
      </w:pPr>
      <w:r>
        <w:rPr>
          <w:rFonts w:hint="eastAsia"/>
        </w:rPr>
        <w:t>5</w:t>
      </w:r>
      <w:r>
        <w:t>.1.2.7</w:t>
      </w:r>
      <w:r>
        <w:rPr>
          <w:rFonts w:hint="eastAsia"/>
        </w:rPr>
        <w:t>电器过载保护设施</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装置区含有配电室，应防止过载引起电气火灾。</w:t>
      </w:r>
    </w:p>
    <w:p>
      <w:pPr>
        <w:spacing w:before="156" w:after="156"/>
        <w:ind w:firstLine="422"/>
        <w:rPr>
          <w:b/>
          <w:bCs/>
        </w:rPr>
      </w:pPr>
      <w:r>
        <w:rPr>
          <w:rFonts w:hint="eastAsia"/>
          <w:b/>
          <w:bCs/>
        </w:rPr>
        <w:t>(</w:t>
      </w:r>
      <w:r>
        <w:rPr>
          <w:b/>
          <w:bCs/>
        </w:rPr>
        <w:t>2)</w:t>
      </w:r>
      <w:r>
        <w:rPr>
          <w:rFonts w:hint="eastAsia"/>
          <w:b/>
          <w:bCs/>
        </w:rPr>
        <w:t>设置位置</w:t>
      </w:r>
    </w:p>
    <w:p>
      <w:pPr>
        <w:spacing w:before="156" w:after="156"/>
        <w:ind w:firstLine="420"/>
      </w:pPr>
      <w:r>
        <w:t>配电室、控制室、机泵电机电气支路。</w:t>
      </w:r>
    </w:p>
    <w:p>
      <w:pPr>
        <w:spacing w:before="156" w:after="156"/>
        <w:ind w:firstLine="422"/>
        <w:rPr>
          <w:b/>
          <w:bCs/>
        </w:rPr>
      </w:pPr>
      <w:r>
        <w:rPr>
          <w:rFonts w:hint="eastAsia"/>
          <w:b/>
          <w:bCs/>
        </w:rPr>
        <w:t>(</w:t>
      </w:r>
      <w:r>
        <w:rPr>
          <w:b/>
          <w:bCs/>
        </w:rPr>
        <w:t>3)</w:t>
      </w:r>
      <w:r>
        <w:rPr>
          <w:rFonts w:hint="eastAsia"/>
          <w:b/>
          <w:bCs/>
        </w:rPr>
        <w:t>设置要求</w:t>
      </w:r>
    </w:p>
    <w:p>
      <w:pPr>
        <w:spacing w:before="156" w:after="156"/>
        <w:ind w:firstLine="420"/>
      </w:pPr>
      <w:r>
        <w:rPr>
          <w:rFonts w:hint="eastAsia"/>
        </w:rPr>
        <w:t>（1）</w:t>
      </w:r>
      <w:r>
        <w:t>安装继电保护（空气开关）和自动化装置于配电室；</w:t>
      </w:r>
    </w:p>
    <w:p>
      <w:pPr>
        <w:spacing w:before="156" w:after="156"/>
        <w:ind w:firstLine="420"/>
      </w:pPr>
      <w:r>
        <w:rPr>
          <w:rFonts w:hint="eastAsia"/>
        </w:rPr>
        <w:t>（2）</w:t>
      </w:r>
      <w:r>
        <w:t>在控制室安装联锁报警设备，对配电室内发生的过载报警，并自动调节机泵电机频率，减小负荷防止空气开关跳闸。</w:t>
      </w:r>
    </w:p>
    <w:p>
      <w:pPr>
        <w:pStyle w:val="5"/>
        <w:spacing w:before="156" w:after="156"/>
        <w:ind w:firstLine="560"/>
      </w:pPr>
      <w:r>
        <w:rPr>
          <w:rFonts w:hint="eastAsia"/>
        </w:rPr>
        <w:t>5</w:t>
      </w:r>
      <w:r>
        <w:t>.1.2.8</w:t>
      </w:r>
      <w:r>
        <w:rPr>
          <w:rFonts w:hint="eastAsia"/>
        </w:rPr>
        <w:t>静电接地设施</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《石油化工静电接地设计规范》</w:t>
      </w:r>
      <w:r>
        <w:rPr>
          <w:rFonts w:hint="eastAsia"/>
        </w:rPr>
        <w:t>（</w:t>
      </w:r>
      <w:r>
        <w:t>SH</w:t>
      </w:r>
      <w:r>
        <w:rPr>
          <w:rFonts w:hint="eastAsia"/>
        </w:rPr>
        <w:t xml:space="preserve"> </w:t>
      </w:r>
      <w:r>
        <w:t>3097-2000</w:t>
      </w:r>
      <w:r>
        <w:rPr>
          <w:rFonts w:hint="eastAsia"/>
        </w:rPr>
        <w:t>）</w:t>
      </w:r>
      <w:r>
        <w:t>。</w:t>
      </w:r>
    </w:p>
    <w:p>
      <w:pPr>
        <w:spacing w:before="156" w:after="156"/>
        <w:ind w:firstLine="422"/>
        <w:rPr>
          <w:b/>
          <w:bCs/>
        </w:rPr>
      </w:pPr>
      <w:r>
        <w:rPr>
          <w:rFonts w:hint="eastAsia"/>
          <w:b/>
          <w:bCs/>
        </w:rPr>
        <w:t>(</w:t>
      </w:r>
      <w:r>
        <w:rPr>
          <w:b/>
          <w:bCs/>
        </w:rPr>
        <w:t>2)</w:t>
      </w:r>
      <w:r>
        <w:rPr>
          <w:rFonts w:hint="eastAsia"/>
          <w:b/>
          <w:bCs/>
        </w:rPr>
        <w:t>设施设备位置</w:t>
      </w:r>
    </w:p>
    <w:p>
      <w:pPr>
        <w:spacing w:before="156" w:after="156"/>
        <w:ind w:firstLine="420"/>
      </w:pPr>
      <w:r>
        <w:t>装置区内在生产加工、储运过程中，设备、管道、操作工具及操作人员、钢平台。</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根据4.1.1，固定设备（塔、换热器、机泵、容器）应静电接地；</w:t>
      </w:r>
    </w:p>
    <w:p>
      <w:pPr>
        <w:spacing w:before="156" w:after="156"/>
        <w:ind w:firstLine="420"/>
      </w:pPr>
      <w:r>
        <w:rPr>
          <w:rFonts w:hint="eastAsia"/>
        </w:rPr>
        <w:t>（2）</w:t>
      </w:r>
      <w:r>
        <w:t>根据4.1.2</w:t>
      </w:r>
      <w:r>
        <w:rPr>
          <w:rFonts w:hint="eastAsia"/>
        </w:rPr>
        <w:t>，</w:t>
      </w:r>
      <w:r>
        <w:t>其直径大于等于2.5m或容积大于50立方米的设备接地点不少于两处，且沿设备外围均匀布置；</w:t>
      </w:r>
    </w:p>
    <w:p>
      <w:pPr>
        <w:spacing w:before="156" w:after="156"/>
        <w:ind w:firstLine="420"/>
      </w:pPr>
      <w:r>
        <w:rPr>
          <w:rFonts w:hint="eastAsia"/>
        </w:rPr>
        <w:t>（3）</w:t>
      </w:r>
      <w:r>
        <w:t>根据4.1.8，固定设备与接地线或连接线宜采用螺栓连接，连接端子可设置在连接设备的侧面、设备联合支座的侧面或端部位置。其材料选择应符合本规范3.4.4和3.5条；</w:t>
      </w:r>
    </w:p>
    <w:p>
      <w:pPr>
        <w:spacing w:before="156" w:after="156"/>
        <w:ind w:firstLine="420"/>
      </w:pPr>
      <w:r>
        <w:rPr>
          <w:rFonts w:hint="eastAsia"/>
        </w:rPr>
        <w:t>（4）</w:t>
      </w:r>
      <w:r>
        <w:t>根据4.1.9，与地绝缘的金属部件（如法兰、胶管接头、喷嘴等）应采用铜芯软绞线搭接引出接地</w:t>
      </w:r>
      <w:r>
        <w:rPr>
          <w:rFonts w:hint="eastAsia"/>
        </w:rPr>
        <w:t>（</w:t>
      </w:r>
      <w:r>
        <w:t>静电接地的具体设计参照SH</w:t>
      </w:r>
      <w:r>
        <w:rPr>
          <w:rFonts w:hint="eastAsia"/>
        </w:rPr>
        <w:t xml:space="preserve"> </w:t>
      </w:r>
      <w:r>
        <w:t>3097-2000</w:t>
      </w:r>
      <w:r>
        <w:rPr>
          <w:rFonts w:hint="eastAsia"/>
        </w:rPr>
        <w:t>）</w:t>
      </w:r>
      <w:r>
        <w:t>；</w:t>
      </w:r>
    </w:p>
    <w:p>
      <w:pPr>
        <w:spacing w:before="156" w:after="156"/>
        <w:ind w:firstLine="420"/>
      </w:pPr>
      <w:r>
        <w:rPr>
          <w:rFonts w:hint="eastAsia"/>
        </w:rPr>
        <w:t>（5）</w:t>
      </w:r>
      <w:r>
        <w:t>对钢平台进行有效的静电接地措施。</w:t>
      </w:r>
    </w:p>
    <w:p>
      <w:pPr>
        <w:pStyle w:val="4"/>
        <w:spacing w:before="156" w:after="156"/>
        <w:ind w:firstLine="482"/>
      </w:pPr>
      <w:bookmarkStart w:id="145" w:name="_Toc108206527"/>
      <w:bookmarkStart w:id="146" w:name="_Toc141203936"/>
      <w:r>
        <w:rPr>
          <w:rFonts w:hint="eastAsia"/>
        </w:rPr>
        <w:t>5</w:t>
      </w:r>
      <w:r>
        <w:t>.1.3</w:t>
      </w:r>
      <w:r>
        <w:rPr>
          <w:rFonts w:hint="eastAsia"/>
        </w:rPr>
        <w:t>防爆设施</w:t>
      </w:r>
      <w:bookmarkEnd w:id="145"/>
      <w:bookmarkEnd w:id="146"/>
    </w:p>
    <w:p>
      <w:pPr>
        <w:pStyle w:val="5"/>
        <w:spacing w:before="156" w:after="156"/>
        <w:ind w:firstLine="560"/>
      </w:pPr>
      <w:r>
        <w:rPr>
          <w:rFonts w:hint="eastAsia"/>
        </w:rPr>
        <w:t>5</w:t>
      </w:r>
      <w:r>
        <w:t>.1.3.1</w:t>
      </w:r>
      <w:r>
        <w:rPr>
          <w:rFonts w:hint="eastAsia"/>
        </w:rPr>
        <w:t>各种电气、仪表的防爆设施</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《石化业防爆区域划分原则与防爆设备选用指引》、《爆炸和火灾危险环境电力设计规范》</w:t>
      </w:r>
      <w:r>
        <w:rPr>
          <w:rFonts w:hint="eastAsia"/>
        </w:rPr>
        <w:t>（</w:t>
      </w:r>
      <w:r>
        <w:t>GB</w:t>
      </w:r>
      <w:r>
        <w:rPr>
          <w:rFonts w:hint="eastAsia"/>
        </w:rPr>
        <w:t xml:space="preserve"> </w:t>
      </w:r>
      <w:r>
        <w:t>50058-1992</w:t>
      </w:r>
      <w:r>
        <w:rPr>
          <w:rFonts w:hint="eastAsia"/>
        </w:rPr>
        <w:t>）</w:t>
      </w:r>
      <w:r>
        <w:t>第2.5.1-2.5.15条和《石油化工企业生产装置电力设计技术规范》</w:t>
      </w:r>
      <w:r>
        <w:rPr>
          <w:rFonts w:hint="eastAsia"/>
        </w:rPr>
        <w:t>（</w:t>
      </w:r>
      <w:r>
        <w:t>SH</w:t>
      </w:r>
      <w:r>
        <w:rPr>
          <w:rFonts w:hint="eastAsia"/>
        </w:rPr>
        <w:t xml:space="preserve"> </w:t>
      </w:r>
      <w:r>
        <w:t>3038-2000</w:t>
      </w:r>
      <w:r>
        <w:rPr>
          <w:rFonts w:hint="eastAsia"/>
        </w:rPr>
        <w:t>）</w:t>
      </w:r>
      <w:r>
        <w:t>。</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装置区的电气设备、控制室、配电室的电气设备和电气线路设备。</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装置区内的电气、仪表设备采用耐压防爆类型dIIBT2；</w:t>
      </w:r>
    </w:p>
    <w:p>
      <w:pPr>
        <w:spacing w:before="156" w:after="156"/>
        <w:ind w:firstLine="420"/>
      </w:pPr>
      <w:r>
        <w:rPr>
          <w:rFonts w:hint="eastAsia"/>
        </w:rPr>
        <w:t>（2）</w:t>
      </w:r>
      <w:r>
        <w:t>控制室、配电室中的电气、仪表设备采用正压防爆类型pIIBT2；</w:t>
      </w:r>
    </w:p>
    <w:p>
      <w:pPr>
        <w:spacing w:before="156" w:after="156"/>
        <w:ind w:firstLine="420"/>
      </w:pPr>
      <w:r>
        <w:rPr>
          <w:rFonts w:hint="eastAsia"/>
        </w:rPr>
        <w:t>（3）</w:t>
      </w:r>
      <w:r>
        <w:t>装置区不宜采用携带式电气设备；</w:t>
      </w:r>
    </w:p>
    <w:p>
      <w:pPr>
        <w:spacing w:before="156" w:after="156"/>
        <w:ind w:firstLine="420"/>
      </w:pPr>
      <w:r>
        <w:rPr>
          <w:rFonts w:hint="eastAsia"/>
        </w:rPr>
        <w:t>（4）</w:t>
      </w:r>
      <w:r>
        <w:t>电气线路应在较高处敷设或直接埋地；架空敷设时宜采用电缆桥架，架空线与爆炸性气体环境的水平距离</w:t>
      </w:r>
      <w:r>
        <w:rPr>
          <w:rFonts w:hint="eastAsia"/>
        </w:rPr>
        <w:t>，</w:t>
      </w:r>
      <w:r>
        <w:t>不应小于杆塔高度的1.5倍；电缆沟敷设时沟内应充砂</w:t>
      </w:r>
      <w:r>
        <w:rPr>
          <w:rFonts w:hint="eastAsia"/>
        </w:rPr>
        <w:t>，</w:t>
      </w:r>
      <w:r>
        <w:t>应宜设臵排水措施；敷设电气线路的沟道、电缆或钢管</w:t>
      </w:r>
      <w:r>
        <w:rPr>
          <w:rFonts w:hint="eastAsia"/>
        </w:rPr>
        <w:t>，</w:t>
      </w:r>
      <w:r>
        <w:t>所穿过的不同区域之间墙或楼板处的孔洞</w:t>
      </w:r>
      <w:r>
        <w:rPr>
          <w:rFonts w:hint="eastAsia"/>
        </w:rPr>
        <w:t>，</w:t>
      </w:r>
      <w:r>
        <w:t>应采用非燃性材料严密堵塞；</w:t>
      </w:r>
    </w:p>
    <w:p>
      <w:pPr>
        <w:spacing w:before="156" w:after="156"/>
        <w:ind w:firstLine="420"/>
      </w:pPr>
      <w:r>
        <w:rPr>
          <w:rFonts w:hint="eastAsia"/>
        </w:rPr>
        <w:t>（5）</w:t>
      </w:r>
      <w:r>
        <w:t>装置区内宜采用铜芯电缆</w:t>
      </w:r>
      <w:r>
        <w:rPr>
          <w:rFonts w:hint="eastAsia"/>
        </w:rPr>
        <w:t>，</w:t>
      </w:r>
      <w:r>
        <w:t>当采用铝芯电缆时</w:t>
      </w:r>
      <w:r>
        <w:rPr>
          <w:rFonts w:hint="eastAsia"/>
        </w:rPr>
        <w:t>，</w:t>
      </w:r>
      <w:r>
        <w:t>与电气设备的连接应有可靠的铜-铝过渡接头等措施；</w:t>
      </w:r>
    </w:p>
    <w:p>
      <w:pPr>
        <w:spacing w:before="156" w:after="156"/>
        <w:ind w:firstLine="420"/>
      </w:pPr>
      <w:r>
        <w:rPr>
          <w:rFonts w:hint="eastAsia"/>
        </w:rPr>
        <w:t>（6）</w:t>
      </w:r>
      <w:r>
        <w:t>装置区内的钢管配线的技术要求</w:t>
      </w:r>
      <w:r>
        <w:rPr>
          <w:rFonts w:hint="eastAsia"/>
        </w:rPr>
        <w:t>，</w:t>
      </w:r>
      <w:r>
        <w:t>应符合GB</w:t>
      </w:r>
      <w:r>
        <w:rPr>
          <w:rFonts w:hint="eastAsia"/>
        </w:rPr>
        <w:t xml:space="preserve"> </w:t>
      </w:r>
      <w:r>
        <w:t>50058-1992中表2.5.11的规定并作好隔离密封；</w:t>
      </w:r>
    </w:p>
    <w:p>
      <w:pPr>
        <w:spacing w:before="156" w:after="156"/>
        <w:ind w:firstLine="420"/>
      </w:pPr>
      <w:r>
        <w:rPr>
          <w:rFonts w:hint="eastAsia"/>
        </w:rPr>
        <w:t>（7）</w:t>
      </w:r>
      <w:r>
        <w:t>电气设备的金属外壳应可靠接地。</w:t>
      </w:r>
    </w:p>
    <w:p>
      <w:pPr>
        <w:pStyle w:val="5"/>
        <w:spacing w:before="156" w:after="156"/>
        <w:ind w:firstLine="560"/>
      </w:pPr>
      <w:r>
        <w:rPr>
          <w:rFonts w:hint="eastAsia"/>
        </w:rPr>
        <w:t>5</w:t>
      </w:r>
      <w:r>
        <w:t>.1.3.2</w:t>
      </w:r>
      <w:r>
        <w:rPr>
          <w:rFonts w:hint="eastAsia"/>
        </w:rPr>
        <w:t>防爆工器具</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《铍铜合金防爆工具》</w:t>
      </w:r>
      <w:r>
        <w:rPr>
          <w:rFonts w:hint="eastAsia"/>
        </w:rPr>
        <w:t>（</w:t>
      </w:r>
      <w:r>
        <w:t>GB</w:t>
      </w:r>
      <w:r>
        <w:rPr>
          <w:rFonts w:hint="eastAsia"/>
        </w:rPr>
        <w:t xml:space="preserve"> </w:t>
      </w:r>
      <w:r>
        <w:t>24459-2009</w:t>
      </w:r>
      <w:r>
        <w:rPr>
          <w:rFonts w:hint="eastAsia"/>
        </w:rPr>
        <w:t>）</w:t>
      </w:r>
      <w:r>
        <w:t>、《工业防爆电视监控系统施工规范标准》和中国石油天然气集团公司企业标准《通用工器具安全管理规范》</w:t>
      </w:r>
      <w:r>
        <w:rPr>
          <w:rFonts w:hint="eastAsia"/>
        </w:rPr>
        <w:t>（</w:t>
      </w:r>
      <w:r>
        <w:t>Q/SY</w:t>
      </w:r>
      <w:r>
        <w:rPr>
          <w:rFonts w:hint="eastAsia"/>
        </w:rPr>
        <w:t xml:space="preserve"> </w:t>
      </w:r>
      <w:r>
        <w:t>1367</w:t>
      </w:r>
      <w:r>
        <w:rPr>
          <w:rFonts w:hint="eastAsia"/>
        </w:rPr>
        <w:t>-</w:t>
      </w:r>
      <w:r>
        <w:t>2011</w:t>
      </w:r>
      <w:r>
        <w:rPr>
          <w:rFonts w:hint="eastAsia"/>
        </w:rPr>
        <w:t>）</w:t>
      </w:r>
      <w:r>
        <w:t>。</w:t>
      </w:r>
    </w:p>
    <w:p>
      <w:pPr>
        <w:spacing w:before="156" w:after="156"/>
        <w:ind w:firstLine="422"/>
        <w:rPr>
          <w:b/>
          <w:bCs/>
        </w:rPr>
      </w:pPr>
      <w:r>
        <w:rPr>
          <w:rFonts w:hint="eastAsia"/>
          <w:b/>
          <w:bCs/>
        </w:rPr>
        <w:t>(</w:t>
      </w:r>
      <w:r>
        <w:rPr>
          <w:b/>
          <w:bCs/>
        </w:rPr>
        <w:t>2)</w:t>
      </w:r>
      <w:r>
        <w:rPr>
          <w:rFonts w:hint="eastAsia"/>
          <w:b/>
          <w:bCs/>
        </w:rPr>
        <w:t>设施设置要求</w:t>
      </w:r>
    </w:p>
    <w:p>
      <w:pPr>
        <w:spacing w:before="156" w:after="156"/>
        <w:ind w:firstLine="420"/>
      </w:pPr>
      <w:r>
        <w:rPr>
          <w:rFonts w:hint="eastAsia"/>
        </w:rPr>
        <w:t>（1）</w:t>
      </w:r>
      <w:r>
        <w:t>在装置区内安装、检修设备需要使用不发生摩擦及撞击火花，甚至不产生炽热高温表面，由特殊材料制成的专用防爆工具，如铍铜合金防爆工具，其分类、规格尺寸、要求、检验方法、检验规则及标志等应依据GB</w:t>
      </w:r>
      <w:r>
        <w:rPr>
          <w:rFonts w:hint="eastAsia"/>
        </w:rPr>
        <w:t xml:space="preserve"> </w:t>
      </w:r>
      <w:r>
        <w:t>24459-2009；</w:t>
      </w:r>
    </w:p>
    <w:p>
      <w:pPr>
        <w:spacing w:before="156" w:after="156"/>
        <w:ind w:firstLine="420"/>
      </w:pPr>
      <w:r>
        <w:rPr>
          <w:rFonts w:hint="eastAsia"/>
        </w:rPr>
        <w:t>（2）</w:t>
      </w:r>
      <w:r>
        <w:t>企业应对防爆工器具的配置、使用、维护、保管进行合理管理。</w:t>
      </w:r>
    </w:p>
    <w:p>
      <w:pPr>
        <w:pStyle w:val="4"/>
        <w:spacing w:before="156" w:after="156"/>
        <w:ind w:firstLine="482"/>
      </w:pPr>
      <w:bookmarkStart w:id="147" w:name="_Toc108206528"/>
      <w:bookmarkStart w:id="148" w:name="_Toc141203937"/>
      <w:r>
        <w:rPr>
          <w:rFonts w:hint="eastAsia"/>
        </w:rPr>
        <w:t>5</w:t>
      </w:r>
      <w:r>
        <w:t>.1.4</w:t>
      </w:r>
      <w:r>
        <w:rPr>
          <w:rFonts w:hint="eastAsia"/>
        </w:rPr>
        <w:t>作业场所防护设施</w:t>
      </w:r>
      <w:bookmarkEnd w:id="147"/>
      <w:bookmarkEnd w:id="148"/>
    </w:p>
    <w:p>
      <w:pPr>
        <w:pStyle w:val="5"/>
        <w:spacing w:before="156" w:after="156"/>
        <w:ind w:firstLine="560"/>
      </w:pPr>
      <w:r>
        <w:rPr>
          <w:rFonts w:hint="eastAsia"/>
        </w:rPr>
        <w:t>5</w:t>
      </w:r>
      <w:r>
        <w:t>.1.4.1</w:t>
      </w:r>
      <w:r>
        <w:rPr>
          <w:rFonts w:hint="eastAsia"/>
        </w:rPr>
        <w:t>防静电设施</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《防止静电事故通用导则》</w:t>
      </w:r>
      <w:r>
        <w:rPr>
          <w:rFonts w:hint="eastAsia"/>
        </w:rPr>
        <w:t>（</w:t>
      </w:r>
      <w:r>
        <w:t>GB</w:t>
      </w:r>
      <w:r>
        <w:rPr>
          <w:rFonts w:hint="eastAsia"/>
        </w:rPr>
        <w:t xml:space="preserve"> </w:t>
      </w:r>
      <w:r>
        <w:t>12158-2006</w:t>
      </w:r>
      <w:r>
        <w:rPr>
          <w:rFonts w:hint="eastAsia"/>
        </w:rPr>
        <w:t>）</w:t>
      </w:r>
      <w:r>
        <w:t>。</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整个工艺生产过程中设备、管道、钢平台、钢斜梯、钢直梯</w:t>
      </w:r>
      <w:r>
        <w:rPr>
          <w:rFonts w:hint="eastAsia"/>
        </w:rPr>
        <w:t>。</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参照6.1.2属于所有静电导体接地设施都应接地，静电导体与大地间可泄漏电阻值不应大于105Ω；</w:t>
      </w:r>
    </w:p>
    <w:p>
      <w:pPr>
        <w:spacing w:before="156" w:after="156"/>
        <w:ind w:firstLine="420"/>
      </w:pPr>
      <w:r>
        <w:rPr>
          <w:rFonts w:hint="eastAsia"/>
        </w:rPr>
        <w:t>（2）</w:t>
      </w:r>
      <w:r>
        <w:t>管道法兰处用铜线跨接；</w:t>
      </w:r>
    </w:p>
    <w:p>
      <w:pPr>
        <w:spacing w:before="156" w:after="156"/>
        <w:ind w:firstLine="420"/>
      </w:pPr>
      <w:r>
        <w:rPr>
          <w:rFonts w:hint="eastAsia"/>
        </w:rPr>
        <w:t>（3）</w:t>
      </w:r>
      <w:r>
        <w:t>装设缓和器，减缓管道内流体流速，以便充分泄漏静电电荷；</w:t>
      </w:r>
    </w:p>
    <w:p>
      <w:pPr>
        <w:spacing w:before="156" w:after="156"/>
        <w:ind w:firstLine="420"/>
      </w:pPr>
      <w:r>
        <w:rPr>
          <w:rFonts w:hint="eastAsia"/>
        </w:rPr>
        <w:t>（4）</w:t>
      </w:r>
      <w:r>
        <w:t>根据6.1.10，装置内采用防爆型静电消除器；</w:t>
      </w:r>
    </w:p>
    <w:p>
      <w:pPr>
        <w:spacing w:before="156" w:after="156"/>
        <w:ind w:firstLine="420"/>
      </w:pPr>
      <w:r>
        <w:rPr>
          <w:rFonts w:hint="eastAsia"/>
        </w:rPr>
        <w:t>（5）</w:t>
      </w:r>
      <w:r>
        <w:t>根据6.3.10，当不能以控制流速控制静电积聚时，在管道末端设置液体静电消除器；</w:t>
      </w:r>
    </w:p>
    <w:p>
      <w:pPr>
        <w:spacing w:before="156" w:after="156"/>
        <w:ind w:firstLine="420"/>
      </w:pPr>
      <w:r>
        <w:rPr>
          <w:rFonts w:hint="eastAsia"/>
        </w:rPr>
        <w:t>（6）</w:t>
      </w:r>
      <w:r>
        <w:t>根据6.3.8，向液化石油气中加入抗静电添加剂，使其电导率提高到250pS/m以上；</w:t>
      </w:r>
    </w:p>
    <w:p>
      <w:pPr>
        <w:spacing w:before="156" w:after="156"/>
        <w:ind w:firstLine="420"/>
      </w:pPr>
      <w:r>
        <w:rPr>
          <w:rFonts w:hint="eastAsia"/>
        </w:rPr>
        <w:t>（7）</w:t>
      </w:r>
      <w:r>
        <w:t>钢平台地板采用格栅板，防止气体聚集；且涂导电橡胶防止静电产生，且对撞击有缓冲作用。</w:t>
      </w:r>
    </w:p>
    <w:p>
      <w:pPr>
        <w:pStyle w:val="5"/>
        <w:spacing w:before="156" w:after="156"/>
        <w:ind w:firstLine="560"/>
      </w:pPr>
      <w:r>
        <w:rPr>
          <w:rFonts w:hint="eastAsia"/>
        </w:rPr>
        <w:t>5</w:t>
      </w:r>
      <w:r>
        <w:t>.1.4.2</w:t>
      </w:r>
      <w:r>
        <w:rPr>
          <w:rFonts w:hint="eastAsia"/>
        </w:rPr>
        <w:t>防噪音设施</w:t>
      </w:r>
    </w:p>
    <w:p>
      <w:pPr>
        <w:spacing w:before="156" w:after="156"/>
        <w:ind w:firstLine="422"/>
        <w:rPr>
          <w:b/>
          <w:bCs/>
        </w:rPr>
      </w:pPr>
      <w:r>
        <w:rPr>
          <w:rFonts w:hint="eastAsia"/>
          <w:b/>
          <w:bCs/>
        </w:rPr>
        <w:t>(</w:t>
      </w:r>
      <w:r>
        <w:rPr>
          <w:b/>
          <w:bCs/>
        </w:rPr>
        <w:t>1)</w:t>
      </w:r>
      <w:r>
        <w:rPr>
          <w:rFonts w:hint="eastAsia"/>
          <w:b/>
          <w:bCs/>
        </w:rPr>
        <w:t>设施设置位置</w:t>
      </w:r>
    </w:p>
    <w:p>
      <w:pPr>
        <w:spacing w:before="156" w:after="156"/>
        <w:ind w:firstLine="420"/>
      </w:pPr>
      <w:r>
        <w:t>机泵机座处和装置区内。</w:t>
      </w:r>
    </w:p>
    <w:p>
      <w:pPr>
        <w:spacing w:before="156" w:after="156"/>
        <w:ind w:firstLine="422"/>
        <w:rPr>
          <w:b/>
          <w:bCs/>
        </w:rPr>
      </w:pPr>
      <w:r>
        <w:rPr>
          <w:rFonts w:hint="eastAsia"/>
          <w:b/>
          <w:bCs/>
        </w:rPr>
        <w:t>(</w:t>
      </w:r>
      <w:r>
        <w:rPr>
          <w:b/>
          <w:bCs/>
        </w:rPr>
        <w:t>2)</w:t>
      </w:r>
      <w:r>
        <w:rPr>
          <w:rFonts w:hint="eastAsia"/>
          <w:b/>
          <w:bCs/>
        </w:rPr>
        <w:t>设施设置要求</w:t>
      </w:r>
    </w:p>
    <w:p>
      <w:pPr>
        <w:spacing w:before="156" w:after="156"/>
        <w:ind w:firstLine="420"/>
      </w:pPr>
      <w:r>
        <w:rPr>
          <w:rFonts w:hint="eastAsia"/>
        </w:rPr>
        <w:t>（1）</w:t>
      </w:r>
      <w:r>
        <w:t>设置减振、降噪、阻尼措施；</w:t>
      </w:r>
    </w:p>
    <w:p>
      <w:pPr>
        <w:spacing w:before="156" w:after="156"/>
        <w:ind w:firstLine="420"/>
      </w:pPr>
      <w:r>
        <w:rPr>
          <w:rFonts w:hint="eastAsia"/>
        </w:rPr>
        <w:t>（2）</w:t>
      </w:r>
      <w:r>
        <w:t>设置噪音分贝指示器。</w:t>
      </w:r>
    </w:p>
    <w:p>
      <w:pPr>
        <w:pStyle w:val="5"/>
        <w:spacing w:before="156" w:after="156"/>
        <w:ind w:firstLine="560"/>
      </w:pPr>
      <w:r>
        <w:rPr>
          <w:rFonts w:hint="eastAsia"/>
        </w:rPr>
        <w:t>5</w:t>
      </w:r>
      <w:r>
        <w:t>.1.4.3</w:t>
      </w:r>
      <w:r>
        <w:rPr>
          <w:rFonts w:hint="eastAsia"/>
        </w:rPr>
        <w:t>防护网</w:t>
      </w:r>
    </w:p>
    <w:p>
      <w:pPr>
        <w:spacing w:before="156" w:after="156"/>
        <w:ind w:firstLine="422"/>
        <w:rPr>
          <w:b/>
          <w:bCs/>
        </w:rPr>
      </w:pPr>
      <w:r>
        <w:rPr>
          <w:rFonts w:hint="eastAsia"/>
          <w:b/>
          <w:bCs/>
        </w:rPr>
        <w:t>(</w:t>
      </w:r>
      <w:r>
        <w:rPr>
          <w:b/>
          <w:bCs/>
        </w:rPr>
        <w:t>1)</w:t>
      </w:r>
      <w:r>
        <w:rPr>
          <w:rFonts w:hint="eastAsia"/>
          <w:b/>
          <w:bCs/>
        </w:rPr>
        <w:t>设施设置原因</w:t>
      </w:r>
    </w:p>
    <w:p>
      <w:pPr>
        <w:spacing w:before="156" w:after="156"/>
        <w:ind w:firstLine="420"/>
      </w:pPr>
      <w:r>
        <w:t>装置区内有人员可直接接触到的阀组、法兰和流量计，有可能造成灼烫事故；装置区内有配电室，防止人员进入和动物进入导致电气事故。</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塔外围的阀组、法兰、流量计、配变电设备外围。</w:t>
      </w:r>
    </w:p>
    <w:p>
      <w:pPr>
        <w:pStyle w:val="5"/>
        <w:spacing w:before="156" w:after="156"/>
        <w:ind w:firstLine="560"/>
      </w:pPr>
      <w:r>
        <w:rPr>
          <w:rFonts w:hint="eastAsia"/>
        </w:rPr>
        <w:t>5</w:t>
      </w:r>
      <w:r>
        <w:t>.1.4.4</w:t>
      </w:r>
      <w:r>
        <w:rPr>
          <w:rFonts w:hint="eastAsia"/>
        </w:rPr>
        <w:t>防灼烫设施</w:t>
      </w:r>
    </w:p>
    <w:p>
      <w:pPr>
        <w:spacing w:before="156" w:after="156"/>
        <w:ind w:firstLine="422"/>
        <w:rPr>
          <w:b/>
          <w:bCs/>
        </w:rPr>
      </w:pPr>
      <w:r>
        <w:rPr>
          <w:rFonts w:hint="eastAsia"/>
          <w:b/>
          <w:bCs/>
        </w:rPr>
        <w:t>(</w:t>
      </w:r>
      <w:r>
        <w:rPr>
          <w:b/>
          <w:bCs/>
        </w:rPr>
        <w:t>1)</w:t>
      </w:r>
      <w:r>
        <w:rPr>
          <w:rFonts w:hint="eastAsia"/>
          <w:b/>
          <w:bCs/>
        </w:rPr>
        <w:t>设施设置原因</w:t>
      </w:r>
    </w:p>
    <w:p>
      <w:pPr>
        <w:spacing w:before="156" w:after="156"/>
        <w:ind w:firstLine="420"/>
      </w:pPr>
      <w:r>
        <w:t>装置中很多设备、管道，例如塔、换热器、输送管道等设备，应设置人员灼烫伤害防范设施。</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塔、和蒸汽、热水管道、阀和法兰外部。</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t>敷设符合要求厚度的复合硅酸盐保温层。</w:t>
      </w:r>
    </w:p>
    <w:p>
      <w:pPr>
        <w:pStyle w:val="4"/>
        <w:spacing w:before="156" w:after="156"/>
        <w:ind w:firstLine="482"/>
      </w:pPr>
      <w:bookmarkStart w:id="149" w:name="_Toc141203938"/>
      <w:bookmarkStart w:id="150" w:name="_Toc108206529"/>
      <w:r>
        <w:rPr>
          <w:rFonts w:hint="eastAsia"/>
        </w:rPr>
        <w:t>5</w:t>
      </w:r>
      <w:r>
        <w:t>.1.5</w:t>
      </w:r>
      <w:r>
        <w:rPr>
          <w:rFonts w:hint="eastAsia"/>
        </w:rPr>
        <w:t>安全警示标志</w:t>
      </w:r>
      <w:bookmarkEnd w:id="149"/>
      <w:bookmarkEnd w:id="150"/>
    </w:p>
    <w:p>
      <w:pPr>
        <w:pStyle w:val="5"/>
        <w:spacing w:before="156" w:after="156"/>
        <w:ind w:firstLine="560"/>
      </w:pPr>
      <w:r>
        <w:rPr>
          <w:rFonts w:hint="eastAsia"/>
        </w:rPr>
        <w:t>5</w:t>
      </w:r>
      <w:r>
        <w:t>.1.5.1</w:t>
      </w:r>
      <w:r>
        <w:rPr>
          <w:rFonts w:hint="eastAsia"/>
        </w:rPr>
        <w:t>指示作业标志</w:t>
      </w:r>
    </w:p>
    <w:p>
      <w:pPr>
        <w:spacing w:before="156" w:after="156"/>
        <w:ind w:firstLine="422"/>
        <w:rPr>
          <w:b/>
          <w:bCs/>
        </w:rPr>
      </w:pPr>
      <w:r>
        <w:rPr>
          <w:rFonts w:hint="eastAsia"/>
          <w:b/>
          <w:bCs/>
        </w:rPr>
        <w:t>(</w:t>
      </w:r>
      <w:r>
        <w:rPr>
          <w:b/>
          <w:bCs/>
        </w:rPr>
        <w:t>1)</w:t>
      </w:r>
      <w:r>
        <w:rPr>
          <w:rFonts w:hint="eastAsia"/>
          <w:b/>
          <w:bCs/>
        </w:rPr>
        <w:t>标志设置依据</w:t>
      </w:r>
    </w:p>
    <w:p>
      <w:pPr>
        <w:spacing w:before="156" w:after="156"/>
        <w:ind w:firstLine="420"/>
      </w:pPr>
      <w:r>
        <w:t>《安全标志及其使用导则》</w:t>
      </w:r>
      <w:r>
        <w:rPr>
          <w:rFonts w:hint="eastAsia"/>
        </w:rPr>
        <w:t>（</w:t>
      </w:r>
      <w:r>
        <w:t>GB</w:t>
      </w:r>
      <w:r>
        <w:rPr>
          <w:rFonts w:hint="eastAsia"/>
        </w:rPr>
        <w:t xml:space="preserve"> </w:t>
      </w:r>
      <w:r>
        <w:t>2894-2008</w:t>
      </w:r>
      <w:r>
        <w:rPr>
          <w:rFonts w:hint="eastAsia"/>
        </w:rPr>
        <w:t>）</w:t>
      </w:r>
      <w:r>
        <w:t>、《消防安全标志》</w:t>
      </w:r>
      <w:r>
        <w:rPr>
          <w:rFonts w:hint="eastAsia"/>
        </w:rPr>
        <w:t>（</w:t>
      </w:r>
      <w:r>
        <w:t>GB</w:t>
      </w:r>
      <w:r>
        <w:rPr>
          <w:rFonts w:hint="eastAsia"/>
        </w:rPr>
        <w:t xml:space="preserve"> </w:t>
      </w:r>
      <w:r>
        <w:t>13495</w:t>
      </w:r>
      <w:r>
        <w:rPr>
          <w:rFonts w:hint="eastAsia"/>
        </w:rPr>
        <w:t>）</w:t>
      </w:r>
      <w:r>
        <w:t>和《安全色》</w:t>
      </w:r>
      <w:r>
        <w:rPr>
          <w:rFonts w:hint="eastAsia"/>
        </w:rPr>
        <w:t>（</w:t>
      </w:r>
      <w:r>
        <w:t>GB</w:t>
      </w:r>
      <w:r>
        <w:rPr>
          <w:rFonts w:hint="eastAsia"/>
        </w:rPr>
        <w:t xml:space="preserve"> </w:t>
      </w:r>
      <w:r>
        <w:t>2893-2008</w:t>
      </w:r>
      <w:r>
        <w:rPr>
          <w:rFonts w:hint="eastAsia"/>
        </w:rPr>
        <w:t>）</w:t>
      </w:r>
      <w:r>
        <w:t>。</w:t>
      </w:r>
    </w:p>
    <w:p>
      <w:pPr>
        <w:spacing w:before="156" w:after="156"/>
        <w:ind w:firstLine="422"/>
        <w:rPr>
          <w:b/>
          <w:bCs/>
        </w:rPr>
      </w:pPr>
      <w:r>
        <w:rPr>
          <w:rFonts w:hint="eastAsia"/>
          <w:b/>
          <w:bCs/>
        </w:rPr>
        <w:t>(</w:t>
      </w:r>
      <w:r>
        <w:rPr>
          <w:b/>
          <w:bCs/>
        </w:rPr>
        <w:t>2)</w:t>
      </w:r>
      <w:r>
        <w:rPr>
          <w:rFonts w:hint="eastAsia"/>
          <w:b/>
          <w:bCs/>
        </w:rPr>
        <w:t>标志设置要求</w:t>
      </w:r>
    </w:p>
    <w:p>
      <w:pPr>
        <w:spacing w:before="156" w:after="156"/>
        <w:ind w:firstLine="420"/>
      </w:pPr>
      <w:r>
        <w:rPr>
          <w:rFonts w:hint="eastAsia"/>
        </w:rPr>
        <w:t>（1）</w:t>
      </w:r>
      <w:r>
        <w:t>各防雷防静电场所设置“必须接地”标志；</w:t>
      </w:r>
    </w:p>
    <w:p>
      <w:pPr>
        <w:spacing w:before="156" w:after="156"/>
        <w:ind w:firstLine="420"/>
      </w:pPr>
      <w:r>
        <w:rPr>
          <w:rFonts w:hint="eastAsia"/>
        </w:rPr>
        <w:t>（2）</w:t>
      </w:r>
      <w:r>
        <w:t>需标明各设备、管道物料流向的位置设置物料流向指向箭头标志。</w:t>
      </w:r>
    </w:p>
    <w:p>
      <w:pPr>
        <w:pStyle w:val="5"/>
        <w:spacing w:before="156" w:after="156"/>
        <w:ind w:firstLine="560"/>
      </w:pPr>
      <w:r>
        <w:rPr>
          <w:rFonts w:hint="eastAsia"/>
        </w:rPr>
        <w:t>5</w:t>
      </w:r>
      <w:r>
        <w:t>.1.5.2</w:t>
      </w:r>
      <w:r>
        <w:rPr>
          <w:rFonts w:hint="eastAsia"/>
        </w:rPr>
        <w:t>警示作业标志</w:t>
      </w:r>
    </w:p>
    <w:p>
      <w:pPr>
        <w:spacing w:before="156" w:after="156"/>
        <w:ind w:firstLine="422"/>
        <w:rPr>
          <w:b/>
          <w:bCs/>
        </w:rPr>
      </w:pPr>
      <w:r>
        <w:rPr>
          <w:rFonts w:hint="eastAsia"/>
          <w:b/>
          <w:bCs/>
        </w:rPr>
        <w:t>(</w:t>
      </w:r>
      <w:r>
        <w:rPr>
          <w:b/>
          <w:bCs/>
        </w:rPr>
        <w:t>1)</w:t>
      </w:r>
      <w:r>
        <w:rPr>
          <w:rFonts w:hint="eastAsia"/>
          <w:b/>
          <w:bCs/>
        </w:rPr>
        <w:t>标志设置要求</w:t>
      </w:r>
    </w:p>
    <w:p>
      <w:pPr>
        <w:spacing w:before="156" w:after="156"/>
        <w:ind w:firstLine="420"/>
      </w:pPr>
      <w:r>
        <w:rPr>
          <w:rFonts w:hint="eastAsia"/>
        </w:rPr>
        <w:t>（1）</w:t>
      </w:r>
      <w:r>
        <w:t>在有灼烫物体表面的场所设置“当心高温表面”“禁止触摸”标志；</w:t>
      </w:r>
    </w:p>
    <w:p>
      <w:pPr>
        <w:spacing w:before="156" w:after="156"/>
        <w:ind w:firstLine="420"/>
      </w:pPr>
      <w:r>
        <w:rPr>
          <w:rFonts w:hint="eastAsia"/>
        </w:rPr>
        <w:t>（2）</w:t>
      </w:r>
      <w:r>
        <w:t>在有可能发生触电危险的电器设备和线路，如：配电室、开关等处设置“当心触电”“禁止穿带钉”标志；</w:t>
      </w:r>
    </w:p>
    <w:p>
      <w:pPr>
        <w:spacing w:before="156" w:after="156"/>
        <w:ind w:firstLine="420"/>
      </w:pPr>
      <w:r>
        <w:rPr>
          <w:rFonts w:hint="eastAsia"/>
        </w:rPr>
        <w:t>（3）</w:t>
      </w:r>
      <w:r>
        <w:t>在整个生产过程中的受压容器或进料管等地点设置“当心爆炸”标志；</w:t>
      </w:r>
    </w:p>
    <w:p>
      <w:pPr>
        <w:spacing w:before="156" w:after="156"/>
        <w:ind w:firstLine="420"/>
      </w:pPr>
      <w:r>
        <w:rPr>
          <w:rFonts w:hint="eastAsia"/>
        </w:rPr>
        <w:t>（4）</w:t>
      </w:r>
      <w:r>
        <w:t>在整个生产过程中易发生火灾的场所地点设置“当心火灾”标志；</w:t>
      </w:r>
    </w:p>
    <w:p>
      <w:pPr>
        <w:spacing w:before="156" w:after="156"/>
        <w:ind w:firstLine="420"/>
      </w:pPr>
      <w:r>
        <w:rPr>
          <w:rFonts w:hint="eastAsia"/>
        </w:rPr>
        <w:t>（5）</w:t>
      </w:r>
      <w:r>
        <w:t>在易造成人员伤害的场所及设备等（装置各类设备、配电室）处设置“注意安全”标志；</w:t>
      </w:r>
    </w:p>
    <w:p>
      <w:pPr>
        <w:spacing w:before="156" w:after="156"/>
        <w:ind w:firstLine="420"/>
      </w:pPr>
      <w:r>
        <w:rPr>
          <w:rFonts w:hint="eastAsia"/>
        </w:rPr>
        <w:t>（6）</w:t>
      </w:r>
      <w:r>
        <w:t>在配电室输变电设备附近设置“禁止靠近”标志；</w:t>
      </w:r>
    </w:p>
    <w:p>
      <w:pPr>
        <w:spacing w:before="156" w:after="156"/>
        <w:ind w:firstLine="420"/>
      </w:pPr>
      <w:r>
        <w:rPr>
          <w:rFonts w:hint="eastAsia"/>
        </w:rPr>
        <w:t>（7）</w:t>
      </w:r>
      <w:r>
        <w:t>当设备在人员检修时，设备外部和其开停车阀处应设置“禁止合阀”“禁止启动”标志；</w:t>
      </w:r>
    </w:p>
    <w:p>
      <w:pPr>
        <w:spacing w:before="156" w:after="156"/>
        <w:ind w:firstLine="420"/>
      </w:pPr>
      <w:r>
        <w:rPr>
          <w:rFonts w:hint="eastAsia"/>
        </w:rPr>
        <w:t>（8）</w:t>
      </w:r>
      <w:r>
        <w:t>在装置出入口和内部，易发生火灾爆炸的设备、地点处设置“禁止烟火”“禁止带火种”“禁止吸烟”标志；</w:t>
      </w:r>
    </w:p>
    <w:p>
      <w:pPr>
        <w:spacing w:before="156" w:after="156"/>
        <w:ind w:firstLine="420"/>
      </w:pPr>
      <w:r>
        <w:rPr>
          <w:rFonts w:hint="eastAsia"/>
        </w:rPr>
        <w:t>（9）</w:t>
      </w:r>
      <w:r>
        <w:t>在高温设备、管道附近（如塔、换热器）设置“禁止放置易燃物”标志；</w:t>
      </w:r>
    </w:p>
    <w:p>
      <w:pPr>
        <w:spacing w:before="156" w:after="156"/>
        <w:ind w:firstLine="420"/>
      </w:pPr>
      <w:r>
        <w:rPr>
          <w:rFonts w:hint="eastAsia"/>
        </w:rPr>
        <w:t>（10）</w:t>
      </w:r>
      <w:r>
        <w:t>在消防器材存放处，消防通道及车间主通道等地点设置“禁止堆放”标志；</w:t>
      </w:r>
    </w:p>
    <w:p>
      <w:pPr>
        <w:spacing w:before="156" w:after="156"/>
        <w:ind w:firstLine="420"/>
      </w:pPr>
      <w:r>
        <w:rPr>
          <w:rFonts w:hint="eastAsia"/>
        </w:rPr>
        <w:t>（11）</w:t>
      </w:r>
      <w:r>
        <w:t>在静电、雷电和电磁波有可能导致火灾爆炸的设备、管道旁设置“禁止穿化纤服装”“禁止开启无线移动通讯设备”标志；</w:t>
      </w:r>
    </w:p>
    <w:p>
      <w:pPr>
        <w:spacing w:before="156" w:after="156"/>
        <w:ind w:firstLine="420"/>
      </w:pPr>
      <w:r>
        <w:rPr>
          <w:rFonts w:hint="eastAsia"/>
        </w:rPr>
        <w:t>（1</w:t>
      </w:r>
      <w:r>
        <w:t>2</w:t>
      </w:r>
      <w:r>
        <w:rPr>
          <w:rFonts w:hint="eastAsia"/>
        </w:rPr>
        <w:t>）</w:t>
      </w:r>
      <w:r>
        <w:t>在夜晚装置紧急停电时，须在安全逃生通道设置有应急指示照明灯和标志。</w:t>
      </w:r>
    </w:p>
    <w:p>
      <w:pPr>
        <w:pStyle w:val="5"/>
        <w:spacing w:before="156" w:after="156"/>
        <w:ind w:firstLine="560"/>
      </w:pPr>
      <w:r>
        <w:rPr>
          <w:rFonts w:hint="eastAsia"/>
        </w:rPr>
        <w:t>5</w:t>
      </w:r>
      <w:r>
        <w:t>.1.5.3</w:t>
      </w:r>
      <w:r>
        <w:rPr>
          <w:rFonts w:hint="eastAsia"/>
        </w:rPr>
        <w:t>逃生避难标志</w:t>
      </w:r>
    </w:p>
    <w:p>
      <w:pPr>
        <w:spacing w:before="156" w:after="156"/>
        <w:ind w:firstLine="422"/>
        <w:rPr>
          <w:b/>
          <w:bCs/>
        </w:rPr>
      </w:pPr>
      <w:r>
        <w:rPr>
          <w:rFonts w:hint="eastAsia"/>
          <w:b/>
          <w:bCs/>
        </w:rPr>
        <w:t>标志设置要求</w:t>
      </w:r>
    </w:p>
    <w:p>
      <w:pPr>
        <w:spacing w:before="156" w:after="156"/>
        <w:ind w:firstLine="420"/>
      </w:pPr>
      <w:r>
        <w:rPr>
          <w:rFonts w:hint="eastAsia"/>
        </w:rPr>
        <w:t>（</w:t>
      </w:r>
      <w:r>
        <w:t>1</w:t>
      </w:r>
      <w:r>
        <w:rPr>
          <w:rFonts w:hint="eastAsia"/>
        </w:rPr>
        <w:t>）</w:t>
      </w:r>
      <w:r>
        <w:t>在装置外安全距离的空旷区域、躲避危险的地点设置“避险处”“紧急避难场所”标志；</w:t>
      </w:r>
    </w:p>
    <w:p>
      <w:pPr>
        <w:spacing w:before="156" w:after="156"/>
        <w:ind w:firstLine="420"/>
      </w:pPr>
      <w:r>
        <w:rPr>
          <w:rFonts w:hint="eastAsia"/>
        </w:rPr>
        <w:t>（2）</w:t>
      </w:r>
      <w:r>
        <w:t>在便于安全疏散的紧急出口处，与方向箭头结合设在通向紧急出口的通道、楼梯口等处设置“紧急出口”标志且与“疏散通道方向”标志连用；</w:t>
      </w:r>
    </w:p>
    <w:p>
      <w:pPr>
        <w:spacing w:before="156" w:after="156"/>
        <w:ind w:firstLine="420"/>
      </w:pPr>
      <w:r>
        <w:rPr>
          <w:rFonts w:hint="eastAsia"/>
        </w:rPr>
        <w:t>（3）</w:t>
      </w:r>
      <w:r>
        <w:t>逃生避难场所的位置根据蒸汽爆炸蒸汽云范围外设置。</w:t>
      </w:r>
    </w:p>
    <w:p>
      <w:pPr>
        <w:pStyle w:val="5"/>
        <w:spacing w:before="156" w:after="156"/>
        <w:ind w:firstLine="560"/>
      </w:pPr>
      <w:r>
        <w:rPr>
          <w:rFonts w:hint="eastAsia"/>
        </w:rPr>
        <w:t>5</w:t>
      </w:r>
      <w:r>
        <w:t>.1.5.4</w:t>
      </w:r>
      <w:r>
        <w:rPr>
          <w:rFonts w:hint="eastAsia"/>
        </w:rPr>
        <w:t>风向标志</w:t>
      </w:r>
    </w:p>
    <w:p>
      <w:pPr>
        <w:spacing w:before="156" w:after="156"/>
        <w:ind w:firstLine="422"/>
        <w:rPr>
          <w:b/>
          <w:bCs/>
        </w:rPr>
      </w:pPr>
      <w:r>
        <w:rPr>
          <w:rFonts w:hint="eastAsia"/>
          <w:b/>
          <w:bCs/>
        </w:rPr>
        <w:t>(</w:t>
      </w:r>
      <w:r>
        <w:rPr>
          <w:b/>
          <w:bCs/>
        </w:rPr>
        <w:t>1)</w:t>
      </w:r>
      <w:r>
        <w:rPr>
          <w:rFonts w:hint="eastAsia"/>
          <w:b/>
          <w:bCs/>
        </w:rPr>
        <w:t>标志设置原因</w:t>
      </w:r>
    </w:p>
    <w:p>
      <w:pPr>
        <w:spacing w:before="156" w:after="156"/>
        <w:ind w:firstLine="420"/>
      </w:pPr>
      <w:r>
        <w:t>风向标志作用指导人员疏散方向、帮助进行危险区域隔离。</w:t>
      </w:r>
    </w:p>
    <w:p>
      <w:pPr>
        <w:spacing w:before="156" w:after="156"/>
        <w:ind w:firstLine="422"/>
        <w:rPr>
          <w:b/>
          <w:bCs/>
        </w:rPr>
      </w:pPr>
      <w:r>
        <w:rPr>
          <w:rFonts w:hint="eastAsia"/>
          <w:b/>
          <w:bCs/>
        </w:rPr>
        <w:t>(</w:t>
      </w:r>
      <w:r>
        <w:rPr>
          <w:b/>
          <w:bCs/>
        </w:rPr>
        <w:t>2)</w:t>
      </w:r>
      <w:r>
        <w:rPr>
          <w:rFonts w:hint="eastAsia"/>
          <w:b/>
          <w:bCs/>
        </w:rPr>
        <w:t>标志设置位置</w:t>
      </w:r>
    </w:p>
    <w:p>
      <w:pPr>
        <w:spacing w:before="156" w:after="156"/>
        <w:ind w:firstLine="420"/>
      </w:pPr>
      <w:r>
        <w:t>设备高而明显的位置（四塔塔顶）</w:t>
      </w:r>
      <w:r>
        <w:rPr>
          <w:rFonts w:hint="eastAsia"/>
        </w:rPr>
        <w:t>。</w:t>
      </w:r>
    </w:p>
    <w:p>
      <w:pPr>
        <w:pStyle w:val="5"/>
        <w:spacing w:before="156" w:after="156"/>
        <w:ind w:firstLine="560"/>
      </w:pPr>
      <w:r>
        <w:rPr>
          <w:rFonts w:hint="eastAsia"/>
        </w:rPr>
        <w:t>5</w:t>
      </w:r>
      <w:r>
        <w:t>.1.5.5</w:t>
      </w:r>
      <w:r>
        <w:rPr>
          <w:rFonts w:hint="eastAsia"/>
        </w:rPr>
        <w:t>消防安全标志</w:t>
      </w:r>
    </w:p>
    <w:p>
      <w:pPr>
        <w:spacing w:before="156" w:after="156"/>
        <w:ind w:firstLine="422"/>
        <w:rPr>
          <w:b/>
          <w:bCs/>
        </w:rPr>
      </w:pPr>
      <w:r>
        <w:rPr>
          <w:rFonts w:hint="eastAsia"/>
          <w:b/>
          <w:bCs/>
        </w:rPr>
        <w:t>标志设置要求</w:t>
      </w:r>
    </w:p>
    <w:p>
      <w:pPr>
        <w:spacing w:before="156" w:after="156"/>
        <w:ind w:firstLine="420"/>
      </w:pPr>
      <w:r>
        <w:rPr>
          <w:rFonts w:hint="eastAsia"/>
        </w:rPr>
        <w:t>（1）</w:t>
      </w:r>
      <w:r>
        <w:t>在装置内各设备或易发生火灾危险的地点设置灭火设备和报警装置方向指向消防设施放置位置；</w:t>
      </w:r>
    </w:p>
    <w:p>
      <w:pPr>
        <w:spacing w:before="156" w:after="156"/>
        <w:ind w:firstLine="420"/>
      </w:pPr>
      <w:r>
        <w:rPr>
          <w:rFonts w:hint="eastAsia"/>
        </w:rPr>
        <w:t>（2）</w:t>
      </w:r>
      <w:r>
        <w:t>在各类灭火设施及消防设施的放置位置设置“灭火设备”“消防手动启动器”“灭火器”“消防水带”等标志；</w:t>
      </w:r>
    </w:p>
    <w:p>
      <w:pPr>
        <w:spacing w:before="156" w:after="156"/>
        <w:ind w:firstLine="420"/>
      </w:pPr>
      <w:r>
        <w:rPr>
          <w:rFonts w:hint="eastAsia"/>
        </w:rPr>
        <w:t>（3）</w:t>
      </w:r>
      <w:r>
        <w:t>在装置内，控制室内和警报器位置处设置“火灾电话”“发声警报器”标志。</w:t>
      </w:r>
    </w:p>
    <w:p>
      <w:pPr>
        <w:pStyle w:val="3"/>
        <w:spacing w:before="156" w:after="156"/>
        <w:ind w:firstLine="562"/>
      </w:pPr>
      <w:bookmarkStart w:id="151" w:name="_Toc108206530"/>
      <w:bookmarkStart w:id="152" w:name="_Toc141203939"/>
      <w:r>
        <w:rPr>
          <w:rFonts w:hint="eastAsia"/>
        </w:rPr>
        <w:t>5</w:t>
      </w:r>
      <w:r>
        <w:t>.2</w:t>
      </w:r>
      <w:r>
        <w:rPr>
          <w:rFonts w:hint="eastAsia"/>
        </w:rPr>
        <w:t>控制事故安全设备</w:t>
      </w:r>
      <w:bookmarkEnd w:id="151"/>
      <w:bookmarkEnd w:id="152"/>
    </w:p>
    <w:p>
      <w:pPr>
        <w:pStyle w:val="4"/>
        <w:spacing w:before="156" w:after="156"/>
        <w:ind w:firstLine="482"/>
      </w:pPr>
      <w:bookmarkStart w:id="153" w:name="_Toc141203940"/>
      <w:bookmarkStart w:id="154" w:name="_Toc108206531"/>
      <w:r>
        <w:rPr>
          <w:rFonts w:hint="eastAsia"/>
        </w:rPr>
        <w:t>5</w:t>
      </w:r>
      <w:r>
        <w:t>.2.1</w:t>
      </w:r>
      <w:r>
        <w:rPr>
          <w:rFonts w:hint="eastAsia"/>
        </w:rPr>
        <w:t>泄压和止逆设施</w:t>
      </w:r>
      <w:bookmarkEnd w:id="153"/>
      <w:bookmarkEnd w:id="154"/>
    </w:p>
    <w:p>
      <w:pPr>
        <w:pStyle w:val="5"/>
        <w:spacing w:before="156" w:after="156"/>
        <w:ind w:firstLine="560"/>
      </w:pPr>
      <w:r>
        <w:rPr>
          <w:rFonts w:hint="eastAsia"/>
        </w:rPr>
        <w:t>5</w:t>
      </w:r>
      <w:r>
        <w:t>.2.1.1</w:t>
      </w:r>
      <w:r>
        <w:rPr>
          <w:rFonts w:hint="eastAsia"/>
        </w:rPr>
        <w:t>安全阀</w:t>
      </w:r>
    </w:p>
    <w:p>
      <w:pPr>
        <w:spacing w:before="156" w:after="156"/>
        <w:ind w:firstLine="422"/>
        <w:rPr>
          <w:b/>
          <w:bCs/>
        </w:rPr>
      </w:pPr>
      <w:r>
        <w:rPr>
          <w:rFonts w:hint="eastAsia"/>
          <w:b/>
          <w:bCs/>
        </w:rPr>
        <w:t>(</w:t>
      </w:r>
      <w:r>
        <w:rPr>
          <w:b/>
          <w:bCs/>
        </w:rPr>
        <w:t>1)</w:t>
      </w:r>
      <w:r>
        <w:rPr>
          <w:rFonts w:hint="eastAsia"/>
          <w:b/>
          <w:bCs/>
        </w:rPr>
        <w:t>设施设置根据</w:t>
      </w:r>
    </w:p>
    <w:p>
      <w:pPr>
        <w:spacing w:before="156" w:after="156"/>
        <w:ind w:firstLine="420"/>
      </w:pPr>
      <w:r>
        <w:t>《石油化工企业设计防火规范》第5.5.1条：在不正常条件下，可能超压的设备应设安全阀；第4.4.4条：甲、乙、丙类设备的安全阀出口的连接，应符合相应规定；第5.2.18条：甲B、乙类液体的固定顶罐，应设阻火器和呼吸阀；第5.3.2条：液化烃的储罐，应设安全阀；第5.7.6条：在可燃气体往复式压缩机的各段出口上，应设安全阀。</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各个机泵的出口、各罐体的顶部、</w:t>
      </w:r>
      <w:r>
        <w:rPr>
          <w:rFonts w:hint="eastAsia"/>
        </w:rPr>
        <w:t>反应精馏</w:t>
      </w:r>
      <w:r>
        <w:t>塔、</w:t>
      </w:r>
      <w:r>
        <w:rPr>
          <w:rFonts w:hint="eastAsia"/>
        </w:rPr>
        <w:t>分壁</w:t>
      </w:r>
      <w:r>
        <w:t>萃取精馏塔的顶部和各加热器和再沸器的出口。</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连结两个设备的管道，在靠近设备的地方安装；</w:t>
      </w:r>
    </w:p>
    <w:p>
      <w:pPr>
        <w:spacing w:before="156" w:after="156"/>
        <w:ind w:firstLine="420"/>
      </w:pPr>
      <w:r>
        <w:rPr>
          <w:rFonts w:hint="eastAsia"/>
        </w:rPr>
        <w:t>（2）</w:t>
      </w:r>
      <w:r>
        <w:t>安全阀的开启压力应低于设备的设计压力；</w:t>
      </w:r>
    </w:p>
    <w:p>
      <w:pPr>
        <w:spacing w:before="156" w:after="156"/>
        <w:ind w:firstLine="420"/>
      </w:pPr>
      <w:r>
        <w:rPr>
          <w:rFonts w:hint="eastAsia"/>
        </w:rPr>
        <w:t>（3）</w:t>
      </w:r>
      <w:r>
        <w:t>安全阀不能安装在水平管道的死端；</w:t>
      </w:r>
    </w:p>
    <w:p>
      <w:pPr>
        <w:spacing w:before="156" w:after="156"/>
        <w:ind w:firstLine="420"/>
      </w:pPr>
      <w:r>
        <w:rPr>
          <w:rFonts w:hint="eastAsia"/>
        </w:rPr>
        <w:t>（4）</w:t>
      </w:r>
      <w:r>
        <w:t>应安装在易于检修的位置；</w:t>
      </w:r>
    </w:p>
    <w:p>
      <w:pPr>
        <w:spacing w:before="156" w:after="156"/>
        <w:ind w:firstLine="420"/>
      </w:pPr>
      <w:r>
        <w:rPr>
          <w:rFonts w:hint="eastAsia"/>
        </w:rPr>
        <w:t>（5）</w:t>
      </w:r>
      <w:r>
        <w:t>一般应垂直安装，换热器上的安全阀可以水平安装；</w:t>
      </w:r>
    </w:p>
    <w:p>
      <w:pPr>
        <w:spacing w:before="156" w:after="156"/>
        <w:ind w:firstLine="420"/>
      </w:pPr>
      <w:r>
        <w:rPr>
          <w:rFonts w:hint="eastAsia"/>
        </w:rPr>
        <w:t>（6）</w:t>
      </w:r>
      <w:r>
        <w:t>塔体上安装的安全阀出口泄放管，应接至</w:t>
      </w:r>
      <w:r>
        <w:rPr>
          <w:rFonts w:hint="eastAsia"/>
        </w:rPr>
        <w:t>废气</w:t>
      </w:r>
      <w:r>
        <w:t>系统。</w:t>
      </w:r>
    </w:p>
    <w:p>
      <w:pPr>
        <w:pStyle w:val="5"/>
        <w:spacing w:before="156" w:after="156"/>
        <w:ind w:firstLine="560"/>
      </w:pPr>
      <w:r>
        <w:rPr>
          <w:rFonts w:hint="eastAsia"/>
        </w:rPr>
        <w:t>5</w:t>
      </w:r>
      <w:r>
        <w:t>.2.1.2</w:t>
      </w:r>
      <w:r>
        <w:rPr>
          <w:rFonts w:hint="eastAsia"/>
        </w:rPr>
        <w:t>爆破片</w:t>
      </w:r>
    </w:p>
    <w:p>
      <w:pPr>
        <w:spacing w:before="156" w:after="156"/>
        <w:ind w:firstLine="422"/>
        <w:rPr>
          <w:b/>
          <w:bCs/>
        </w:rPr>
      </w:pPr>
      <w:r>
        <w:rPr>
          <w:rFonts w:hint="eastAsia"/>
          <w:b/>
          <w:bCs/>
        </w:rPr>
        <w:t>(</w:t>
      </w:r>
      <w:r>
        <w:rPr>
          <w:b/>
          <w:bCs/>
        </w:rPr>
        <w:t>1)</w:t>
      </w:r>
      <w:r>
        <w:rPr>
          <w:rFonts w:hint="eastAsia"/>
          <w:b/>
          <w:bCs/>
        </w:rPr>
        <w:t>设施设置根据</w:t>
      </w:r>
    </w:p>
    <w:p>
      <w:pPr>
        <w:spacing w:before="156" w:after="156"/>
        <w:ind w:firstLine="420"/>
      </w:pPr>
      <w:r>
        <w:t>《石油化工企业设计防火规范》第5.5.5条：有可能被物料堵塞或腐蚀的安全阀，应在其入口前设爆破片或在其出入口管道上采取吹扫、加热或保温等防堵措施；第5.5.12条：有突然超压或发生瞬时分解爆炸危险物料的反应设备，在安全阀不能满足要求时，应装爆破片或爆破片和导爆管，导爆管口必须朝向无火源的安全方向；必要时应采取防止二次爆炸、火灾的措施。</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为</w:t>
      </w:r>
      <w:r>
        <w:rPr>
          <w:rFonts w:hint="eastAsia"/>
        </w:rPr>
        <w:t>反应精馏塔</w:t>
      </w:r>
      <w:r>
        <w:t>再沸器输送热源的蒸汽管道上。</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爆破片的入口管道应短而直，管径不小于爆破片的公称直径；</w:t>
      </w:r>
    </w:p>
    <w:p>
      <w:pPr>
        <w:spacing w:before="156" w:after="156"/>
        <w:ind w:firstLine="420"/>
      </w:pPr>
      <w:r>
        <w:rPr>
          <w:rFonts w:hint="eastAsia"/>
        </w:rPr>
        <w:t>（2）</w:t>
      </w:r>
      <w:r>
        <w:t>爆破片的出口管道应泄向安全场所或密闭回收系统，并且出口管道应有足够的支撑；</w:t>
      </w:r>
    </w:p>
    <w:p>
      <w:pPr>
        <w:spacing w:before="156" w:after="156"/>
        <w:ind w:firstLine="420"/>
      </w:pPr>
      <w:r>
        <w:rPr>
          <w:rFonts w:hint="eastAsia"/>
        </w:rPr>
        <w:t>（3）</w:t>
      </w:r>
      <w:r>
        <w:t>爆破片并联在安全阀的入口侧，在爆破片和安全阀之间设置压力表和放气阀；</w:t>
      </w:r>
    </w:p>
    <w:p>
      <w:pPr>
        <w:spacing w:before="156" w:after="156"/>
        <w:ind w:firstLine="420"/>
      </w:pPr>
      <w:r>
        <w:rPr>
          <w:rFonts w:hint="eastAsia"/>
        </w:rPr>
        <w:t>（4）</w:t>
      </w:r>
      <w:r>
        <w:t>在爆破片和安全阀之间必需接出一个旁通管路，作用是检验爆破片是否已失效。</w:t>
      </w:r>
    </w:p>
    <w:p>
      <w:pPr>
        <w:pStyle w:val="5"/>
        <w:spacing w:before="156" w:after="156"/>
        <w:ind w:firstLine="560"/>
      </w:pPr>
      <w:r>
        <w:rPr>
          <w:rFonts w:hint="eastAsia"/>
        </w:rPr>
        <w:t>5</w:t>
      </w:r>
      <w:r>
        <w:t>.2.1.3</w:t>
      </w:r>
      <w:r>
        <w:rPr>
          <w:rFonts w:hint="eastAsia"/>
        </w:rPr>
        <w:t>放空管</w:t>
      </w:r>
    </w:p>
    <w:p>
      <w:pPr>
        <w:spacing w:before="156" w:after="156"/>
        <w:ind w:firstLine="422"/>
        <w:rPr>
          <w:b/>
          <w:bCs/>
        </w:rPr>
      </w:pPr>
      <w:r>
        <w:rPr>
          <w:rFonts w:hint="eastAsia"/>
          <w:b/>
          <w:bCs/>
        </w:rPr>
        <w:t>(</w:t>
      </w:r>
      <w:r>
        <w:rPr>
          <w:b/>
          <w:bCs/>
        </w:rPr>
        <w:t>1)</w:t>
      </w:r>
      <w:r>
        <w:rPr>
          <w:rFonts w:hint="eastAsia"/>
          <w:b/>
          <w:bCs/>
        </w:rPr>
        <w:t>设施设置根据</w:t>
      </w:r>
    </w:p>
    <w:p>
      <w:pPr>
        <w:spacing w:before="156" w:after="156"/>
        <w:ind w:firstLine="420"/>
      </w:pPr>
      <w:r>
        <w:t>《石油化工企业设计防火规范》第4.4.9条：可燃气体排气筒、放空管的高度，应符合下列规定；间歇排放的可燃气体排气筒顶或放空管口，应高于10m范围内的平台或建筑物顶3.5m以上，位于10m以外的平台或建筑物顶。</w:t>
      </w:r>
      <w:r>
        <w:rPr>
          <w:rFonts w:hint="eastAsia"/>
        </w:rPr>
        <w:t>《</w:t>
      </w:r>
      <w:r>
        <w:t>防火防爆安全装置</w:t>
      </w:r>
      <w:r>
        <w:rPr>
          <w:rFonts w:hint="eastAsia"/>
        </w:rPr>
        <w:t>》</w:t>
      </w:r>
      <w:r>
        <w:t>在因反应物料爆聚、分解造成超温、超压，可能引起火灾爆炸事故的反应器、反应塔及高压容器上都应安装放空管。</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各个机泵的出口、各罐体的顶部、双效精馏塔</w:t>
      </w:r>
      <w:r>
        <w:rPr>
          <w:rFonts w:hint="eastAsia"/>
        </w:rPr>
        <w:t>、</w:t>
      </w:r>
      <w:r>
        <w:t>热泵精馏塔的顶部、各加热器和再沸器的出口</w:t>
      </w:r>
      <w:r>
        <w:rPr>
          <w:rFonts w:hint="eastAsia"/>
        </w:rPr>
        <w:t>。</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放空管应连接至</w:t>
      </w:r>
      <w:r>
        <w:rPr>
          <w:rFonts w:hint="eastAsia"/>
        </w:rPr>
        <w:t>废气</w:t>
      </w:r>
      <w:r>
        <w:t>系统，不能就地排放，且在接入前，应设置阻火器；</w:t>
      </w:r>
    </w:p>
    <w:p>
      <w:pPr>
        <w:spacing w:before="156" w:after="156"/>
        <w:ind w:firstLine="420"/>
      </w:pPr>
      <w:r>
        <w:rPr>
          <w:rFonts w:hint="eastAsia"/>
        </w:rPr>
        <w:t>（2）</w:t>
      </w:r>
      <w:r>
        <w:t>塔顶和罐顶的放空管管口应高于10米范围内的平台或建筑物3.5米以上；</w:t>
      </w:r>
    </w:p>
    <w:p>
      <w:pPr>
        <w:spacing w:before="156" w:after="156"/>
        <w:ind w:firstLine="420"/>
      </w:pPr>
      <w:r>
        <w:rPr>
          <w:rFonts w:hint="eastAsia"/>
        </w:rPr>
        <w:t>（3）</w:t>
      </w:r>
      <w:r>
        <w:t>放空管口应处在防雷保护范围内；</w:t>
      </w:r>
    </w:p>
    <w:p>
      <w:pPr>
        <w:spacing w:before="156" w:after="156"/>
        <w:ind w:firstLine="420"/>
      </w:pPr>
      <w:r>
        <w:rPr>
          <w:rFonts w:hint="eastAsia"/>
        </w:rPr>
        <w:t>（4）</w:t>
      </w:r>
      <w:r>
        <w:t>为防止因静电放电引起事故，放空管应有良好的接地。</w:t>
      </w:r>
    </w:p>
    <w:p>
      <w:pPr>
        <w:pStyle w:val="5"/>
        <w:spacing w:before="156" w:after="156"/>
        <w:ind w:firstLine="560"/>
      </w:pPr>
      <w:r>
        <w:rPr>
          <w:rFonts w:hint="eastAsia"/>
        </w:rPr>
        <w:t>5</w:t>
      </w:r>
      <w:r>
        <w:t>.2.1.4</w:t>
      </w:r>
      <w:r>
        <w:rPr>
          <w:rFonts w:hint="eastAsia"/>
        </w:rPr>
        <w:t>止逆阀</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油化工企业设计防火规范》第4.3.9条：可燃气体压缩机、离心式可燃液体泵在停电、停汽或操作不正常情况下，介质倒流可能造成事故时，应在其出口管道上安装止回阀。和《防火防爆安全装置》中止逆阀的安装场合：低压系统和高压系统的连接处；通往燃烧室的可燃气体管线上；在水、水蒸气、气等辅助管线与可燃气体、易燃液体管线相连接的管线上，如果生产过程是连续的，为防止在异常情况下倒流，应在辅助管线上安装单向阀；在气体压缩机、油泵和停电时不能倒流的泵出口处。</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在泵的出口管道上、在连接至罐、塔、换热器的管道靠近设备处和产品连接至罐区的管道上。</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放置管道时应注意使止逆阀的通过方向与流体流向一致；</w:t>
      </w:r>
    </w:p>
    <w:p>
      <w:pPr>
        <w:spacing w:before="156" w:after="156"/>
        <w:ind w:firstLine="420"/>
      </w:pPr>
      <w:r>
        <w:rPr>
          <w:rFonts w:hint="eastAsia"/>
        </w:rPr>
        <w:t>（2）</w:t>
      </w:r>
      <w:r>
        <w:t>垂直管路上安装直通式升级止逆阀，水平管路上选用立式升降止逆阀。</w:t>
      </w:r>
    </w:p>
    <w:p>
      <w:pPr>
        <w:pStyle w:val="4"/>
        <w:spacing w:before="156" w:after="156"/>
        <w:ind w:firstLine="482"/>
      </w:pPr>
      <w:bookmarkStart w:id="155" w:name="_Toc141203941"/>
      <w:bookmarkStart w:id="156" w:name="_Toc108206532"/>
      <w:r>
        <w:rPr>
          <w:rFonts w:hint="eastAsia"/>
        </w:rPr>
        <w:t>5</w:t>
      </w:r>
      <w:r>
        <w:t>.2.2</w:t>
      </w:r>
      <w:r>
        <w:rPr>
          <w:rFonts w:hint="eastAsia"/>
        </w:rPr>
        <w:t>紧急处理设施</w:t>
      </w:r>
      <w:bookmarkEnd w:id="155"/>
      <w:bookmarkEnd w:id="156"/>
    </w:p>
    <w:p>
      <w:pPr>
        <w:pStyle w:val="5"/>
        <w:spacing w:before="156" w:after="156"/>
        <w:ind w:firstLine="560"/>
      </w:pPr>
      <w:r>
        <w:rPr>
          <w:rFonts w:hint="eastAsia"/>
        </w:rPr>
        <w:t>5</w:t>
      </w:r>
      <w:r>
        <w:t>.2.2.1</w:t>
      </w:r>
      <w:r>
        <w:rPr>
          <w:rFonts w:hint="eastAsia"/>
        </w:rPr>
        <w:t>紧急备用电源</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rPr>
          <w:rFonts w:hint="eastAsia"/>
        </w:rPr>
        <w:t>（1）</w:t>
      </w:r>
      <w:r>
        <w:t>《紧急停车系统在化工生产中的作用》：为了防止全面紧急停车的发生，一般的化工厂均有备用电源，当第一电源断电时，第二电源应立即供电；</w:t>
      </w:r>
    </w:p>
    <w:p>
      <w:pPr>
        <w:spacing w:before="156" w:after="156"/>
        <w:ind w:firstLine="420"/>
      </w:pPr>
      <w:r>
        <w:rPr>
          <w:rFonts w:hint="eastAsia"/>
        </w:rPr>
        <w:t>（2）</w:t>
      </w:r>
      <w:r>
        <w:t>《建筑防火设计规范》11.1.1：建筑物、储罐（区）、堆场的消防用电设备，其电源应符合下列规定；除粮食仓库及粮食筒仓工作塔外，建筑高度大于50.0m的乙、丙类厂房和丙类仓库的消防用电应按一级负荷供电</w:t>
      </w:r>
      <w:r>
        <w:rPr>
          <w:rFonts w:hint="eastAsia"/>
        </w:rPr>
        <w:t>；</w:t>
      </w:r>
      <w:r>
        <w:t>11.1.2：一级负荷供电的建筑，当采用自备发电设备作备用电源时，自备发电设备应设置自动和手动启动装置，且自动启动方式应能在30s内供电。</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自备发电室</w:t>
      </w:r>
      <w:r>
        <w:rPr>
          <w:rFonts w:hint="eastAsia"/>
        </w:rPr>
        <w:t>。</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紧急备用电源跟主电源之间不能有联系，要单独构成一条完整的回路；</w:t>
      </w:r>
    </w:p>
    <w:p>
      <w:pPr>
        <w:spacing w:before="156" w:after="156"/>
        <w:ind w:firstLine="420"/>
      </w:pPr>
      <w:r>
        <w:rPr>
          <w:rFonts w:hint="eastAsia"/>
        </w:rPr>
        <w:t>（2）</w:t>
      </w:r>
      <w:r>
        <w:t>紧急备用电源应能供应重要设施（不允许停车的设备）的电能需求，在第一电源断电的情况下保证操作系统仪表、重要机泵（消防水池泵和事故泵）、安全出口指示灯以及应急照明等设施的供电；</w:t>
      </w:r>
    </w:p>
    <w:p>
      <w:pPr>
        <w:spacing w:before="156" w:after="156"/>
        <w:ind w:firstLine="420"/>
      </w:pPr>
      <w:r>
        <w:rPr>
          <w:rFonts w:hint="eastAsia"/>
        </w:rPr>
        <w:t>（3）</w:t>
      </w:r>
      <w:r>
        <w:t>备用电源的功率要不少于130k</w:t>
      </w:r>
      <w:r>
        <w:rPr>
          <w:rFonts w:hint="eastAsia"/>
        </w:rPr>
        <w:t>W</w:t>
      </w:r>
      <w:r>
        <w:t>。</w:t>
      </w:r>
    </w:p>
    <w:p>
      <w:pPr>
        <w:pStyle w:val="5"/>
        <w:spacing w:before="156" w:after="156"/>
        <w:ind w:firstLine="560"/>
      </w:pPr>
      <w:r>
        <w:rPr>
          <w:rFonts w:hint="eastAsia"/>
        </w:rPr>
        <w:t>5</w:t>
      </w:r>
      <w:r>
        <w:t>.2.2.2</w:t>
      </w:r>
      <w:r>
        <w:rPr>
          <w:rFonts w:hint="eastAsia"/>
        </w:rPr>
        <w:t>紧急切断阀</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rPr>
          <w:rFonts w:hint="eastAsia"/>
        </w:rPr>
        <w:t>（1）</w:t>
      </w:r>
      <w:r>
        <w:t>《石油化工企业设计防火规范》第5.5.13条：因物料爆聚、分解造成超温、超压，可能引起火灾、爆炸的反应设备，应设报警信号和泄压排放设施，以及自动或手动遥控的紧急切断进料设施</w:t>
      </w:r>
      <w:r>
        <w:rPr>
          <w:rFonts w:hint="eastAsia"/>
        </w:rPr>
        <w:t>。</w:t>
      </w:r>
    </w:p>
    <w:p>
      <w:pPr>
        <w:spacing w:before="156" w:after="156"/>
        <w:ind w:firstLine="420"/>
      </w:pPr>
      <w:r>
        <w:rPr>
          <w:rFonts w:hint="eastAsia"/>
        </w:rPr>
        <w:t>（2）</w:t>
      </w:r>
      <w:r>
        <w:t>《防火防爆安全装置》：在易燃液体、气体生产系统中，当管道折损、阀门破裂、运行中操作错误或发生火灾事故时，为防止可燃气体、易燃液体大量泄漏，在容器的气相管和液相管的出口处应设置紧急切断阀</w:t>
      </w:r>
      <w:r>
        <w:rPr>
          <w:rFonts w:hint="eastAsia"/>
        </w:rPr>
        <w:t>。</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输料管道起点处、每个储罐、塔、机泵的出口管道上、产品输出管道的前端和蒸汽输入管道的前端</w:t>
      </w:r>
      <w:r>
        <w:rPr>
          <w:rFonts w:hint="eastAsia"/>
        </w:rPr>
        <w:t>。</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进料罐、</w:t>
      </w:r>
      <w:r>
        <w:rPr>
          <w:rFonts w:hint="eastAsia"/>
        </w:rPr>
        <w:t>反应精馏塔、精馏</w:t>
      </w:r>
      <w:r>
        <w:t>塔</w:t>
      </w:r>
      <w:r>
        <w:rPr>
          <w:rFonts w:hint="eastAsia"/>
        </w:rPr>
        <w:t>、</w:t>
      </w:r>
      <w:r>
        <w:t>加热器的出口管道上应均设置一个自动远程遥控的紧急切断阀和手动操作切断阀，自动远程切断应连接至气体泄漏监测仪器和极限压力以及极限温度安全控制器；</w:t>
      </w:r>
    </w:p>
    <w:p>
      <w:pPr>
        <w:spacing w:before="156" w:after="156"/>
        <w:ind w:firstLine="420"/>
      </w:pPr>
      <w:r>
        <w:rPr>
          <w:rFonts w:hint="eastAsia"/>
        </w:rPr>
        <w:t>（2）</w:t>
      </w:r>
      <w:r>
        <w:t>紧急切断阀应设置在所有阀门的上游，也就是物料来的方向。</w:t>
      </w:r>
    </w:p>
    <w:p>
      <w:pPr>
        <w:pStyle w:val="5"/>
        <w:spacing w:before="156" w:after="156"/>
        <w:ind w:firstLine="560"/>
      </w:pPr>
      <w:r>
        <w:rPr>
          <w:rFonts w:hint="eastAsia"/>
        </w:rPr>
        <w:t>5</w:t>
      </w:r>
      <w:r>
        <w:t>.2.2.3</w:t>
      </w:r>
      <w:r>
        <w:rPr>
          <w:rFonts w:hint="eastAsia"/>
        </w:rPr>
        <w:t>惰性气体</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rPr>
          <w:rStyle w:val="65"/>
        </w:rPr>
      </w:pPr>
      <w:r>
        <w:rPr>
          <w:rStyle w:val="65"/>
          <w:rFonts w:hint="eastAsia"/>
        </w:rPr>
        <w:t>（1）</w:t>
      </w:r>
      <w:r>
        <w:rPr>
          <w:rStyle w:val="65"/>
        </w:rPr>
        <w:t>《石油化工企业设计防火规范》第4.6.7条：甲、乙，类设备和管道，应有惰性气体置换设施；</w:t>
      </w:r>
    </w:p>
    <w:p>
      <w:pPr>
        <w:spacing w:before="156" w:after="156"/>
        <w:ind w:firstLine="420"/>
        <w:rPr>
          <w:rStyle w:val="65"/>
        </w:rPr>
      </w:pPr>
      <w:r>
        <w:rPr>
          <w:rStyle w:val="65"/>
          <w:rFonts w:hint="eastAsia"/>
        </w:rPr>
        <w:t>（2）</w:t>
      </w:r>
      <w:r>
        <w:rPr>
          <w:rStyle w:val="65"/>
        </w:rPr>
        <w:t>《爆炸和火灾环境电力装置设计规范》：工艺设计中应采取消除或减少易燃物质的产生及积聚的措施；</w:t>
      </w:r>
    </w:p>
    <w:p>
      <w:pPr>
        <w:spacing w:before="156" w:after="156"/>
        <w:ind w:firstLine="420"/>
        <w:rPr>
          <w:rStyle w:val="65"/>
        </w:rPr>
      </w:pPr>
      <w:r>
        <w:rPr>
          <w:rStyle w:val="65"/>
          <w:rFonts w:hint="eastAsia"/>
        </w:rPr>
        <w:t>（3）</w:t>
      </w:r>
      <w:r>
        <w:rPr>
          <w:rStyle w:val="65"/>
        </w:rPr>
        <w:t>在设备内可采用以氮气或其它惰性气体覆盖的措施；</w:t>
      </w:r>
    </w:p>
    <w:p>
      <w:pPr>
        <w:spacing w:before="156" w:after="156"/>
        <w:ind w:firstLine="420"/>
        <w:rPr>
          <w:rStyle w:val="65"/>
        </w:rPr>
      </w:pPr>
      <w:r>
        <w:rPr>
          <w:rStyle w:val="65"/>
          <w:rFonts w:hint="eastAsia"/>
        </w:rPr>
        <w:t>（4）</w:t>
      </w:r>
      <w:r>
        <w:rPr>
          <w:rStyle w:val="65"/>
        </w:rPr>
        <w:t>宜采取安全联锁或事故时加入聚合反应阻聚剂等化学药品的措施。</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每条管道和每个装置设备都应有连接惰性气体系统的管道。</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惰性气体系统应布置在安全区内；</w:t>
      </w:r>
    </w:p>
    <w:p>
      <w:pPr>
        <w:spacing w:before="156" w:after="156"/>
        <w:ind w:firstLine="420"/>
      </w:pPr>
      <w:r>
        <w:rPr>
          <w:rFonts w:hint="eastAsia"/>
        </w:rPr>
        <w:t>（2）</w:t>
      </w:r>
      <w:r>
        <w:t>应设置监测点；</w:t>
      </w:r>
    </w:p>
    <w:p>
      <w:pPr>
        <w:spacing w:before="156" w:after="156"/>
        <w:ind w:firstLine="420"/>
      </w:pPr>
      <w:r>
        <w:rPr>
          <w:rFonts w:hint="eastAsia"/>
        </w:rPr>
        <w:t>（3）</w:t>
      </w:r>
      <w:r>
        <w:t>应设有管道将完成吹扫的惰性气体输送至</w:t>
      </w:r>
      <w:r>
        <w:rPr>
          <w:rFonts w:hint="eastAsia"/>
        </w:rPr>
        <w:t>废气</w:t>
      </w:r>
      <w:r>
        <w:t>系统。</w:t>
      </w:r>
    </w:p>
    <w:p>
      <w:pPr>
        <w:pStyle w:val="5"/>
        <w:spacing w:before="156" w:after="156"/>
        <w:ind w:firstLine="560"/>
      </w:pPr>
      <w:r>
        <w:rPr>
          <w:rFonts w:hint="eastAsia"/>
        </w:rPr>
        <w:t>5</w:t>
      </w:r>
      <w:r>
        <w:t>.2.2.4</w:t>
      </w:r>
      <w:r>
        <w:rPr>
          <w:rFonts w:hint="eastAsia"/>
        </w:rPr>
        <w:t>紧急分流</w:t>
      </w:r>
    </w:p>
    <w:p>
      <w:pPr>
        <w:spacing w:before="156" w:after="156"/>
        <w:ind w:firstLine="420"/>
      </w:pPr>
      <w:r>
        <w:t>在每种产品出口管道上设置相应的紧急分流装置。</w:t>
      </w:r>
    </w:p>
    <w:p>
      <w:pPr>
        <w:pStyle w:val="5"/>
        <w:spacing w:before="156" w:after="156"/>
        <w:ind w:firstLine="560"/>
      </w:pPr>
      <w:r>
        <w:rPr>
          <w:rFonts w:hint="eastAsia"/>
        </w:rPr>
        <w:t>5</w:t>
      </w:r>
      <w:r>
        <w:t>.2.2.5</w:t>
      </w:r>
      <w:r>
        <w:rPr>
          <w:rFonts w:hint="eastAsia"/>
        </w:rPr>
        <w:t>紧急停车（仪表联锁）</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rPr>
          <w:rFonts w:hint="eastAsia"/>
        </w:rPr>
        <w:t>（1）</w:t>
      </w:r>
      <w:r>
        <w:t>《石油化工企业设计防火规范》第4.1.2条：设备和管道应根据其内部材料的火灾危险性和操作条件，设置相应的仪表、报警讯号、自动联锁保护系统或紧急停车措施。第5.7.5条：在电动往复泵、齿轮泵或螺杆泵的出口管道上，应设安全阀；安全阀的放空管，应接至泵的入口管道上，并宜设事故停车联锁装置；</w:t>
      </w:r>
    </w:p>
    <w:p>
      <w:pPr>
        <w:spacing w:before="156" w:after="156"/>
        <w:ind w:firstLine="420"/>
      </w:pPr>
      <w:r>
        <w:rPr>
          <w:rFonts w:hint="eastAsia"/>
        </w:rPr>
        <w:t>（2）</w:t>
      </w:r>
      <w:r>
        <w:t>《紧急停车系统在化工生产中的作用》：当生产过程中突然发生停电、停水、停汽或发生重大事故时，则要全面紧急停车。对有危险的设备，如高压设备应进行手动操作，以排出物料；对有凝固危险的物料要进行人工搅拌；对于自动化程度较高的生产装置，在车间内备有紧急停车按钮，并和关键阀门锁在一起。</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rPr>
          <w:rStyle w:val="65"/>
        </w:rPr>
      </w:pPr>
      <w:r>
        <w:rPr>
          <w:rStyle w:val="65"/>
          <w:rFonts w:hint="eastAsia"/>
        </w:rPr>
        <w:t>酯化工段、加氢工段和分离工段</w:t>
      </w:r>
      <w:r>
        <w:rPr>
          <w:rStyle w:val="65"/>
        </w:rPr>
        <w:t>都设一套局部停车系统和全面停车系统。</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要独立</w:t>
      </w:r>
      <w:r>
        <w:rPr>
          <w:color w:val="000000"/>
        </w:rPr>
        <w:t>于DCS系统</w:t>
      </w:r>
      <w:r>
        <w:t>之外；</w:t>
      </w:r>
    </w:p>
    <w:p>
      <w:pPr>
        <w:spacing w:before="156" w:after="156"/>
        <w:ind w:firstLine="420"/>
      </w:pPr>
      <w:r>
        <w:rPr>
          <w:rFonts w:hint="eastAsia"/>
        </w:rPr>
        <w:t>（2）</w:t>
      </w:r>
      <w:r>
        <w:t>紧急停车按钮应设置在安全区域内，并和关键阀门锁在一起；</w:t>
      </w:r>
    </w:p>
    <w:p>
      <w:pPr>
        <w:spacing w:before="156" w:after="156"/>
        <w:ind w:firstLine="420"/>
      </w:pPr>
      <w:r>
        <w:rPr>
          <w:rFonts w:hint="eastAsia"/>
        </w:rPr>
        <w:t>（3）</w:t>
      </w:r>
      <w:r>
        <w:t>紧急停车系统应将报警器和液位计、温度报警器以及压力报警器连锁到一起，当任意一个状态超过极限值，在其他控制设备无法调节的时候，启动停车系统；</w:t>
      </w:r>
    </w:p>
    <w:p>
      <w:pPr>
        <w:spacing w:before="156" w:after="156"/>
        <w:ind w:firstLine="420"/>
      </w:pPr>
      <w:r>
        <w:rPr>
          <w:rFonts w:hint="eastAsia"/>
        </w:rPr>
        <w:t>（4）</w:t>
      </w:r>
      <w:r>
        <w:t>紧急停车系统在设计自动控制的同时，同时也要设置手动控制的按钮；</w:t>
      </w:r>
    </w:p>
    <w:p>
      <w:pPr>
        <w:spacing w:before="156" w:after="156"/>
        <w:ind w:firstLine="420"/>
      </w:pPr>
      <w:r>
        <w:rPr>
          <w:rFonts w:hint="eastAsia"/>
        </w:rPr>
        <w:t>（5）</w:t>
      </w:r>
      <w:r>
        <w:t>局部停车系统应能根据不同的原因确定停车的方式和停车顺序</w:t>
      </w:r>
      <w:r>
        <w:rPr>
          <w:rFonts w:hint="eastAsia"/>
        </w:rPr>
        <w:t>。</w:t>
      </w:r>
    </w:p>
    <w:p>
      <w:pPr>
        <w:pStyle w:val="3"/>
        <w:spacing w:before="156" w:after="156"/>
        <w:ind w:firstLine="562"/>
      </w:pPr>
      <w:bookmarkStart w:id="157" w:name="_Toc108206533"/>
      <w:bookmarkStart w:id="158" w:name="_Toc141203942"/>
      <w:r>
        <w:rPr>
          <w:rFonts w:hint="eastAsia"/>
        </w:rPr>
        <w:t>5</w:t>
      </w:r>
      <w:r>
        <w:t>.3</w:t>
      </w:r>
      <w:r>
        <w:rPr>
          <w:rFonts w:hint="eastAsia"/>
        </w:rPr>
        <w:t>减少与消除事故影响安全设备</w:t>
      </w:r>
      <w:bookmarkEnd w:id="157"/>
      <w:bookmarkEnd w:id="158"/>
    </w:p>
    <w:p>
      <w:pPr>
        <w:pStyle w:val="4"/>
        <w:spacing w:before="156" w:after="156"/>
        <w:ind w:firstLine="482"/>
      </w:pPr>
      <w:bookmarkStart w:id="159" w:name="_Toc108206534"/>
      <w:bookmarkStart w:id="160" w:name="_Toc141203943"/>
      <w:r>
        <w:rPr>
          <w:rFonts w:hint="eastAsia"/>
        </w:rPr>
        <w:t>5</w:t>
      </w:r>
      <w:r>
        <w:t>.3.1</w:t>
      </w:r>
      <w:r>
        <w:rPr>
          <w:rFonts w:hint="eastAsia"/>
        </w:rPr>
        <w:t>防止火灾蔓延设施</w:t>
      </w:r>
      <w:bookmarkEnd w:id="159"/>
      <w:bookmarkEnd w:id="160"/>
    </w:p>
    <w:p>
      <w:pPr>
        <w:pStyle w:val="5"/>
        <w:spacing w:before="156" w:after="156"/>
        <w:ind w:firstLine="560"/>
      </w:pPr>
      <w:r>
        <w:rPr>
          <w:rFonts w:hint="eastAsia"/>
        </w:rPr>
        <w:t>5</w:t>
      </w:r>
      <w:r>
        <w:t>.3.1.1</w:t>
      </w:r>
      <w:r>
        <w:rPr>
          <w:rFonts w:hint="eastAsia"/>
        </w:rPr>
        <w:t>阻火器</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rPr>
          <w:rFonts w:hint="eastAsia"/>
        </w:rPr>
        <w:t>（1）</w:t>
      </w:r>
      <w:r>
        <w:t>《</w:t>
      </w:r>
      <w:r>
        <w:rPr>
          <w:rFonts w:hint="eastAsia"/>
        </w:rPr>
        <w:t>石油气体管道阻火器</w:t>
      </w:r>
      <w:r>
        <w:t>阻火性能》</w:t>
      </w:r>
      <w:r>
        <w:rPr>
          <w:rFonts w:hint="eastAsia"/>
        </w:rPr>
        <w:t>（</w:t>
      </w:r>
      <w:r>
        <w:t>GB/T</w:t>
      </w:r>
      <w:r>
        <w:rPr>
          <w:rFonts w:hint="eastAsia"/>
        </w:rPr>
        <w:t xml:space="preserve"> </w:t>
      </w:r>
      <w:r>
        <w:t>13347-2010</w:t>
      </w:r>
      <w:r>
        <w:rPr>
          <w:rFonts w:hint="eastAsia"/>
        </w:rPr>
        <w:t>）：</w:t>
      </w:r>
      <w:r>
        <w:t>阻火器适用于阻止管端回火焰通过阻火器向管道来气方向传播；</w:t>
      </w:r>
    </w:p>
    <w:p>
      <w:pPr>
        <w:spacing w:before="156" w:after="156"/>
        <w:ind w:firstLine="420"/>
      </w:pPr>
      <w:r>
        <w:rPr>
          <w:rFonts w:hint="eastAsia"/>
        </w:rPr>
        <w:t>（2）</w:t>
      </w:r>
      <w:r>
        <w:t>阻火器连接法兰应符合《钢制管法兰—类型与参数规定》</w:t>
      </w:r>
      <w:r>
        <w:rPr>
          <w:rFonts w:hint="eastAsia"/>
        </w:rPr>
        <w:t>（</w:t>
      </w:r>
      <w:r>
        <w:t>GB</w:t>
      </w:r>
      <w:r>
        <w:rPr>
          <w:rFonts w:hint="eastAsia"/>
        </w:rPr>
        <w:t xml:space="preserve"> </w:t>
      </w:r>
      <w:r>
        <w:t>9112-2000</w:t>
      </w:r>
      <w:r>
        <w:rPr>
          <w:rFonts w:hint="eastAsia"/>
        </w:rPr>
        <w:t>）</w:t>
      </w:r>
      <w:r>
        <w:t>。</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进入车辆（包括消防车）的排气口处、排烟口处（包括柴油发电机）和放空管处。</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t>阻火器用法兰连接，设置在气体管道中。</w:t>
      </w:r>
    </w:p>
    <w:p>
      <w:pPr>
        <w:pStyle w:val="5"/>
        <w:spacing w:before="156" w:after="156"/>
        <w:ind w:firstLine="560"/>
      </w:pPr>
      <w:r>
        <w:rPr>
          <w:rFonts w:hint="eastAsia"/>
        </w:rPr>
        <w:t>5</w:t>
      </w:r>
      <w:r>
        <w:t>.3.1.2</w:t>
      </w:r>
      <w:r>
        <w:rPr>
          <w:rFonts w:hint="eastAsia"/>
        </w:rPr>
        <w:t>防火墙</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《石油化工企业设计防火规范》</w:t>
      </w:r>
      <w:r>
        <w:rPr>
          <w:rFonts w:hint="eastAsia"/>
        </w:rPr>
        <w:t>（</w:t>
      </w:r>
      <w:r>
        <w:t>GB</w:t>
      </w:r>
      <w:r>
        <w:rPr>
          <w:rFonts w:hint="eastAsia"/>
        </w:rPr>
        <w:t xml:space="preserve"> </w:t>
      </w:r>
      <w:r>
        <w:t>50160-2008</w:t>
      </w:r>
      <w:r>
        <w:rPr>
          <w:rFonts w:hint="eastAsia"/>
        </w:rPr>
        <w:t>）</w:t>
      </w:r>
      <w:r>
        <w:t>的规定，化验室、办公室等面向有火灾危险性设备侧的外墙宜为无门窗洞口不燃烧材料实体墙。</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配电室、控制室、自备发电室。</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t>配电室、控制室、自备发电室面向生产区一侧的墙应采用防火墙。</w:t>
      </w:r>
    </w:p>
    <w:p>
      <w:pPr>
        <w:pStyle w:val="5"/>
        <w:spacing w:before="156" w:after="156"/>
        <w:ind w:firstLine="560"/>
      </w:pPr>
      <w:r>
        <w:rPr>
          <w:rFonts w:hint="eastAsia"/>
        </w:rPr>
        <w:t>5</w:t>
      </w:r>
      <w:r>
        <w:t>.3.1.3</w:t>
      </w:r>
      <w:r>
        <w:rPr>
          <w:rFonts w:hint="eastAsia"/>
        </w:rPr>
        <w:t>防火材料涂层</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建筑物及构筑物钢结构防火保护涂层的设计、施工和验收应符合《防火涂料技术规范》。</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配电室、控制室、自备发电室。</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t>配电室、控制室、自备发电室的墙可采用防火保护涂层。</w:t>
      </w:r>
    </w:p>
    <w:p>
      <w:pPr>
        <w:pStyle w:val="5"/>
        <w:spacing w:before="156" w:after="156"/>
        <w:ind w:firstLine="560"/>
      </w:pPr>
      <w:r>
        <w:rPr>
          <w:rFonts w:hint="eastAsia"/>
        </w:rPr>
        <w:t>5</w:t>
      </w:r>
      <w:r>
        <w:t>.3.1.4</w:t>
      </w:r>
      <w:r>
        <w:rPr>
          <w:rFonts w:hint="eastAsia"/>
        </w:rPr>
        <w:t>蒸汽灭火设施</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《石油化工企业设计防火规范》</w:t>
      </w:r>
      <w:r>
        <w:rPr>
          <w:rFonts w:hint="eastAsia"/>
        </w:rPr>
        <w:t>（</w:t>
      </w:r>
      <w:r>
        <w:t>GB</w:t>
      </w:r>
      <w:r>
        <w:rPr>
          <w:rFonts w:hint="eastAsia"/>
        </w:rPr>
        <w:t xml:space="preserve"> </w:t>
      </w:r>
      <w:r>
        <w:t>50160-2008</w:t>
      </w:r>
      <w:r>
        <w:rPr>
          <w:rFonts w:hint="eastAsia"/>
        </w:rPr>
        <w:t>）中第</w:t>
      </w:r>
      <w:r>
        <w:t>8.8.1</w:t>
      </w:r>
      <w:r>
        <w:rPr>
          <w:rFonts w:hint="eastAsia"/>
        </w:rPr>
        <w:t>条</w:t>
      </w:r>
      <w:r>
        <w:t>：工艺装置有蒸汽供给系统时，宜设固定式或半固定式蒸汽灭火系统，但在使用蒸汽可能造成事故的部位不得采用蒸汽灭火。</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蒸汽管网处。</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t>设置半固定式蒸汽灭火系统，灭火蒸汽管从蒸汽系统的主管上方引出，在设备的塔类联合平台的每层半固定式接头的公称直径应为20mm，与其连接的耐热胶管长度为20m。</w:t>
      </w:r>
    </w:p>
    <w:p>
      <w:pPr>
        <w:pStyle w:val="5"/>
        <w:spacing w:before="156" w:after="156"/>
        <w:ind w:firstLine="560"/>
      </w:pPr>
      <w:r>
        <w:rPr>
          <w:rFonts w:hint="eastAsia"/>
        </w:rPr>
        <w:t>5</w:t>
      </w:r>
      <w:r>
        <w:t>.3.1.5</w:t>
      </w:r>
      <w:r>
        <w:rPr>
          <w:rFonts w:hint="eastAsia"/>
        </w:rPr>
        <w:t>喷淋灭火系统</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《石油化工企业设计防火规范》</w:t>
      </w:r>
      <w:r>
        <w:rPr>
          <w:rFonts w:hint="eastAsia"/>
        </w:rPr>
        <w:t>（</w:t>
      </w:r>
      <w:r>
        <w:t>GB</w:t>
      </w:r>
      <w:r>
        <w:rPr>
          <w:rFonts w:hint="eastAsia"/>
        </w:rPr>
        <w:t xml:space="preserve"> </w:t>
      </w:r>
      <w:r>
        <w:t>50160-2008</w:t>
      </w:r>
      <w:r>
        <w:rPr>
          <w:rFonts w:hint="eastAsia"/>
        </w:rPr>
        <w:t>）中第</w:t>
      </w:r>
      <w:r>
        <w:t>8.6.3</w:t>
      </w:r>
      <w:r>
        <w:rPr>
          <w:rFonts w:hint="eastAsia"/>
        </w:rPr>
        <w:t>条</w:t>
      </w:r>
      <w:r>
        <w:t>：工艺装置内特殊危险设备及场所宜设水喷淋或水喷雾系统，其设计应符合《水喷雾灭火系统设计规范》（GB</w:t>
      </w:r>
      <w:r>
        <w:rPr>
          <w:rFonts w:hint="eastAsia"/>
        </w:rPr>
        <w:t xml:space="preserve"> </w:t>
      </w:r>
      <w:r>
        <w:t>50219</w:t>
      </w:r>
      <w:r>
        <w:rPr>
          <w:rFonts w:hint="eastAsia"/>
        </w:rPr>
        <w:t>-2014</w:t>
      </w:r>
      <w:r>
        <w:t>）的有关规定。系统供水的持续时间、响应时间及控制方式等应根据被保护对象的性质、操作需要确定。</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生产区。</w:t>
      </w:r>
    </w:p>
    <w:p>
      <w:pPr>
        <w:pStyle w:val="5"/>
        <w:spacing w:before="156" w:after="156"/>
        <w:ind w:firstLine="560"/>
      </w:pPr>
      <w:r>
        <w:rPr>
          <w:rFonts w:hint="eastAsia"/>
        </w:rPr>
        <w:t>5</w:t>
      </w:r>
      <w:r>
        <w:t>.3.1.6</w:t>
      </w:r>
      <w:r>
        <w:rPr>
          <w:rFonts w:hint="eastAsia"/>
        </w:rPr>
        <w:t>灭火器</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《石油化工企业设计防火规范》</w:t>
      </w:r>
      <w:r>
        <w:rPr>
          <w:rFonts w:hint="eastAsia"/>
        </w:rPr>
        <w:t>（</w:t>
      </w:r>
      <w:r>
        <w:t>GB</w:t>
      </w:r>
      <w:r>
        <w:rPr>
          <w:rFonts w:hint="eastAsia"/>
        </w:rPr>
        <w:t xml:space="preserve"> </w:t>
      </w:r>
      <w:r>
        <w:t>50160-2008</w:t>
      </w:r>
      <w:r>
        <w:rPr>
          <w:rFonts w:hint="eastAsia"/>
        </w:rPr>
        <w:t>）中第</w:t>
      </w:r>
      <w:r>
        <w:t>8.9.1</w:t>
      </w:r>
      <w:r>
        <w:rPr>
          <w:rFonts w:hint="eastAsia"/>
        </w:rPr>
        <w:t>条</w:t>
      </w:r>
      <w:r>
        <w:t>：生产区内宜设置干粉型或泡沫型灭火器，控制室、化验室等宜设置气体型灭器；</w:t>
      </w:r>
      <w:r>
        <w:rPr>
          <w:rFonts w:hint="eastAsia"/>
        </w:rPr>
        <w:t>第</w:t>
      </w:r>
      <w:r>
        <w:t>8.9.3</w:t>
      </w:r>
      <w:r>
        <w:rPr>
          <w:rFonts w:hint="eastAsia"/>
        </w:rPr>
        <w:t>条</w:t>
      </w:r>
      <w:r>
        <w:t>：工艺装置内手提式干粉型灭火器的选型及配置应符合下列规定：甲类装置灭火器的最大保护距离不宜超过9m。</w:t>
      </w:r>
    </w:p>
    <w:p>
      <w:pPr>
        <w:pStyle w:val="5"/>
        <w:spacing w:before="156" w:after="156"/>
        <w:ind w:firstLine="560"/>
      </w:pPr>
      <w:r>
        <w:rPr>
          <w:rFonts w:hint="eastAsia"/>
        </w:rPr>
        <w:t>5</w:t>
      </w:r>
      <w:r>
        <w:t>.3.1.7</w:t>
      </w:r>
      <w:r>
        <w:rPr>
          <w:rFonts w:hint="eastAsia"/>
        </w:rPr>
        <w:t>消火栓</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《石油化工企业设计防火规范》</w:t>
      </w:r>
      <w:r>
        <w:rPr>
          <w:rFonts w:hint="eastAsia"/>
        </w:rPr>
        <w:t>（</w:t>
      </w:r>
      <w:r>
        <w:t>GB</w:t>
      </w:r>
      <w:r>
        <w:rPr>
          <w:rFonts w:hint="eastAsia"/>
        </w:rPr>
        <w:t xml:space="preserve"> </w:t>
      </w:r>
      <w:r>
        <w:t>50160-2008</w:t>
      </w:r>
      <w:r>
        <w:rPr>
          <w:rFonts w:hint="eastAsia"/>
        </w:rPr>
        <w:t>）中第</w:t>
      </w:r>
      <w:r>
        <w:t>8.5.6</w:t>
      </w:r>
      <w:r>
        <w:rPr>
          <w:rFonts w:hint="eastAsia"/>
        </w:rPr>
        <w:t>条</w:t>
      </w:r>
      <w:r>
        <w:t>：消火栓的数量及位置，应按其保护半径及被保护对象的消防用水量等综合计算。</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配电室、控制室、自备电室、生产区。</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在控制室和配电室各设室内消火栓一台，并配置2根直径65mm、长25m带接口的消防水带，2只直流-水雾两用水枪；</w:t>
      </w:r>
    </w:p>
    <w:p>
      <w:pPr>
        <w:spacing w:before="156" w:after="156"/>
        <w:ind w:firstLine="420"/>
      </w:pPr>
      <w:r>
        <w:rPr>
          <w:rFonts w:hint="eastAsia"/>
        </w:rPr>
        <w:t>（2）</w:t>
      </w:r>
      <w:r>
        <w:t>在生产区设置室外地上消火栓2个（证每100米有一个消火栓），公称直径100mm，带1个DN100消防水泵接口和DN65消防水带接口。</w:t>
      </w:r>
    </w:p>
    <w:p>
      <w:pPr>
        <w:pStyle w:val="5"/>
        <w:spacing w:before="156" w:after="156"/>
        <w:ind w:firstLine="560"/>
      </w:pPr>
      <w:r>
        <w:rPr>
          <w:rFonts w:hint="eastAsia"/>
        </w:rPr>
        <w:t>5</w:t>
      </w:r>
      <w:r>
        <w:t>.3.1.8</w:t>
      </w:r>
      <w:r>
        <w:rPr>
          <w:rFonts w:hint="eastAsia"/>
        </w:rPr>
        <w:t>消防车</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《石油化工企业设计防火规范》</w:t>
      </w:r>
      <w:r>
        <w:rPr>
          <w:rFonts w:hint="eastAsia"/>
        </w:rPr>
        <w:t>（</w:t>
      </w:r>
      <w:r>
        <w:t>GB</w:t>
      </w:r>
      <w:r>
        <w:rPr>
          <w:rFonts w:hint="eastAsia"/>
        </w:rPr>
        <w:t xml:space="preserve"> </w:t>
      </w:r>
      <w:r>
        <w:t>50160-2008</w:t>
      </w:r>
      <w:r>
        <w:rPr>
          <w:rFonts w:hint="eastAsia"/>
        </w:rPr>
        <w:t>）中第</w:t>
      </w:r>
      <w:r>
        <w:t>8.2.2</w:t>
      </w:r>
      <w:r>
        <w:rPr>
          <w:rFonts w:hint="eastAsia"/>
        </w:rPr>
        <w:t>条</w:t>
      </w:r>
      <w:r>
        <w:t>：石油化工企业消防车辆的车型应根据被保护对象选择，以大型泡沫消防车为主，且应配备干粉或干粉-泡沫联用车；大型石油化工企业尚宜配备高喷车和通信指挥车。</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消防区。</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t>设置大型泡沫消防车一辆于生产区旁的消防区。</w:t>
      </w:r>
    </w:p>
    <w:p>
      <w:pPr>
        <w:pStyle w:val="5"/>
        <w:spacing w:before="156" w:after="156"/>
        <w:ind w:firstLine="560"/>
      </w:pPr>
      <w:r>
        <w:rPr>
          <w:rFonts w:hint="eastAsia"/>
        </w:rPr>
        <w:t>5</w:t>
      </w:r>
      <w:r>
        <w:t>.3.1.9</w:t>
      </w:r>
      <w:r>
        <w:rPr>
          <w:rFonts w:hint="eastAsia"/>
        </w:rPr>
        <w:t>消防水管网</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《石油化工企业设计防火规范》</w:t>
      </w:r>
      <w:r>
        <w:rPr>
          <w:rFonts w:hint="eastAsia"/>
        </w:rPr>
        <w:t>（</w:t>
      </w:r>
      <w:r>
        <w:t>GB</w:t>
      </w:r>
      <w:r>
        <w:rPr>
          <w:rFonts w:hint="eastAsia"/>
        </w:rPr>
        <w:t xml:space="preserve"> </w:t>
      </w:r>
      <w:r>
        <w:t>50160-2008</w:t>
      </w:r>
      <w:r>
        <w:rPr>
          <w:rFonts w:hint="eastAsia"/>
        </w:rPr>
        <w:t>）中第</w:t>
      </w:r>
      <w:r>
        <w:t>8.5.1</w:t>
      </w:r>
      <w:r>
        <w:rPr>
          <w:rFonts w:hint="eastAsia"/>
        </w:rPr>
        <w:t>条</w:t>
      </w:r>
      <w:r>
        <w:t>：大型石油化工企业的工艺装置区等，应设独立的稳高压消防给水系统。消防给水系统不应与循环冷却水系统合并，且不应用于其他用途。</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生产装置区。</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t>在生产装置区设置独立的稳高压消防给水系统，环状管道的进水管两条，其压力为1.2MPa，管径为150mm，并保持充水状态。</w:t>
      </w:r>
    </w:p>
    <w:p>
      <w:pPr>
        <w:pStyle w:val="4"/>
        <w:spacing w:before="156" w:after="156"/>
        <w:ind w:firstLine="482"/>
      </w:pPr>
      <w:bookmarkStart w:id="161" w:name="_Toc141203944"/>
      <w:bookmarkStart w:id="162" w:name="_Toc108206535"/>
      <w:r>
        <w:rPr>
          <w:rFonts w:hint="eastAsia"/>
        </w:rPr>
        <w:t>5</w:t>
      </w:r>
      <w:r>
        <w:t>.3.2</w:t>
      </w:r>
      <w:r>
        <w:rPr>
          <w:rFonts w:hint="eastAsia"/>
        </w:rPr>
        <w:t>应急救援设施</w:t>
      </w:r>
      <w:bookmarkEnd w:id="161"/>
      <w:bookmarkEnd w:id="162"/>
    </w:p>
    <w:p>
      <w:pPr>
        <w:pStyle w:val="5"/>
        <w:spacing w:before="156" w:after="156"/>
        <w:ind w:firstLine="560"/>
      </w:pPr>
      <w:r>
        <w:rPr>
          <w:rFonts w:hint="eastAsia"/>
        </w:rPr>
        <w:t>5</w:t>
      </w:r>
      <w:r>
        <w:t>.3.2.1</w:t>
      </w:r>
      <w:r>
        <w:rPr>
          <w:rFonts w:hint="eastAsia"/>
        </w:rPr>
        <w:t>逃生索</w:t>
      </w:r>
    </w:p>
    <w:p>
      <w:pPr>
        <w:spacing w:before="156" w:after="156"/>
        <w:ind w:firstLine="422"/>
        <w:rPr>
          <w:b/>
          <w:bCs/>
        </w:rPr>
      </w:pPr>
      <w:r>
        <w:rPr>
          <w:rFonts w:hint="eastAsia"/>
          <w:b/>
          <w:bCs/>
        </w:rPr>
        <w:t>(</w:t>
      </w:r>
      <w:r>
        <w:rPr>
          <w:b/>
          <w:bCs/>
        </w:rPr>
        <w:t>1)</w:t>
      </w:r>
      <w:r>
        <w:rPr>
          <w:rFonts w:hint="eastAsia"/>
          <w:b/>
          <w:bCs/>
        </w:rPr>
        <w:t>设施设置原因</w:t>
      </w:r>
    </w:p>
    <w:p>
      <w:pPr>
        <w:spacing w:before="156" w:after="156"/>
        <w:ind w:firstLine="420"/>
      </w:pPr>
      <w:r>
        <w:t>逃生索主要用于保护紧急出口，装运和收货门、安全门、内部通道门等，用于紧急情况下的逃生，主要用于高空作业区。</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高空作业平台。</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t>在高空作业平台上均安装逃生索，安装在每个高空平台的两端，每个安装点安装2个逃生索。</w:t>
      </w:r>
    </w:p>
    <w:p>
      <w:pPr>
        <w:pStyle w:val="5"/>
        <w:spacing w:before="156" w:after="156"/>
        <w:ind w:firstLine="560"/>
      </w:pPr>
      <w:r>
        <w:rPr>
          <w:rFonts w:hint="eastAsia"/>
        </w:rPr>
        <w:t>5</w:t>
      </w:r>
      <w:r>
        <w:t>.3.2.2</w:t>
      </w:r>
      <w:r>
        <w:rPr>
          <w:rFonts w:hint="eastAsia"/>
        </w:rPr>
        <w:t>应急照明</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《消防应急照明灯具通用技术条件》</w:t>
      </w:r>
      <w:r>
        <w:rPr>
          <w:rFonts w:hint="eastAsia"/>
        </w:rPr>
        <w:t>（</w:t>
      </w:r>
      <w:r>
        <w:t>GA</w:t>
      </w:r>
      <w:r>
        <w:rPr>
          <w:rFonts w:hint="eastAsia"/>
        </w:rPr>
        <w:t xml:space="preserve"> </w:t>
      </w:r>
      <w:r>
        <w:t>54-93</w:t>
      </w:r>
      <w:r>
        <w:rPr>
          <w:rFonts w:hint="eastAsia"/>
        </w:rPr>
        <w:t>）</w:t>
      </w:r>
      <w:r>
        <w:t>第5.1条：消防应急照明灯具应急转换时间不大于5s；第5.2条：消防应急照明灯具的应急工作时间不小于30min；2.《石油化工企业设计防火规范》</w:t>
      </w:r>
      <w:r>
        <w:rPr>
          <w:rFonts w:hint="eastAsia"/>
        </w:rPr>
        <w:t>（</w:t>
      </w:r>
      <w:r>
        <w:t>GB</w:t>
      </w:r>
      <w:r>
        <w:rPr>
          <w:rFonts w:hint="eastAsia"/>
        </w:rPr>
        <w:t xml:space="preserve"> </w:t>
      </w:r>
      <w:r>
        <w:t>50160-2008</w:t>
      </w:r>
      <w:r>
        <w:rPr>
          <w:rFonts w:hint="eastAsia"/>
        </w:rPr>
        <w:t>）第</w:t>
      </w:r>
      <w:r>
        <w:t>9.1.2</w:t>
      </w:r>
      <w:r>
        <w:rPr>
          <w:rFonts w:hint="eastAsia"/>
        </w:rPr>
        <w:t>条</w:t>
      </w:r>
      <w:r>
        <w:t>：消防水泵房及其配电室应设消防应急照明，照明可采用蓄电池作备用电源，其连续供电时间不应少30min。</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消防通道、应急通道、配电室、控制室、自备发电室。</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在每个消防通道中都要设置应急照明设置，在应急通道中总要保持明亮状态，其设备要和普通供电设备分开来，以便在发生危险的时候，在其他设备失控的时候仍然能使用；</w:t>
      </w:r>
    </w:p>
    <w:p>
      <w:pPr>
        <w:spacing w:before="156" w:after="156"/>
        <w:ind w:firstLine="420"/>
      </w:pPr>
      <w:r>
        <w:rPr>
          <w:rFonts w:hint="eastAsia"/>
        </w:rPr>
        <w:t>（2）</w:t>
      </w:r>
      <w:r>
        <w:t>在配电室、控制室、自备发电室设置消防应急照明。</w:t>
      </w:r>
    </w:p>
    <w:p>
      <w:pPr>
        <w:pStyle w:val="5"/>
        <w:spacing w:before="156" w:after="156"/>
        <w:ind w:firstLine="560"/>
      </w:pPr>
      <w:r>
        <w:rPr>
          <w:rFonts w:hint="eastAsia"/>
        </w:rPr>
        <w:t>5</w:t>
      </w:r>
      <w:r>
        <w:t>.3.2.3</w:t>
      </w:r>
      <w:r>
        <w:rPr>
          <w:rFonts w:hint="eastAsia"/>
        </w:rPr>
        <w:t>堵漏、工程抢险装备和现场受伤人员医疗抢救装备</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《应急救援管理办法》第四节第24条规定：厂内应建立应急救援仓库，储备应急救援物资，确保生存生活必须品，医疗救助必需品的到位，用于紧急情况的抢救。</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控制室。</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t>在控制室设一个应急救援设施区，放置一些必要的火灾、触电等应急救援设施，医疗抢救必要设施，并配备至少2套空气呼吸器等应急设备</w:t>
      </w:r>
      <w:r>
        <w:rPr>
          <w:rFonts w:hint="eastAsia"/>
        </w:rPr>
        <w:t>。</w:t>
      </w:r>
    </w:p>
    <w:p>
      <w:pPr>
        <w:pStyle w:val="4"/>
        <w:spacing w:before="156" w:after="156"/>
        <w:ind w:firstLine="482"/>
      </w:pPr>
      <w:bookmarkStart w:id="163" w:name="_Toc141203945"/>
      <w:bookmarkStart w:id="164" w:name="_Toc108206536"/>
      <w:r>
        <w:rPr>
          <w:rFonts w:hint="eastAsia"/>
        </w:rPr>
        <w:t>5</w:t>
      </w:r>
      <w:r>
        <w:t>.3.3</w:t>
      </w:r>
      <w:r>
        <w:rPr>
          <w:rFonts w:hint="eastAsia"/>
        </w:rPr>
        <w:t>逃生避难设施</w:t>
      </w:r>
      <w:bookmarkEnd w:id="163"/>
      <w:bookmarkEnd w:id="164"/>
    </w:p>
    <w:p>
      <w:pPr>
        <w:pStyle w:val="5"/>
        <w:spacing w:before="156" w:after="156"/>
        <w:ind w:firstLine="560"/>
      </w:pPr>
      <w:r>
        <w:rPr>
          <w:rFonts w:hint="eastAsia"/>
        </w:rPr>
        <w:t>5</w:t>
      </w:r>
      <w:r>
        <w:t>.3.3.1</w:t>
      </w:r>
      <w:r>
        <w:rPr>
          <w:rFonts w:hint="eastAsia"/>
        </w:rPr>
        <w:t>逃生和避难的安全通道</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当建筑设置多个安全出口时，安全出口应分散布置，并应符合双向疏散的要求。建筑内每个防火分区或一个防火分区的每个楼层，其相邻2个安全出口最近边缘之间的水平距离不应小于5m。</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配电室、控制室、自备发电室。</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在配电室、控制室、自备发电室设置逃生安全通道，并设好安全指示标记</w:t>
      </w:r>
      <w:r>
        <w:rPr>
          <w:rFonts w:hint="eastAsia"/>
        </w:rPr>
        <w:t>；</w:t>
      </w:r>
    </w:p>
    <w:p>
      <w:pPr>
        <w:spacing w:before="156" w:after="156"/>
        <w:ind w:firstLine="420"/>
      </w:pPr>
      <w:r>
        <w:rPr>
          <w:rFonts w:hint="eastAsia"/>
        </w:rPr>
        <w:t>（2）</w:t>
      </w:r>
      <w:r>
        <w:t>生产场所为露天，无需安全通道，但应在各处做好逃生指示标记</w:t>
      </w:r>
      <w:r>
        <w:rPr>
          <w:rFonts w:hint="eastAsia"/>
        </w:rPr>
        <w:t>。</w:t>
      </w:r>
    </w:p>
    <w:p>
      <w:pPr>
        <w:pStyle w:val="5"/>
        <w:spacing w:before="156" w:after="156"/>
        <w:ind w:firstLine="560"/>
      </w:pPr>
      <w:r>
        <w:rPr>
          <w:rFonts w:hint="eastAsia"/>
        </w:rPr>
        <w:t>5</w:t>
      </w:r>
      <w:r>
        <w:t>.3.3.2</w:t>
      </w:r>
      <w:r>
        <w:rPr>
          <w:rFonts w:hint="eastAsia"/>
        </w:rPr>
        <w:t>安全避难所（带空气呼吸系统）</w:t>
      </w:r>
    </w:p>
    <w:p>
      <w:pPr>
        <w:spacing w:before="156" w:after="156"/>
        <w:ind w:firstLine="422"/>
        <w:rPr>
          <w:b/>
          <w:bCs/>
        </w:rPr>
      </w:pPr>
      <w:r>
        <w:rPr>
          <w:rFonts w:hint="eastAsia"/>
          <w:b/>
          <w:bCs/>
        </w:rPr>
        <w:t>(</w:t>
      </w:r>
      <w:r>
        <w:rPr>
          <w:b/>
          <w:bCs/>
        </w:rPr>
        <w:t>1)</w:t>
      </w:r>
      <w:r>
        <w:rPr>
          <w:rFonts w:hint="eastAsia"/>
          <w:b/>
          <w:bCs/>
        </w:rPr>
        <w:t>设施设置用途</w:t>
      </w:r>
    </w:p>
    <w:p>
      <w:pPr>
        <w:spacing w:before="156" w:after="156"/>
        <w:ind w:firstLine="420"/>
      </w:pPr>
      <w:r>
        <w:t>在发生紧急事故的时候人员逃离的安全去处。</w:t>
      </w:r>
    </w:p>
    <w:p>
      <w:pPr>
        <w:spacing w:before="156" w:after="156"/>
        <w:ind w:firstLine="422"/>
        <w:rPr>
          <w:b/>
          <w:bCs/>
        </w:rPr>
      </w:pPr>
      <w:r>
        <w:rPr>
          <w:rFonts w:hint="eastAsia"/>
          <w:b/>
          <w:bCs/>
        </w:rPr>
        <w:t>(</w:t>
      </w:r>
      <w:r>
        <w:rPr>
          <w:b/>
          <w:bCs/>
        </w:rPr>
        <w:t>2)</w:t>
      </w:r>
      <w:r>
        <w:rPr>
          <w:rFonts w:hint="eastAsia"/>
          <w:b/>
          <w:bCs/>
        </w:rPr>
        <w:t>设施设置位置</w:t>
      </w:r>
    </w:p>
    <w:p>
      <w:pPr>
        <w:spacing w:before="156" w:after="156"/>
        <w:ind w:firstLine="420"/>
      </w:pPr>
      <w:r>
        <w:t>生产区外。</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t>在生产区外设置安全避难所</w:t>
      </w:r>
      <w:r>
        <w:rPr>
          <w:rFonts w:hint="eastAsia"/>
        </w:rPr>
        <w:t>（</w:t>
      </w:r>
      <w:r>
        <w:t>逃生避难所的位置根据蒸汽爆炸蒸汽云范围外设置</w:t>
      </w:r>
      <w:r>
        <w:rPr>
          <w:rFonts w:hint="eastAsia"/>
        </w:rPr>
        <w:t>）</w:t>
      </w:r>
      <w:r>
        <w:t>。</w:t>
      </w:r>
    </w:p>
    <w:p>
      <w:pPr>
        <w:pStyle w:val="5"/>
        <w:spacing w:before="156" w:after="156"/>
        <w:ind w:firstLine="560"/>
      </w:pPr>
      <w:r>
        <w:rPr>
          <w:rFonts w:hint="eastAsia"/>
        </w:rPr>
        <w:t>5</w:t>
      </w:r>
      <w:r>
        <w:t>.3.3.3</w:t>
      </w:r>
      <w:r>
        <w:rPr>
          <w:rFonts w:hint="eastAsia"/>
        </w:rPr>
        <w:t>避难信号</w:t>
      </w:r>
    </w:p>
    <w:p>
      <w:pPr>
        <w:spacing w:before="156" w:after="156"/>
        <w:ind w:firstLine="422"/>
        <w:rPr>
          <w:b/>
          <w:bCs/>
        </w:rPr>
      </w:pPr>
      <w:r>
        <w:rPr>
          <w:rFonts w:hint="eastAsia"/>
          <w:b/>
          <w:bCs/>
        </w:rPr>
        <w:t>(</w:t>
      </w:r>
      <w:r>
        <w:rPr>
          <w:b/>
          <w:bCs/>
        </w:rPr>
        <w:t>1)</w:t>
      </w:r>
      <w:r>
        <w:rPr>
          <w:rFonts w:hint="eastAsia"/>
          <w:b/>
          <w:bCs/>
        </w:rPr>
        <w:t>设施设置用途</w:t>
      </w:r>
    </w:p>
    <w:p>
      <w:pPr>
        <w:spacing w:before="156" w:after="156"/>
        <w:ind w:firstLine="420"/>
      </w:pPr>
      <w:r>
        <w:t>发生危险时用于指示人员疏散、避难的信号。</w:t>
      </w:r>
    </w:p>
    <w:p>
      <w:pPr>
        <w:spacing w:before="156" w:after="156"/>
        <w:ind w:firstLine="422"/>
        <w:rPr>
          <w:b/>
          <w:bCs/>
        </w:rPr>
      </w:pPr>
      <w:r>
        <w:rPr>
          <w:rFonts w:hint="eastAsia"/>
          <w:b/>
          <w:bCs/>
        </w:rPr>
        <w:t>(</w:t>
      </w:r>
      <w:r>
        <w:rPr>
          <w:b/>
          <w:bCs/>
        </w:rPr>
        <w:t>2)</w:t>
      </w:r>
      <w:r>
        <w:rPr>
          <w:rFonts w:hint="eastAsia"/>
          <w:b/>
          <w:bCs/>
        </w:rPr>
        <w:t>设施设置要求</w:t>
      </w:r>
    </w:p>
    <w:p>
      <w:pPr>
        <w:spacing w:before="156" w:after="156"/>
        <w:ind w:firstLine="420"/>
      </w:pPr>
      <w:r>
        <w:t>设置通往安全通道、安全避难所的指示标志，并在发生危险时用警报、广播等方式通知人员避难并告知危险发生位置和逃离方向。</w:t>
      </w:r>
    </w:p>
    <w:p>
      <w:pPr>
        <w:pStyle w:val="5"/>
        <w:spacing w:before="156" w:after="156"/>
        <w:ind w:firstLine="560"/>
      </w:pPr>
      <w:r>
        <w:rPr>
          <w:rFonts w:hint="eastAsia"/>
        </w:rPr>
        <w:t>5</w:t>
      </w:r>
      <w:r>
        <w:t>.3.3.4</w:t>
      </w:r>
      <w:r>
        <w:rPr>
          <w:rFonts w:hint="eastAsia"/>
        </w:rPr>
        <w:t>劳动防护用品和装备</w:t>
      </w:r>
    </w:p>
    <w:p>
      <w:pPr>
        <w:spacing w:before="156" w:after="156"/>
        <w:ind w:firstLine="422"/>
        <w:rPr>
          <w:b/>
          <w:bCs/>
        </w:rPr>
      </w:pPr>
      <w:r>
        <w:rPr>
          <w:rFonts w:hint="eastAsia"/>
          <w:b/>
          <w:bCs/>
        </w:rPr>
        <w:t>(</w:t>
      </w:r>
      <w:r>
        <w:rPr>
          <w:b/>
          <w:bCs/>
        </w:rPr>
        <w:t>1)</w:t>
      </w:r>
      <w:r>
        <w:rPr>
          <w:rFonts w:hint="eastAsia"/>
          <w:b/>
          <w:bCs/>
        </w:rPr>
        <w:t>设施设置依据</w:t>
      </w:r>
    </w:p>
    <w:p>
      <w:pPr>
        <w:spacing w:before="156" w:after="156"/>
        <w:ind w:firstLine="420"/>
      </w:pPr>
      <w:r>
        <w:t>生产经营单位应当按照《劳动防护用品选用规则》（GB</w:t>
      </w:r>
      <w:r>
        <w:rPr>
          <w:rFonts w:hint="eastAsia"/>
        </w:rPr>
        <w:t xml:space="preserve">/T </w:t>
      </w:r>
      <w:r>
        <w:t>11651</w:t>
      </w:r>
      <w:r>
        <w:rPr>
          <w:rFonts w:hint="eastAsia"/>
        </w:rPr>
        <w:t>-2008</w:t>
      </w:r>
      <w:r>
        <w:t>）和国家颁发的劳动防护用品配备标准以及有关规定，为从业人员配备劳动防护用品。第十九条从业人员在作业过程中，必须按照安全生产规章制度和劳动防护用品使用规则，正确佩戴和使用劳动防护用品；未按规定佩戴和使用劳动防护用品的，不得上岗。</w:t>
      </w:r>
    </w:p>
    <w:p>
      <w:pPr>
        <w:spacing w:before="156" w:after="156"/>
        <w:ind w:firstLine="422"/>
        <w:rPr>
          <w:b/>
          <w:bCs/>
        </w:rPr>
      </w:pPr>
      <w:r>
        <w:rPr>
          <w:rFonts w:hint="eastAsia"/>
          <w:b/>
          <w:bCs/>
        </w:rPr>
        <w:t>(</w:t>
      </w:r>
      <w:r>
        <w:rPr>
          <w:b/>
          <w:bCs/>
        </w:rPr>
        <w:t>2)</w:t>
      </w:r>
      <w:r>
        <w:rPr>
          <w:rFonts w:hint="eastAsia"/>
          <w:b/>
          <w:bCs/>
        </w:rPr>
        <w:t>设施设置性质</w:t>
      </w:r>
    </w:p>
    <w:p>
      <w:pPr>
        <w:spacing w:before="156" w:after="156"/>
        <w:ind w:firstLine="420"/>
      </w:pPr>
      <w:r>
        <w:t>包括头部，面部，视觉、呼吸、听觉器官，四肢，躯干防火、防灼烫、防噪声、防高处坠落、防砸击、防刺伤等免受作业场所物理、化学因素伤害的劳动防护用品和装备。</w:t>
      </w:r>
    </w:p>
    <w:p>
      <w:pPr>
        <w:spacing w:before="156" w:after="156"/>
        <w:ind w:firstLine="422"/>
        <w:rPr>
          <w:b/>
          <w:bCs/>
        </w:rPr>
      </w:pPr>
      <w:r>
        <w:rPr>
          <w:rFonts w:hint="eastAsia"/>
          <w:b/>
          <w:bCs/>
        </w:rPr>
        <w:t>(</w:t>
      </w:r>
      <w:r>
        <w:rPr>
          <w:b/>
          <w:bCs/>
        </w:rPr>
        <w:t>3)</w:t>
      </w:r>
      <w:r>
        <w:rPr>
          <w:rFonts w:hint="eastAsia"/>
          <w:b/>
          <w:bCs/>
        </w:rPr>
        <w:t>设施设置要求</w:t>
      </w:r>
    </w:p>
    <w:p>
      <w:pPr>
        <w:spacing w:before="156" w:after="156"/>
        <w:ind w:firstLine="420"/>
      </w:pPr>
      <w:r>
        <w:rPr>
          <w:rFonts w:hint="eastAsia"/>
        </w:rPr>
        <w:t>（1）</w:t>
      </w:r>
      <w:r>
        <w:t>生产区入口前（工作人员在进入之前穿戴完成）；</w:t>
      </w:r>
    </w:p>
    <w:p>
      <w:pPr>
        <w:spacing w:before="156" w:after="156"/>
        <w:ind w:firstLine="420"/>
      </w:pPr>
      <w:r>
        <w:rPr>
          <w:rFonts w:hint="eastAsia"/>
        </w:rPr>
        <w:t>（2）</w:t>
      </w:r>
      <w:r>
        <w:t>生产线上工人应着棉布工作服、防静电工作服、防静电鞋；</w:t>
      </w:r>
    </w:p>
    <w:p>
      <w:pPr>
        <w:spacing w:before="156" w:after="156"/>
        <w:ind w:firstLine="420"/>
      </w:pPr>
      <w:r>
        <w:rPr>
          <w:rFonts w:hint="eastAsia"/>
        </w:rPr>
        <w:t>（3）</w:t>
      </w:r>
      <w:r>
        <w:t>工人生产全过程必须穿戴好劳保用品（安全帽、胶靴，胶围腰，胶手套，口罩）进行生产</w:t>
      </w:r>
      <w:r>
        <w:rPr>
          <w:rFonts w:hint="eastAsia"/>
        </w:rPr>
        <w:t>操作。</w:t>
      </w:r>
    </w:p>
    <w:p>
      <w:pPr>
        <w:widowControl/>
        <w:spacing w:before="156" w:after="156" w:line="240" w:lineRule="auto"/>
        <w:ind w:firstLine="420"/>
      </w:pPr>
      <w:r>
        <w:br w:type="page"/>
      </w:r>
    </w:p>
    <w:p>
      <w:pPr>
        <w:pStyle w:val="2"/>
        <w:spacing w:before="156" w:after="156"/>
        <w:ind w:firstLine="883"/>
      </w:pPr>
      <w:bookmarkStart w:id="165" w:name="_Toc141203946"/>
      <w:bookmarkStart w:id="166" w:name="_Toc108206537"/>
      <w:r>
        <w:rPr>
          <w:rFonts w:hint="eastAsia"/>
        </w:rPr>
        <w:t>第六章安全预评价方法和评价单元</w:t>
      </w:r>
      <w:bookmarkEnd w:id="165"/>
      <w:bookmarkEnd w:id="166"/>
    </w:p>
    <w:p>
      <w:pPr>
        <w:spacing w:before="156" w:after="156"/>
        <w:ind w:firstLine="420"/>
      </w:pPr>
      <w:r>
        <w:t>安全评价方法是对系统的危险因素、有害因素及其危险、危害程度进行分析、评价的工具。每种评价方法的原理、目标、应用条件、适用的评价对象、工作量均不尽相同。</w:t>
      </w:r>
    </w:p>
    <w:p>
      <w:pPr>
        <w:spacing w:before="156" w:after="156"/>
        <w:ind w:firstLine="420"/>
      </w:pPr>
      <w:r>
        <w:t>安全预评价常用的评价方法为定性定量分析，在这里着重介绍定性分析预先危险性分析方法（PHA</w:t>
      </w:r>
      <w:r>
        <w:rPr>
          <w:rFonts w:hint="eastAsia"/>
        </w:rPr>
        <w:t>）</w:t>
      </w:r>
      <w:r>
        <w:t>危险度评价方法。定量分析道（DOW）化学公司火灾和爆炸危险指数评价法。</w:t>
      </w:r>
    </w:p>
    <w:p>
      <w:pPr>
        <w:pStyle w:val="3"/>
        <w:spacing w:before="156" w:after="156"/>
        <w:ind w:firstLine="562"/>
      </w:pPr>
      <w:bookmarkStart w:id="167" w:name="_Toc141203947"/>
      <w:bookmarkStart w:id="168" w:name="_Toc108206538"/>
      <w:r>
        <w:rPr>
          <w:rFonts w:hint="eastAsia"/>
        </w:rPr>
        <w:t>6</w:t>
      </w:r>
      <w:r>
        <w:t>.1</w:t>
      </w:r>
      <w:r>
        <w:rPr>
          <w:rFonts w:hint="eastAsia"/>
        </w:rPr>
        <w:t>安全预评价方法简介</w:t>
      </w:r>
      <w:bookmarkEnd w:id="167"/>
      <w:bookmarkEnd w:id="168"/>
    </w:p>
    <w:p>
      <w:pPr>
        <w:pStyle w:val="4"/>
        <w:spacing w:before="156" w:after="156"/>
        <w:ind w:firstLine="482"/>
      </w:pPr>
      <w:bookmarkStart w:id="169" w:name="_Toc108206539"/>
      <w:bookmarkStart w:id="170" w:name="_Toc141203948"/>
      <w:r>
        <w:rPr>
          <w:rFonts w:hint="eastAsia"/>
        </w:rPr>
        <w:t>6</w:t>
      </w:r>
      <w:r>
        <w:t>.1.1</w:t>
      </w:r>
      <w:r>
        <w:rPr>
          <w:rFonts w:hint="eastAsia"/>
        </w:rPr>
        <w:t>预先危险性分析方法（PHA）</w:t>
      </w:r>
      <w:bookmarkEnd w:id="169"/>
      <w:bookmarkEnd w:id="170"/>
    </w:p>
    <w:p>
      <w:pPr>
        <w:spacing w:before="156" w:after="156"/>
        <w:ind w:firstLine="420"/>
      </w:pPr>
      <w:r>
        <w:t>预先危险性分析又称初步危险性分析，是在进行某项工程活动（包括设计、施工、生产、维修等）之前，对系统存在的各种危险因素（类别、分布）、出现条件和事故可能造成的后果进行宏观、概略分析的系统安全分析方法；</w:t>
      </w:r>
    </w:p>
    <w:p>
      <w:pPr>
        <w:spacing w:before="156" w:after="156"/>
        <w:ind w:firstLine="420"/>
      </w:pPr>
      <w:r>
        <w:t>在项目发展初期使用PHA有以下优点：</w:t>
      </w:r>
    </w:p>
    <w:p>
      <w:pPr>
        <w:spacing w:before="156" w:after="156"/>
        <w:ind w:firstLine="420"/>
      </w:pPr>
      <w:r>
        <w:t>（1）方法简单易行、经济、有效。</w:t>
      </w:r>
    </w:p>
    <w:p>
      <w:pPr>
        <w:spacing w:before="156" w:after="156"/>
        <w:ind w:firstLine="420"/>
      </w:pPr>
      <w:r>
        <w:t>（2）能为项目开发组分析和设计提供指南。</w:t>
      </w:r>
    </w:p>
    <w:p>
      <w:pPr>
        <w:spacing w:before="156" w:after="156"/>
        <w:ind w:firstLine="420"/>
      </w:pPr>
      <w:r>
        <w:t>（3）能识别可能的危险，用很少的费用、时间就可以实现改进。</w:t>
      </w:r>
    </w:p>
    <w:p>
      <w:pPr>
        <w:spacing w:before="156" w:after="156"/>
        <w:ind w:firstLine="420"/>
      </w:pPr>
      <w:r>
        <w:t>预先危险性分析主要用于对危险物质和主要工艺、装置等进行分析。进行预先危险性分析时，一般是先查明危险因素存在方位，然后识别使危险因素演变为事故的触发条件和必要条件，对可能出现的事故后果进行分析，并采取相应的措施。</w:t>
      </w:r>
    </w:p>
    <w:p>
      <w:pPr>
        <w:pStyle w:val="5"/>
        <w:spacing w:before="156" w:after="156"/>
        <w:ind w:firstLine="560"/>
      </w:pPr>
      <w:r>
        <w:rPr>
          <w:rFonts w:hint="eastAsia"/>
        </w:rPr>
        <w:t>6</w:t>
      </w:r>
      <w:r>
        <w:t>.1.1.1</w:t>
      </w:r>
      <w:r>
        <w:rPr>
          <w:rFonts w:hint="eastAsia"/>
        </w:rPr>
        <w:t>预先危险性分析安全评价的主要功能</w:t>
      </w:r>
    </w:p>
    <w:p>
      <w:pPr>
        <w:spacing w:before="156" w:after="156"/>
        <w:ind w:firstLine="420"/>
      </w:pPr>
      <w:r>
        <w:t>（1）识别与系统有关的一切主要危害；</w:t>
      </w:r>
    </w:p>
    <w:p>
      <w:pPr>
        <w:spacing w:before="156" w:after="156"/>
        <w:ind w:firstLine="420"/>
      </w:pPr>
      <w:r>
        <w:t>（2）鉴别产生危险的原因；</w:t>
      </w:r>
    </w:p>
    <w:p>
      <w:pPr>
        <w:spacing w:before="156" w:after="156"/>
        <w:ind w:firstLine="420"/>
      </w:pPr>
      <w:r>
        <w:t>（3）估计事故出现后产生的后果；</w:t>
      </w:r>
    </w:p>
    <w:p>
      <w:pPr>
        <w:spacing w:before="156" w:after="156"/>
        <w:ind w:firstLine="420"/>
      </w:pPr>
      <w:r>
        <w:rPr>
          <w:rFonts w:hint="eastAsia"/>
        </w:rPr>
        <w:t>（4）</w:t>
      </w:r>
      <w:r>
        <w:t>提出消除或控制危险性的防范措施。</w:t>
      </w:r>
    </w:p>
    <w:p>
      <w:pPr>
        <w:pStyle w:val="5"/>
        <w:spacing w:before="156" w:after="156"/>
        <w:ind w:firstLine="560"/>
      </w:pPr>
      <w:r>
        <w:rPr>
          <w:rFonts w:hint="eastAsia"/>
        </w:rPr>
        <w:t>6</w:t>
      </w:r>
      <w:r>
        <w:t>.1.1.2</w:t>
      </w:r>
      <w:r>
        <w:rPr>
          <w:rFonts w:hint="eastAsia"/>
        </w:rPr>
        <w:t>分析评价目的</w:t>
      </w:r>
    </w:p>
    <w:p>
      <w:pPr>
        <w:spacing w:before="156" w:after="156"/>
        <w:ind w:firstLine="420"/>
      </w:pPr>
      <w:r>
        <w:t>采用预先危险性分析方法的目的是早期发现系统的潜在危险因素，确定系统的危险性等级，提出相应的防范措施，防止这些危险因素成为事故，避免考虑不周所造成的损失。</w:t>
      </w:r>
    </w:p>
    <w:p>
      <w:pPr>
        <w:pStyle w:val="5"/>
        <w:spacing w:before="156" w:after="156"/>
        <w:ind w:firstLine="560"/>
      </w:pPr>
      <w:r>
        <w:rPr>
          <w:rFonts w:hint="eastAsia"/>
        </w:rPr>
        <w:t>6</w:t>
      </w:r>
      <w:r>
        <w:t>.1.1.3</w:t>
      </w:r>
      <w:r>
        <w:rPr>
          <w:rFonts w:hint="eastAsia"/>
        </w:rPr>
        <w:t>分析步骤</w:t>
      </w:r>
    </w:p>
    <w:p>
      <w:pPr>
        <w:spacing w:before="156" w:after="156"/>
        <w:ind w:firstLine="420"/>
      </w:pPr>
      <w:r>
        <w:t>（1）熟悉对象系统</w:t>
      </w:r>
    </w:p>
    <w:p>
      <w:pPr>
        <w:spacing w:before="156" w:after="156"/>
        <w:ind w:firstLine="420"/>
      </w:pPr>
      <w:r>
        <w:t>确切了解对象系统的生产目的、工艺流程、生产设备、物料、操作条件、辅助设施、环境状况等资料，搜集类似系统、设备和事故统计、分析资料，以弥补早期分析系统存在的危险、有害因素。</w:t>
      </w:r>
    </w:p>
    <w:p>
      <w:pPr>
        <w:spacing w:before="156" w:after="156"/>
        <w:ind w:firstLine="420"/>
      </w:pPr>
      <w:r>
        <w:t>（2）分析危险、有害因素和触发事件</w:t>
      </w:r>
    </w:p>
    <w:p>
      <w:pPr>
        <w:spacing w:before="156" w:after="156"/>
        <w:ind w:firstLine="420"/>
      </w:pPr>
      <w:r>
        <w:t>从有害物质、工艺条件、设备故障、人员失误及外界影响等方面分析系统存在的危险、有害因素。</w:t>
      </w:r>
    </w:p>
    <w:p>
      <w:pPr>
        <w:spacing w:before="156" w:after="156"/>
        <w:ind w:firstLine="420"/>
      </w:pPr>
      <w:r>
        <w:t>（3）分析触发事件</w:t>
      </w:r>
    </w:p>
    <w:p>
      <w:pPr>
        <w:spacing w:before="156" w:after="156"/>
        <w:ind w:firstLine="420"/>
      </w:pPr>
      <w:r>
        <w:t>触发事件是系统危险、有害因素导致事故、危害发生的条件，是事故、危害发生的直接原因。</w:t>
      </w:r>
    </w:p>
    <w:p>
      <w:pPr>
        <w:spacing w:before="156" w:after="156"/>
        <w:ind w:firstLine="420"/>
      </w:pPr>
      <w:r>
        <w:t>（4）推测可能导致的事故类型和危险危害程度</w:t>
      </w:r>
      <w:r>
        <w:rPr>
          <w:rFonts w:hint="eastAsia"/>
        </w:rPr>
        <w:t>。</w:t>
      </w:r>
    </w:p>
    <w:p>
      <w:pPr>
        <w:spacing w:before="156" w:after="156"/>
        <w:ind w:firstLine="420"/>
      </w:pPr>
      <w:r>
        <w:t>（5）按危险、有害因素导致的事故、危害的危险（危害）程度，将危险、有害因素划分为四个危险等级。</w:t>
      </w:r>
    </w:p>
    <w:p>
      <w:pPr>
        <w:spacing w:before="156" w:after="156"/>
        <w:ind w:firstLine="420"/>
      </w:pPr>
      <w:r>
        <w:t>（6）制定相应安全措施</w:t>
      </w:r>
    </w:p>
    <w:p>
      <w:pPr>
        <w:pStyle w:val="39"/>
        <w:rPr>
          <w:rFonts w:ascii="宋体" w:hAnsi="宋体" w:eastAsia="宋体"/>
          <w:sz w:val="18"/>
          <w:szCs w:val="18"/>
        </w:rPr>
      </w:pPr>
      <w:r>
        <w:rPr>
          <w:rFonts w:hint="eastAsia" w:ascii="宋体" w:hAnsi="宋体" w:eastAsia="宋体"/>
          <w:sz w:val="18"/>
          <w:szCs w:val="18"/>
        </w:rPr>
        <w:t>表6-1 危险性</w:t>
      </w:r>
      <w:r>
        <w:rPr>
          <w:rFonts w:ascii="宋体" w:hAnsi="宋体" w:eastAsia="宋体"/>
          <w:sz w:val="18"/>
          <w:szCs w:val="18"/>
        </w:rPr>
        <w:t>等级划分表</w:t>
      </w:r>
    </w:p>
    <w:tbl>
      <w:tblPr>
        <w:tblStyle w:val="3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271"/>
        <w:gridCol w:w="1134"/>
        <w:gridCol w:w="5891"/>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271" w:type="dxa"/>
            <w:tcBorders>
              <w:top w:val="single" w:color="FFFFFF" w:sz="4" w:space="0"/>
              <w:left w:val="single" w:color="FFFFFF" w:sz="4" w:space="0"/>
              <w:right w:val="nil"/>
              <w:insideV w:val="nil"/>
            </w:tcBorders>
            <w:shd w:val="clear" w:color="auto" w:fill="4472C4"/>
            <w:vAlign w:val="center"/>
          </w:tcPr>
          <w:p>
            <w:pPr>
              <w:pStyle w:val="37"/>
              <w:rPr>
                <w:b w:val="0"/>
                <w:bCs w:val="0"/>
                <w:color w:val="FFFFFF"/>
                <w:szCs w:val="20"/>
              </w:rPr>
            </w:pPr>
            <w:r>
              <w:rPr>
                <w:rFonts w:hint="eastAsia"/>
                <w:b/>
                <w:bCs/>
                <w:color w:val="FFFFFF"/>
                <w:szCs w:val="20"/>
              </w:rPr>
              <w:t>级别</w:t>
            </w:r>
          </w:p>
        </w:tc>
        <w:tc>
          <w:tcPr>
            <w:tcW w:w="1134" w:type="dxa"/>
            <w:tcBorders>
              <w:top w:val="single" w:color="FFFFFF" w:sz="4" w:space="0"/>
              <w:right w:val="nil"/>
              <w:insideV w:val="nil"/>
            </w:tcBorders>
            <w:shd w:val="clear" w:color="auto" w:fill="4472C4"/>
            <w:vAlign w:val="center"/>
          </w:tcPr>
          <w:p>
            <w:pPr>
              <w:pStyle w:val="37"/>
              <w:rPr>
                <w:b w:val="0"/>
                <w:bCs w:val="0"/>
                <w:color w:val="FFFFFF"/>
                <w:szCs w:val="20"/>
              </w:rPr>
            </w:pPr>
            <w:r>
              <w:rPr>
                <w:rFonts w:hint="eastAsia"/>
                <w:b/>
                <w:bCs/>
                <w:color w:val="FFFFFF"/>
                <w:szCs w:val="20"/>
              </w:rPr>
              <w:t>危险</w:t>
            </w:r>
            <w:r>
              <w:rPr>
                <w:b/>
                <w:bCs/>
                <w:color w:val="FFFFFF"/>
                <w:szCs w:val="20"/>
              </w:rPr>
              <w:t>程度</w:t>
            </w:r>
          </w:p>
        </w:tc>
        <w:tc>
          <w:tcPr>
            <w:tcW w:w="5891" w:type="dxa"/>
            <w:tcBorders>
              <w:top w:val="single" w:color="FFFFFF" w:sz="4" w:space="0"/>
              <w:right w:val="single" w:color="FFFFFF" w:sz="4" w:space="0"/>
              <w:insideV w:val="nil"/>
            </w:tcBorders>
            <w:shd w:val="clear" w:color="auto" w:fill="4472C4"/>
            <w:vAlign w:val="center"/>
          </w:tcPr>
          <w:p>
            <w:pPr>
              <w:pStyle w:val="37"/>
              <w:rPr>
                <w:b w:val="0"/>
                <w:bCs w:val="0"/>
                <w:color w:val="FFFFFF"/>
                <w:szCs w:val="20"/>
              </w:rPr>
            </w:pPr>
            <w:r>
              <w:rPr>
                <w:rFonts w:hint="eastAsia"/>
                <w:b/>
                <w:bCs/>
                <w:color w:val="FFFFFF"/>
                <w:szCs w:val="20"/>
              </w:rPr>
              <w:t>可能</w:t>
            </w:r>
            <w:r>
              <w:rPr>
                <w:b/>
                <w:bCs/>
                <w:color w:val="FFFFFF"/>
                <w:szCs w:val="20"/>
              </w:rPr>
              <w:t>导致的后果</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271" w:type="dxa"/>
            <w:tcBorders>
              <w:left w:val="single" w:color="FFFFFF" w:sz="4" w:space="0"/>
            </w:tcBorders>
            <w:shd w:val="clear" w:color="auto" w:fill="4472C4"/>
            <w:vAlign w:val="center"/>
          </w:tcPr>
          <w:p>
            <w:pPr>
              <w:pStyle w:val="37"/>
              <w:rPr>
                <w:b w:val="0"/>
                <w:bCs w:val="0"/>
                <w:color w:val="FFFFFF"/>
                <w:szCs w:val="20"/>
              </w:rPr>
            </w:pPr>
            <w:r>
              <w:rPr>
                <w:rFonts w:hint="eastAsia" w:ascii="仿宋" w:hAnsi="仿宋"/>
                <w:b/>
                <w:bCs/>
                <w:color w:val="FFFFFF"/>
                <w:szCs w:val="20"/>
              </w:rPr>
              <w:t>Ⅰ</w:t>
            </w:r>
          </w:p>
        </w:tc>
        <w:tc>
          <w:tcPr>
            <w:tcW w:w="1134" w:type="dxa"/>
            <w:shd w:val="clear" w:color="auto" w:fill="D9E2F3"/>
            <w:vAlign w:val="center"/>
          </w:tcPr>
          <w:p>
            <w:pPr>
              <w:pStyle w:val="37"/>
              <w:rPr>
                <w:szCs w:val="20"/>
              </w:rPr>
            </w:pPr>
            <w:r>
              <w:rPr>
                <w:rFonts w:hint="eastAsia"/>
                <w:szCs w:val="20"/>
              </w:rPr>
              <w:t>安全</w:t>
            </w:r>
            <w:r>
              <w:rPr>
                <w:szCs w:val="20"/>
              </w:rPr>
              <w:t>的</w:t>
            </w:r>
          </w:p>
        </w:tc>
        <w:tc>
          <w:tcPr>
            <w:tcW w:w="5891" w:type="dxa"/>
            <w:shd w:val="clear" w:color="auto" w:fill="D9E2F3"/>
            <w:vAlign w:val="center"/>
          </w:tcPr>
          <w:p>
            <w:pPr>
              <w:pStyle w:val="37"/>
              <w:rPr>
                <w:szCs w:val="20"/>
              </w:rPr>
            </w:pPr>
            <w:r>
              <w:rPr>
                <w:rFonts w:hint="eastAsia"/>
                <w:szCs w:val="20"/>
              </w:rPr>
              <w:t>不会</w:t>
            </w:r>
            <w:r>
              <w:rPr>
                <w:szCs w:val="20"/>
              </w:rPr>
              <w:t>造成人员伤亡及系统损坏</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271" w:type="dxa"/>
            <w:tcBorders>
              <w:left w:val="single" w:color="FFFFFF" w:sz="4" w:space="0"/>
            </w:tcBorders>
            <w:shd w:val="clear" w:color="auto" w:fill="4472C4"/>
            <w:vAlign w:val="center"/>
          </w:tcPr>
          <w:p>
            <w:pPr>
              <w:pStyle w:val="37"/>
              <w:rPr>
                <w:b w:val="0"/>
                <w:bCs w:val="0"/>
                <w:color w:val="FFFFFF"/>
                <w:szCs w:val="20"/>
              </w:rPr>
            </w:pPr>
            <w:r>
              <w:rPr>
                <w:rFonts w:hint="eastAsia" w:ascii="仿宋" w:hAnsi="仿宋"/>
                <w:b/>
                <w:bCs/>
                <w:color w:val="FFFFFF"/>
                <w:szCs w:val="20"/>
              </w:rPr>
              <w:t>Ⅱ</w:t>
            </w:r>
          </w:p>
        </w:tc>
        <w:tc>
          <w:tcPr>
            <w:tcW w:w="1134" w:type="dxa"/>
            <w:shd w:val="clear" w:color="auto" w:fill="D9E2F3"/>
            <w:vAlign w:val="center"/>
          </w:tcPr>
          <w:p>
            <w:pPr>
              <w:pStyle w:val="37"/>
              <w:rPr>
                <w:szCs w:val="20"/>
              </w:rPr>
            </w:pPr>
            <w:r>
              <w:rPr>
                <w:rFonts w:hint="eastAsia"/>
                <w:szCs w:val="20"/>
              </w:rPr>
              <w:t>临界</w:t>
            </w:r>
            <w:r>
              <w:rPr>
                <w:szCs w:val="20"/>
              </w:rPr>
              <w:t>的</w:t>
            </w:r>
          </w:p>
        </w:tc>
        <w:tc>
          <w:tcPr>
            <w:tcW w:w="5891" w:type="dxa"/>
            <w:shd w:val="clear" w:color="auto" w:fill="D9E2F3"/>
            <w:vAlign w:val="center"/>
          </w:tcPr>
          <w:p>
            <w:pPr>
              <w:pStyle w:val="37"/>
              <w:rPr>
                <w:szCs w:val="20"/>
              </w:rPr>
            </w:pPr>
            <w:r>
              <w:rPr>
                <w:rFonts w:hint="eastAsia"/>
                <w:szCs w:val="20"/>
              </w:rPr>
              <w:t>处于事故</w:t>
            </w:r>
            <w:r>
              <w:rPr>
                <w:szCs w:val="20"/>
              </w:rPr>
              <w:t>的边缘状态，暂时还</w:t>
            </w:r>
            <w:r>
              <w:rPr>
                <w:rFonts w:hint="eastAsia"/>
                <w:szCs w:val="20"/>
              </w:rPr>
              <w:t>不至于</w:t>
            </w:r>
            <w:r>
              <w:rPr>
                <w:szCs w:val="20"/>
              </w:rPr>
              <w:t>造成人员伤亡</w:t>
            </w:r>
            <w:r>
              <w:rPr>
                <w:rFonts w:hint="eastAsia"/>
                <w:szCs w:val="20"/>
              </w:rPr>
              <w:t>、</w:t>
            </w:r>
            <w:r>
              <w:rPr>
                <w:szCs w:val="20"/>
              </w:rPr>
              <w:t>系统损坏或系统性能降低，但应予以排除或采取控制</w:t>
            </w:r>
            <w:r>
              <w:rPr>
                <w:rFonts w:hint="eastAsia"/>
                <w:szCs w:val="20"/>
              </w:rPr>
              <w:t>措施</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271" w:type="dxa"/>
            <w:tcBorders>
              <w:left w:val="single" w:color="FFFFFF" w:sz="4" w:space="0"/>
            </w:tcBorders>
            <w:shd w:val="clear" w:color="auto" w:fill="4472C4"/>
            <w:vAlign w:val="center"/>
          </w:tcPr>
          <w:p>
            <w:pPr>
              <w:pStyle w:val="37"/>
              <w:rPr>
                <w:b w:val="0"/>
                <w:bCs w:val="0"/>
                <w:color w:val="FFFFFF"/>
                <w:szCs w:val="20"/>
              </w:rPr>
            </w:pPr>
            <w:r>
              <w:rPr>
                <w:rFonts w:hint="eastAsia" w:ascii="仿宋" w:hAnsi="仿宋"/>
                <w:b/>
                <w:bCs/>
                <w:color w:val="FFFFFF"/>
                <w:szCs w:val="20"/>
              </w:rPr>
              <w:t>Ⅲ</w:t>
            </w:r>
          </w:p>
        </w:tc>
        <w:tc>
          <w:tcPr>
            <w:tcW w:w="1134" w:type="dxa"/>
            <w:shd w:val="clear" w:color="auto" w:fill="D9E2F3"/>
            <w:vAlign w:val="center"/>
          </w:tcPr>
          <w:p>
            <w:pPr>
              <w:pStyle w:val="37"/>
              <w:rPr>
                <w:szCs w:val="20"/>
              </w:rPr>
            </w:pPr>
            <w:r>
              <w:rPr>
                <w:rFonts w:hint="eastAsia"/>
                <w:szCs w:val="20"/>
              </w:rPr>
              <w:t>危险的</w:t>
            </w:r>
          </w:p>
        </w:tc>
        <w:tc>
          <w:tcPr>
            <w:tcW w:w="5891" w:type="dxa"/>
            <w:shd w:val="clear" w:color="auto" w:fill="D9E2F3"/>
            <w:vAlign w:val="center"/>
          </w:tcPr>
          <w:p>
            <w:pPr>
              <w:pStyle w:val="37"/>
              <w:rPr>
                <w:szCs w:val="20"/>
              </w:rPr>
            </w:pPr>
            <w:r>
              <w:rPr>
                <w:rFonts w:hint="eastAsia"/>
                <w:szCs w:val="20"/>
              </w:rPr>
              <w:t>会</w:t>
            </w:r>
            <w:r>
              <w:rPr>
                <w:szCs w:val="20"/>
              </w:rPr>
              <w:t>造成人员伤亡和系统损坏，要立即采取防范对策措施</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1271" w:type="dxa"/>
            <w:tcBorders>
              <w:left w:val="single" w:color="FFFFFF" w:sz="4" w:space="0"/>
              <w:bottom w:val="single" w:color="FFFFFF" w:sz="4" w:space="0"/>
            </w:tcBorders>
            <w:shd w:val="clear" w:color="auto" w:fill="4472C4"/>
            <w:vAlign w:val="center"/>
          </w:tcPr>
          <w:p>
            <w:pPr>
              <w:pStyle w:val="37"/>
              <w:rPr>
                <w:b w:val="0"/>
                <w:bCs w:val="0"/>
                <w:color w:val="FFFFFF"/>
                <w:szCs w:val="20"/>
              </w:rPr>
            </w:pPr>
            <w:r>
              <w:rPr>
                <w:rFonts w:hint="eastAsia" w:ascii="仿宋" w:hAnsi="仿宋"/>
                <w:b/>
                <w:bCs/>
                <w:color w:val="FFFFFF"/>
                <w:szCs w:val="20"/>
              </w:rPr>
              <w:t>Ⅳ</w:t>
            </w:r>
          </w:p>
        </w:tc>
        <w:tc>
          <w:tcPr>
            <w:tcW w:w="1134" w:type="dxa"/>
            <w:shd w:val="clear" w:color="auto" w:fill="D9E2F3"/>
            <w:vAlign w:val="center"/>
          </w:tcPr>
          <w:p>
            <w:pPr>
              <w:pStyle w:val="37"/>
              <w:rPr>
                <w:szCs w:val="20"/>
              </w:rPr>
            </w:pPr>
            <w:r>
              <w:rPr>
                <w:rFonts w:hint="eastAsia"/>
                <w:szCs w:val="20"/>
              </w:rPr>
              <w:t>灾难性</w:t>
            </w:r>
            <w:r>
              <w:rPr>
                <w:szCs w:val="20"/>
              </w:rPr>
              <w:t>的</w:t>
            </w:r>
          </w:p>
        </w:tc>
        <w:tc>
          <w:tcPr>
            <w:tcW w:w="5891" w:type="dxa"/>
            <w:shd w:val="clear" w:color="auto" w:fill="D9E2F3"/>
            <w:vAlign w:val="center"/>
          </w:tcPr>
          <w:p>
            <w:pPr>
              <w:pStyle w:val="37"/>
              <w:rPr>
                <w:szCs w:val="20"/>
              </w:rPr>
            </w:pPr>
            <w:r>
              <w:rPr>
                <w:rFonts w:hint="eastAsia"/>
                <w:szCs w:val="20"/>
              </w:rPr>
              <w:t>会</w:t>
            </w:r>
            <w:r>
              <w:rPr>
                <w:szCs w:val="20"/>
              </w:rPr>
              <w:t>造成重大</w:t>
            </w:r>
            <w:r>
              <w:rPr>
                <w:rFonts w:hint="eastAsia"/>
                <w:szCs w:val="20"/>
              </w:rPr>
              <w:t>伤亡</w:t>
            </w:r>
            <w:r>
              <w:rPr>
                <w:szCs w:val="20"/>
              </w:rPr>
              <w:t>及系统严重破坏的灾难性事故，必须予以果断排除并</w:t>
            </w:r>
            <w:r>
              <w:rPr>
                <w:rFonts w:hint="eastAsia"/>
                <w:szCs w:val="20"/>
              </w:rPr>
              <w:t>进行重点</w:t>
            </w:r>
            <w:r>
              <w:rPr>
                <w:szCs w:val="20"/>
              </w:rPr>
              <w:t>防范</w:t>
            </w:r>
          </w:p>
        </w:tc>
      </w:tr>
    </w:tbl>
    <w:p>
      <w:pPr>
        <w:pStyle w:val="4"/>
        <w:spacing w:before="156" w:after="156"/>
        <w:ind w:firstLine="482"/>
      </w:pPr>
      <w:bookmarkStart w:id="171" w:name="_Toc108206540"/>
      <w:bookmarkStart w:id="172" w:name="_Toc141203949"/>
      <w:r>
        <w:rPr>
          <w:rFonts w:hint="eastAsia"/>
        </w:rPr>
        <w:t>6</w:t>
      </w:r>
      <w:r>
        <w:t>.1.2</w:t>
      </w:r>
      <w:r>
        <w:rPr>
          <w:rFonts w:hint="eastAsia"/>
        </w:rPr>
        <w:t>危险度评价法</w:t>
      </w:r>
      <w:bookmarkEnd w:id="171"/>
      <w:bookmarkEnd w:id="172"/>
    </w:p>
    <w:p>
      <w:pPr>
        <w:spacing w:before="156" w:after="156"/>
        <w:ind w:firstLine="420"/>
      </w:pPr>
      <w:r>
        <w:t>借鉴日本劳动省“六阶段法”的定量评价表，结合我国《石油化工企业设计防火规范》</w:t>
      </w:r>
      <w:r>
        <w:rPr>
          <w:rFonts w:hint="eastAsia"/>
        </w:rPr>
        <w:t>（</w:t>
      </w:r>
      <w:r>
        <w:t>GB50160</w:t>
      </w:r>
      <w:r>
        <w:rPr>
          <w:rFonts w:hint="eastAsia"/>
        </w:rPr>
        <w:t>-2008）</w:t>
      </w:r>
      <w:r>
        <w:t>等有关标准、规程、编制了危险度评价取值表，详见表5-2。</w:t>
      </w:r>
    </w:p>
    <w:p>
      <w:pPr>
        <w:spacing w:before="156" w:after="156"/>
        <w:ind w:firstLine="420"/>
      </w:pPr>
      <w:r>
        <w:t>规定单元危险度由物质、容器、温度、压力和操作5个项目共同确定。其危险度分别按A=10分；B＝5分；C＝2分；D＝0分赋值计分，由累计分值确定单元危险度。危险度分级见表6-2。</w:t>
      </w:r>
    </w:p>
    <w:p>
      <w:pPr>
        <w:pStyle w:val="39"/>
        <w:rPr>
          <w:rFonts w:ascii="宋体" w:hAnsi="宋体" w:eastAsia="宋体"/>
          <w:sz w:val="18"/>
          <w:szCs w:val="18"/>
        </w:rPr>
      </w:pPr>
      <w:r>
        <w:rPr>
          <w:rFonts w:hint="eastAsia" w:ascii="宋体" w:hAnsi="宋体" w:eastAsia="宋体"/>
          <w:sz w:val="18"/>
          <w:szCs w:val="18"/>
        </w:rPr>
        <w:t>表6-2 危险度</w:t>
      </w:r>
      <w:r>
        <w:rPr>
          <w:rFonts w:ascii="宋体" w:hAnsi="宋体" w:eastAsia="宋体"/>
          <w:sz w:val="18"/>
          <w:szCs w:val="18"/>
        </w:rPr>
        <w:t>评价取值</w:t>
      </w:r>
    </w:p>
    <w:tbl>
      <w:tblPr>
        <w:tblStyle w:val="44"/>
        <w:tblW w:w="10768"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659"/>
        <w:gridCol w:w="2022"/>
        <w:gridCol w:w="2410"/>
        <w:gridCol w:w="2835"/>
        <w:gridCol w:w="1842"/>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vMerge w:val="restar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项目</w:t>
            </w:r>
          </w:p>
        </w:tc>
        <w:tc>
          <w:tcPr>
            <w:tcW w:w="9109" w:type="dxa"/>
            <w:gridSpan w:val="4"/>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分值</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vMerge w:val="continue"/>
            <w:shd w:val="clear" w:color="auto" w:fill="D9E2F3" w:themeFill="accent1" w:themeFillTint="33"/>
          </w:tcPr>
          <w:p>
            <w:pPr>
              <w:pStyle w:val="37"/>
              <w:spacing w:line="240" w:lineRule="auto"/>
              <w:rPr>
                <w:b w:val="0"/>
                <w:bCs w:val="0"/>
              </w:rPr>
            </w:pPr>
          </w:p>
        </w:tc>
        <w:tc>
          <w:tcPr>
            <w:tcW w:w="2022" w:type="dxa"/>
            <w:shd w:val="clear" w:color="auto" w:fill="D9E2F3" w:themeFill="accent1" w:themeFillTint="33"/>
          </w:tcPr>
          <w:p>
            <w:pPr>
              <w:pStyle w:val="37"/>
              <w:spacing w:line="240" w:lineRule="auto"/>
            </w:pPr>
            <w:r>
              <w:rPr>
                <w:rFonts w:hint="eastAsia"/>
              </w:rPr>
              <w:t>A（10分）</w:t>
            </w:r>
          </w:p>
        </w:tc>
        <w:tc>
          <w:tcPr>
            <w:tcW w:w="2410" w:type="dxa"/>
            <w:shd w:val="clear" w:color="auto" w:fill="D9E2F3" w:themeFill="accent1" w:themeFillTint="33"/>
          </w:tcPr>
          <w:p>
            <w:pPr>
              <w:pStyle w:val="37"/>
              <w:spacing w:line="240" w:lineRule="auto"/>
            </w:pPr>
            <w:r>
              <w:rPr>
                <w:rFonts w:hint="eastAsia"/>
              </w:rPr>
              <w:t>B（5分）</w:t>
            </w:r>
          </w:p>
        </w:tc>
        <w:tc>
          <w:tcPr>
            <w:tcW w:w="2835" w:type="dxa"/>
            <w:shd w:val="clear" w:color="auto" w:fill="D9E2F3" w:themeFill="accent1" w:themeFillTint="33"/>
          </w:tcPr>
          <w:p>
            <w:pPr>
              <w:pStyle w:val="37"/>
              <w:spacing w:line="240" w:lineRule="auto"/>
            </w:pPr>
            <w:r>
              <w:rPr>
                <w:rFonts w:hint="eastAsia"/>
              </w:rPr>
              <w:t>C（2分）</w:t>
            </w:r>
          </w:p>
        </w:tc>
        <w:tc>
          <w:tcPr>
            <w:tcW w:w="1842" w:type="dxa"/>
            <w:shd w:val="clear" w:color="auto" w:fill="D9E2F3" w:themeFill="accent1" w:themeFillTint="33"/>
          </w:tcPr>
          <w:p>
            <w:pPr>
              <w:pStyle w:val="37"/>
              <w:spacing w:line="240" w:lineRule="auto"/>
            </w:pPr>
            <w:r>
              <w:rPr>
                <w:rFonts w:hint="eastAsia"/>
              </w:rPr>
              <w:t>D（0分）</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tcPr>
          <w:p>
            <w:pPr>
              <w:pStyle w:val="37"/>
              <w:spacing w:line="240" w:lineRule="auto"/>
              <w:rPr>
                <w:b/>
                <w:bCs w:val="0"/>
              </w:rPr>
            </w:pPr>
            <w:r>
              <w:rPr>
                <w:rFonts w:hint="eastAsia"/>
                <w:b w:val="0"/>
                <w:bCs/>
              </w:rPr>
              <w:t>物质</w:t>
            </w:r>
          </w:p>
          <w:p>
            <w:pPr>
              <w:pStyle w:val="37"/>
              <w:spacing w:line="240" w:lineRule="auto"/>
              <w:rPr>
                <w:b w:val="0"/>
                <w:bCs w:val="0"/>
              </w:rPr>
            </w:pPr>
            <w:r>
              <w:rPr>
                <w:rFonts w:hint="eastAsia"/>
                <w:b w:val="0"/>
                <w:bCs/>
              </w:rPr>
              <w:t>（单元中</w:t>
            </w:r>
            <w:r>
              <w:rPr>
                <w:b w:val="0"/>
                <w:bCs/>
              </w:rPr>
              <w:t>危险、有害程度最大</w:t>
            </w:r>
            <w:r>
              <w:rPr>
                <w:rFonts w:hint="eastAsia"/>
                <w:b w:val="0"/>
                <w:bCs/>
              </w:rPr>
              <w:t>之</w:t>
            </w:r>
            <w:r>
              <w:rPr>
                <w:b w:val="0"/>
                <w:bCs/>
              </w:rPr>
              <w:t>物质</w:t>
            </w:r>
            <w:r>
              <w:rPr>
                <w:rFonts w:hint="eastAsia"/>
                <w:b w:val="0"/>
                <w:bCs/>
              </w:rPr>
              <w:t>）</w:t>
            </w:r>
          </w:p>
        </w:tc>
        <w:tc>
          <w:tcPr>
            <w:tcW w:w="2022" w:type="dxa"/>
          </w:tcPr>
          <w:p>
            <w:pPr>
              <w:pStyle w:val="37"/>
              <w:spacing w:line="240" w:lineRule="auto"/>
              <w:rPr>
                <w:rFonts w:cs="Times New Roman"/>
              </w:rPr>
            </w:pPr>
            <w:r>
              <w:rPr>
                <w:rFonts w:cs="Times New Roman"/>
              </w:rPr>
              <w:t>（1）甲类可燃气体；（2）甲A类物质及液态烃类；</w:t>
            </w:r>
          </w:p>
          <w:p>
            <w:pPr>
              <w:pStyle w:val="37"/>
              <w:spacing w:line="240" w:lineRule="auto"/>
              <w:rPr>
                <w:rFonts w:cs="Times New Roman"/>
              </w:rPr>
            </w:pPr>
            <w:r>
              <w:rPr>
                <w:rFonts w:cs="Times New Roman"/>
              </w:rPr>
              <w:t>（3）甲类固体；</w:t>
            </w:r>
          </w:p>
          <w:p>
            <w:pPr>
              <w:pStyle w:val="37"/>
              <w:spacing w:line="240" w:lineRule="auto"/>
            </w:pPr>
            <w:r>
              <w:rPr>
                <w:rFonts w:cs="Times New Roman"/>
              </w:rPr>
              <w:t>（4）极度危害介质。</w:t>
            </w:r>
          </w:p>
        </w:tc>
        <w:tc>
          <w:tcPr>
            <w:tcW w:w="2410" w:type="dxa"/>
          </w:tcPr>
          <w:p>
            <w:pPr>
              <w:pStyle w:val="37"/>
              <w:spacing w:line="240" w:lineRule="auto"/>
              <w:rPr>
                <w:rFonts w:cs="Times New Roman"/>
              </w:rPr>
            </w:pPr>
            <w:r>
              <w:rPr>
                <w:rFonts w:cs="Times New Roman"/>
              </w:rPr>
              <w:t>（1）乙类可燃气体；</w:t>
            </w:r>
          </w:p>
          <w:p>
            <w:pPr>
              <w:pStyle w:val="37"/>
              <w:spacing w:line="240" w:lineRule="auto"/>
              <w:rPr>
                <w:rFonts w:cs="Times New Roman"/>
              </w:rPr>
            </w:pPr>
            <w:r>
              <w:rPr>
                <w:rFonts w:cs="Times New Roman"/>
              </w:rPr>
              <w:t>（2）甲B、乙A类可燃液体；</w:t>
            </w:r>
          </w:p>
          <w:p>
            <w:pPr>
              <w:pStyle w:val="37"/>
              <w:spacing w:line="240" w:lineRule="auto"/>
              <w:rPr>
                <w:rFonts w:cs="Times New Roman"/>
              </w:rPr>
            </w:pPr>
            <w:r>
              <w:rPr>
                <w:rFonts w:cs="Times New Roman"/>
              </w:rPr>
              <w:t>（3）乙类固体；</w:t>
            </w:r>
          </w:p>
          <w:p>
            <w:pPr>
              <w:pStyle w:val="37"/>
              <w:spacing w:line="240" w:lineRule="auto"/>
            </w:pPr>
            <w:r>
              <w:rPr>
                <w:rFonts w:cs="Times New Roman"/>
              </w:rPr>
              <w:t>（4）高度危害介质。</w:t>
            </w:r>
          </w:p>
        </w:tc>
        <w:tc>
          <w:tcPr>
            <w:tcW w:w="2835" w:type="dxa"/>
          </w:tcPr>
          <w:p>
            <w:pPr>
              <w:pStyle w:val="37"/>
              <w:spacing w:line="240" w:lineRule="auto"/>
              <w:rPr>
                <w:rFonts w:cs="Times New Roman"/>
              </w:rPr>
            </w:pPr>
            <w:r>
              <w:rPr>
                <w:rFonts w:cs="Times New Roman"/>
              </w:rPr>
              <w:t>（1）乙B、丙A、丙B类可燃液体</w:t>
            </w:r>
            <w:r>
              <w:rPr>
                <w:rFonts w:hint="eastAsia" w:cs="Times New Roman"/>
              </w:rPr>
              <w:t>；</w:t>
            </w:r>
          </w:p>
          <w:p>
            <w:pPr>
              <w:pStyle w:val="37"/>
              <w:spacing w:line="240" w:lineRule="auto"/>
              <w:rPr>
                <w:rFonts w:cs="Times New Roman"/>
              </w:rPr>
            </w:pPr>
            <w:r>
              <w:rPr>
                <w:rFonts w:cs="Times New Roman"/>
              </w:rPr>
              <w:t>（2）丙类固体；</w:t>
            </w:r>
          </w:p>
          <w:p>
            <w:pPr>
              <w:pStyle w:val="37"/>
              <w:spacing w:line="240" w:lineRule="auto"/>
            </w:pPr>
            <w:r>
              <w:rPr>
                <w:rFonts w:cs="Times New Roman"/>
              </w:rPr>
              <w:t>（3）中、轻度危害介质。</w:t>
            </w:r>
          </w:p>
        </w:tc>
        <w:tc>
          <w:tcPr>
            <w:tcW w:w="1842" w:type="dxa"/>
          </w:tcPr>
          <w:p>
            <w:pPr>
              <w:pStyle w:val="37"/>
              <w:spacing w:line="240" w:lineRule="auto"/>
            </w:pPr>
            <w:r>
              <w:rPr>
                <w:rFonts w:cs="Times New Roman"/>
              </w:rPr>
              <w:t>不属左述A、B、C项之物质</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shd w:val="clear" w:color="auto" w:fill="D9E2F3" w:themeFill="accent1" w:themeFillTint="33"/>
          </w:tcPr>
          <w:p>
            <w:pPr>
              <w:pStyle w:val="37"/>
              <w:spacing w:line="240" w:lineRule="auto"/>
              <w:rPr>
                <w:b w:val="0"/>
                <w:bCs w:val="0"/>
              </w:rPr>
            </w:pPr>
            <w:r>
              <w:rPr>
                <w:rFonts w:hint="eastAsia"/>
                <w:b w:val="0"/>
                <w:bCs/>
              </w:rPr>
              <w:t>容量</w:t>
            </w:r>
          </w:p>
        </w:tc>
        <w:tc>
          <w:tcPr>
            <w:tcW w:w="2022" w:type="dxa"/>
            <w:shd w:val="clear" w:color="auto" w:fill="D9E2F3" w:themeFill="accent1" w:themeFillTint="33"/>
          </w:tcPr>
          <w:p>
            <w:pPr>
              <w:pStyle w:val="37"/>
              <w:spacing w:line="240" w:lineRule="auto"/>
              <w:rPr>
                <w:rFonts w:cs="Times New Roman"/>
              </w:rPr>
            </w:pPr>
            <w:r>
              <w:rPr>
                <w:rFonts w:cs="Times New Roman"/>
              </w:rPr>
              <w:t>（1）气体1000m</w:t>
            </w:r>
            <w:r>
              <w:rPr>
                <w:rFonts w:cs="Times New Roman"/>
                <w:vertAlign w:val="superscript"/>
              </w:rPr>
              <w:t>3</w:t>
            </w:r>
            <w:r>
              <w:rPr>
                <w:rFonts w:cs="Times New Roman"/>
              </w:rPr>
              <w:t>以上；</w:t>
            </w:r>
          </w:p>
          <w:p>
            <w:pPr>
              <w:pStyle w:val="37"/>
              <w:spacing w:line="240" w:lineRule="auto"/>
            </w:pPr>
            <w:r>
              <w:rPr>
                <w:rFonts w:cs="Times New Roman"/>
              </w:rPr>
              <w:t>（2）液体100m</w:t>
            </w:r>
            <w:r>
              <w:rPr>
                <w:rFonts w:cs="Times New Roman"/>
                <w:vertAlign w:val="superscript"/>
              </w:rPr>
              <w:t>3</w:t>
            </w:r>
            <w:r>
              <w:rPr>
                <w:rFonts w:cs="Times New Roman"/>
              </w:rPr>
              <w:t>以上。</w:t>
            </w:r>
          </w:p>
        </w:tc>
        <w:tc>
          <w:tcPr>
            <w:tcW w:w="2410" w:type="dxa"/>
            <w:shd w:val="clear" w:color="auto" w:fill="D9E2F3" w:themeFill="accent1" w:themeFillTint="33"/>
          </w:tcPr>
          <w:p>
            <w:pPr>
              <w:pStyle w:val="37"/>
              <w:spacing w:line="240" w:lineRule="auto"/>
              <w:rPr>
                <w:rFonts w:cs="Times New Roman"/>
              </w:rPr>
            </w:pPr>
            <w:r>
              <w:rPr>
                <w:rFonts w:cs="Times New Roman"/>
              </w:rPr>
              <w:t>（1）气体500</w:t>
            </w:r>
            <w:r>
              <w:rPr>
                <w:rFonts w:hint="eastAsia" w:cs="Times New Roman"/>
              </w:rPr>
              <w:t>-</w:t>
            </w:r>
            <w:r>
              <w:rPr>
                <w:rFonts w:cs="Times New Roman"/>
              </w:rPr>
              <w:t>1000m</w:t>
            </w:r>
            <w:r>
              <w:rPr>
                <w:rFonts w:cs="Times New Roman"/>
                <w:vertAlign w:val="superscript"/>
              </w:rPr>
              <w:t>3</w:t>
            </w:r>
          </w:p>
          <w:p>
            <w:pPr>
              <w:pStyle w:val="37"/>
              <w:spacing w:line="240" w:lineRule="auto"/>
            </w:pPr>
            <w:r>
              <w:rPr>
                <w:rFonts w:cs="Times New Roman"/>
              </w:rPr>
              <w:t>（2）液体50</w:t>
            </w:r>
            <w:r>
              <w:rPr>
                <w:rFonts w:hint="eastAsia" w:cs="Times New Roman"/>
              </w:rPr>
              <w:t>-</w:t>
            </w:r>
            <w:r>
              <w:rPr>
                <w:rFonts w:cs="Times New Roman"/>
              </w:rPr>
              <w:t>100m</w:t>
            </w:r>
            <w:r>
              <w:rPr>
                <w:rFonts w:cs="Times New Roman"/>
                <w:vertAlign w:val="superscript"/>
              </w:rPr>
              <w:t>3</w:t>
            </w:r>
          </w:p>
        </w:tc>
        <w:tc>
          <w:tcPr>
            <w:tcW w:w="2835" w:type="dxa"/>
            <w:shd w:val="clear" w:color="auto" w:fill="D9E2F3" w:themeFill="accent1" w:themeFillTint="33"/>
          </w:tcPr>
          <w:p>
            <w:pPr>
              <w:pStyle w:val="37"/>
              <w:spacing w:line="240" w:lineRule="auto"/>
            </w:pPr>
            <w:r>
              <w:rPr>
                <w:rFonts w:cs="Times New Roman"/>
              </w:rPr>
              <w:t>（1）气体100</w:t>
            </w:r>
            <w:r>
              <w:rPr>
                <w:rFonts w:hint="eastAsia" w:cs="Times New Roman"/>
              </w:rPr>
              <w:t>-</w:t>
            </w:r>
            <w:r>
              <w:rPr>
                <w:rFonts w:cs="Times New Roman"/>
              </w:rPr>
              <w:t>500m</w:t>
            </w:r>
            <w:r>
              <w:rPr>
                <w:rFonts w:cs="Times New Roman"/>
                <w:vertAlign w:val="superscript"/>
              </w:rPr>
              <w:t>3</w:t>
            </w:r>
            <w:r>
              <w:rPr>
                <w:rFonts w:cs="Times New Roman"/>
              </w:rPr>
              <w:t>；（2）液体10</w:t>
            </w:r>
            <w:r>
              <w:rPr>
                <w:rFonts w:hint="eastAsia" w:cs="Times New Roman"/>
              </w:rPr>
              <w:t>-</w:t>
            </w:r>
            <w:r>
              <w:rPr>
                <w:rFonts w:cs="Times New Roman"/>
              </w:rPr>
              <w:t>50m</w:t>
            </w:r>
            <w:r>
              <w:rPr>
                <w:rFonts w:cs="Times New Roman"/>
                <w:vertAlign w:val="superscript"/>
              </w:rPr>
              <w:t>3</w:t>
            </w:r>
            <w:r>
              <w:rPr>
                <w:rFonts w:cs="Times New Roman"/>
              </w:rPr>
              <w:t>。</w:t>
            </w:r>
          </w:p>
        </w:tc>
        <w:tc>
          <w:tcPr>
            <w:tcW w:w="1842" w:type="dxa"/>
            <w:shd w:val="clear" w:color="auto" w:fill="D9E2F3" w:themeFill="accent1" w:themeFillTint="33"/>
          </w:tcPr>
          <w:p>
            <w:pPr>
              <w:pStyle w:val="37"/>
              <w:spacing w:line="240" w:lineRule="auto"/>
              <w:rPr>
                <w:rFonts w:cs="Times New Roman"/>
              </w:rPr>
            </w:pPr>
            <w:r>
              <w:rPr>
                <w:rFonts w:cs="Times New Roman"/>
              </w:rPr>
              <w:t>（1）气体＜100m</w:t>
            </w:r>
            <w:r>
              <w:rPr>
                <w:rFonts w:cs="Times New Roman"/>
                <w:vertAlign w:val="superscript"/>
              </w:rPr>
              <w:t>3</w:t>
            </w:r>
            <w:r>
              <w:rPr>
                <w:rFonts w:hint="eastAsia" w:cs="Times New Roman"/>
              </w:rPr>
              <w:t>；</w:t>
            </w:r>
          </w:p>
          <w:p>
            <w:pPr>
              <w:pStyle w:val="37"/>
              <w:spacing w:line="240" w:lineRule="auto"/>
            </w:pPr>
            <w:r>
              <w:rPr>
                <w:rFonts w:cs="Times New Roman"/>
              </w:rPr>
              <w:t>（2）液体＜10m</w:t>
            </w:r>
            <w:r>
              <w:rPr>
                <w:rFonts w:cs="Times New Roman"/>
                <w:vertAlign w:val="superscript"/>
              </w:rPr>
              <w:t>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tcPr>
          <w:p>
            <w:pPr>
              <w:pStyle w:val="37"/>
              <w:spacing w:line="240" w:lineRule="auto"/>
              <w:rPr>
                <w:b w:val="0"/>
                <w:bCs w:val="0"/>
              </w:rPr>
            </w:pPr>
            <w:r>
              <w:rPr>
                <w:rFonts w:hint="eastAsia"/>
                <w:b w:val="0"/>
                <w:bCs/>
              </w:rPr>
              <w:t>温度</w:t>
            </w:r>
          </w:p>
        </w:tc>
        <w:tc>
          <w:tcPr>
            <w:tcW w:w="2022" w:type="dxa"/>
          </w:tcPr>
          <w:p>
            <w:pPr>
              <w:pStyle w:val="37"/>
              <w:spacing w:line="240" w:lineRule="auto"/>
            </w:pPr>
            <w:r>
              <w:rPr>
                <w:rFonts w:cs="Times New Roman"/>
              </w:rPr>
              <w:t>1000</w:t>
            </w:r>
            <w:r>
              <w:rPr>
                <w:rFonts w:hint="eastAsia" w:hAnsi="宋体"/>
              </w:rPr>
              <w:t>℃</w:t>
            </w:r>
            <w:r>
              <w:rPr>
                <w:rFonts w:cs="Times New Roman"/>
              </w:rPr>
              <w:t>以上使用，其操作温度在燃点以上</w:t>
            </w:r>
          </w:p>
        </w:tc>
        <w:tc>
          <w:tcPr>
            <w:tcW w:w="2410" w:type="dxa"/>
          </w:tcPr>
          <w:p>
            <w:pPr>
              <w:pStyle w:val="37"/>
              <w:spacing w:line="240" w:lineRule="auto"/>
              <w:rPr>
                <w:rFonts w:cs="Times New Roman"/>
              </w:rPr>
            </w:pPr>
            <w:r>
              <w:rPr>
                <w:rFonts w:cs="Times New Roman"/>
              </w:rPr>
              <w:t>（1）1000</w:t>
            </w:r>
            <w:r>
              <w:rPr>
                <w:rFonts w:hint="eastAsia" w:hAnsi="宋体"/>
              </w:rPr>
              <w:t>℃</w:t>
            </w:r>
            <w:r>
              <w:rPr>
                <w:rFonts w:cs="Times New Roman"/>
              </w:rPr>
              <w:t>以上使用，但操作温度在燃点以下；</w:t>
            </w:r>
          </w:p>
          <w:p>
            <w:pPr>
              <w:pStyle w:val="37"/>
              <w:spacing w:line="240" w:lineRule="auto"/>
            </w:pPr>
            <w:r>
              <w:rPr>
                <w:rFonts w:cs="Times New Roman"/>
              </w:rPr>
              <w:t>（2）在250</w:t>
            </w:r>
            <w:r>
              <w:rPr>
                <w:rFonts w:hint="eastAsia" w:cs="Times New Roman"/>
              </w:rPr>
              <w:t>-</w:t>
            </w:r>
            <w:r>
              <w:rPr>
                <w:rFonts w:cs="Times New Roman"/>
              </w:rPr>
              <w:t>1000</w:t>
            </w:r>
            <w:r>
              <w:rPr>
                <w:rFonts w:hint="eastAsia" w:hAnsi="宋体"/>
              </w:rPr>
              <w:t>℃</w:t>
            </w:r>
            <w:r>
              <w:rPr>
                <w:rFonts w:hint="eastAsia" w:cs="Times New Roman"/>
              </w:rPr>
              <w:t>使</w:t>
            </w:r>
            <w:r>
              <w:rPr>
                <w:rFonts w:cs="Times New Roman"/>
              </w:rPr>
              <w:t>用，其操作温度在燃点以上。</w:t>
            </w:r>
          </w:p>
        </w:tc>
        <w:tc>
          <w:tcPr>
            <w:tcW w:w="2835" w:type="dxa"/>
          </w:tcPr>
          <w:p>
            <w:pPr>
              <w:pStyle w:val="37"/>
              <w:spacing w:line="240" w:lineRule="auto"/>
              <w:rPr>
                <w:rFonts w:cs="Times New Roman"/>
              </w:rPr>
            </w:pPr>
            <w:r>
              <w:rPr>
                <w:rFonts w:hint="eastAsia" w:cs="Times New Roman"/>
              </w:rPr>
              <w:t>（1）</w:t>
            </w:r>
            <w:r>
              <w:rPr>
                <w:rFonts w:cs="Times New Roman"/>
              </w:rPr>
              <w:t>250</w:t>
            </w:r>
            <w:r>
              <w:rPr>
                <w:rFonts w:hint="eastAsia" w:cs="Times New Roman"/>
              </w:rPr>
              <w:t xml:space="preserve"> - </w:t>
            </w:r>
            <w:r>
              <w:rPr>
                <w:rFonts w:cs="Times New Roman"/>
              </w:rPr>
              <w:t>1000</w:t>
            </w:r>
            <w:r>
              <w:rPr>
                <w:rFonts w:hint="eastAsia" w:hAnsi="宋体"/>
              </w:rPr>
              <w:t>℃</w:t>
            </w:r>
            <w:r>
              <w:rPr>
                <w:rFonts w:cs="Times New Roman"/>
              </w:rPr>
              <w:t>使用，但操作温度在燃点以下；</w:t>
            </w:r>
          </w:p>
          <w:p>
            <w:pPr>
              <w:pStyle w:val="37"/>
              <w:spacing w:line="240" w:lineRule="auto"/>
            </w:pPr>
            <w:r>
              <w:rPr>
                <w:rFonts w:cs="Times New Roman"/>
              </w:rPr>
              <w:t>（2）在低于250</w:t>
            </w:r>
            <w:r>
              <w:rPr>
                <w:rFonts w:hint="eastAsia" w:hAnsi="宋体"/>
              </w:rPr>
              <w:t>℃</w:t>
            </w:r>
            <w:r>
              <w:rPr>
                <w:rFonts w:cs="Times New Roman"/>
              </w:rPr>
              <w:t>时使用，操作温度在燃点以下。</w:t>
            </w:r>
          </w:p>
        </w:tc>
        <w:tc>
          <w:tcPr>
            <w:tcW w:w="1842" w:type="dxa"/>
          </w:tcPr>
          <w:p>
            <w:pPr>
              <w:pStyle w:val="37"/>
              <w:spacing w:line="240" w:lineRule="auto"/>
            </w:pPr>
            <w:r>
              <w:rPr>
                <w:rFonts w:cs="Times New Roman"/>
              </w:rPr>
              <w:t>在低于250</w:t>
            </w:r>
            <w:r>
              <w:rPr>
                <w:rFonts w:hint="eastAsia" w:hAnsi="宋体"/>
              </w:rPr>
              <w:t>℃</w:t>
            </w:r>
            <w:r>
              <w:rPr>
                <w:rFonts w:cs="Times New Roman"/>
              </w:rPr>
              <w:t>时使用，操作温度在燃点以下</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shd w:val="clear" w:color="auto" w:fill="D9E2F3" w:themeFill="accent1" w:themeFillTint="33"/>
          </w:tcPr>
          <w:p>
            <w:pPr>
              <w:pStyle w:val="37"/>
              <w:spacing w:line="240" w:lineRule="auto"/>
              <w:rPr>
                <w:b w:val="0"/>
                <w:bCs w:val="0"/>
              </w:rPr>
            </w:pPr>
            <w:r>
              <w:rPr>
                <w:rFonts w:hint="eastAsia"/>
                <w:b w:val="0"/>
                <w:bCs/>
              </w:rPr>
              <w:t>压力</w:t>
            </w:r>
          </w:p>
        </w:tc>
        <w:tc>
          <w:tcPr>
            <w:tcW w:w="2022" w:type="dxa"/>
            <w:shd w:val="clear" w:color="auto" w:fill="D9E2F3" w:themeFill="accent1" w:themeFillTint="33"/>
          </w:tcPr>
          <w:p>
            <w:pPr>
              <w:pStyle w:val="37"/>
              <w:spacing w:line="240" w:lineRule="auto"/>
            </w:pPr>
            <w:r>
              <w:rPr>
                <w:rFonts w:cs="Times New Roman"/>
              </w:rPr>
              <w:t>100MPa</w:t>
            </w:r>
          </w:p>
        </w:tc>
        <w:tc>
          <w:tcPr>
            <w:tcW w:w="2410" w:type="dxa"/>
            <w:shd w:val="clear" w:color="auto" w:fill="D9E2F3" w:themeFill="accent1" w:themeFillTint="33"/>
          </w:tcPr>
          <w:p>
            <w:pPr>
              <w:pStyle w:val="37"/>
              <w:spacing w:line="240" w:lineRule="auto"/>
            </w:pPr>
            <w:r>
              <w:rPr>
                <w:rFonts w:cs="Times New Roman"/>
              </w:rPr>
              <w:t>20</w:t>
            </w:r>
            <w:r>
              <w:rPr>
                <w:rFonts w:hint="eastAsia" w:cs="Times New Roman"/>
              </w:rPr>
              <w:t>-</w:t>
            </w:r>
            <w:r>
              <w:rPr>
                <w:rFonts w:cs="Times New Roman"/>
              </w:rPr>
              <w:t>100MPa</w:t>
            </w:r>
          </w:p>
        </w:tc>
        <w:tc>
          <w:tcPr>
            <w:tcW w:w="2835" w:type="dxa"/>
            <w:shd w:val="clear" w:color="auto" w:fill="D9E2F3" w:themeFill="accent1" w:themeFillTint="33"/>
          </w:tcPr>
          <w:p>
            <w:pPr>
              <w:pStyle w:val="37"/>
              <w:spacing w:line="240" w:lineRule="auto"/>
            </w:pPr>
            <w:r>
              <w:rPr>
                <w:rFonts w:cs="Times New Roman"/>
              </w:rPr>
              <w:t>1</w:t>
            </w:r>
            <w:r>
              <w:rPr>
                <w:rFonts w:hint="eastAsia" w:cs="Times New Roman"/>
              </w:rPr>
              <w:t>-</w:t>
            </w:r>
            <w:r>
              <w:rPr>
                <w:rFonts w:cs="Times New Roman"/>
              </w:rPr>
              <w:t>20MPa</w:t>
            </w:r>
          </w:p>
        </w:tc>
        <w:tc>
          <w:tcPr>
            <w:tcW w:w="1842" w:type="dxa"/>
            <w:shd w:val="clear" w:color="auto" w:fill="D9E2F3" w:themeFill="accent1" w:themeFillTint="33"/>
          </w:tcPr>
          <w:p>
            <w:pPr>
              <w:pStyle w:val="37"/>
              <w:spacing w:line="240" w:lineRule="auto"/>
            </w:pPr>
            <w:r>
              <w:rPr>
                <w:rFonts w:cs="Times New Roman"/>
              </w:rPr>
              <w:t>1MPa以下</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tcPr>
          <w:p>
            <w:pPr>
              <w:pStyle w:val="37"/>
              <w:spacing w:line="240" w:lineRule="auto"/>
              <w:rPr>
                <w:b w:val="0"/>
                <w:bCs w:val="0"/>
              </w:rPr>
            </w:pPr>
            <w:r>
              <w:rPr>
                <w:rFonts w:hint="eastAsia"/>
                <w:b w:val="0"/>
                <w:bCs/>
              </w:rPr>
              <w:t>操作</w:t>
            </w:r>
          </w:p>
        </w:tc>
        <w:tc>
          <w:tcPr>
            <w:tcW w:w="2022" w:type="dxa"/>
          </w:tcPr>
          <w:p>
            <w:pPr>
              <w:pStyle w:val="37"/>
              <w:spacing w:line="240" w:lineRule="auto"/>
              <w:rPr>
                <w:rFonts w:cs="Times New Roman"/>
              </w:rPr>
            </w:pPr>
            <w:r>
              <w:rPr>
                <w:rFonts w:cs="Times New Roman"/>
              </w:rPr>
              <w:t>（1）临界放热和特别剧烈的放热反应操作；</w:t>
            </w:r>
          </w:p>
          <w:p>
            <w:pPr>
              <w:pStyle w:val="37"/>
              <w:spacing w:line="240" w:lineRule="auto"/>
            </w:pPr>
            <w:r>
              <w:rPr>
                <w:rFonts w:cs="Times New Roman"/>
              </w:rPr>
              <w:t>（2）在爆炸极限范围内或其附近的操作</w:t>
            </w:r>
            <w:r>
              <w:rPr>
                <w:rFonts w:hint="eastAsia" w:cs="Times New Roman"/>
              </w:rPr>
              <w:t>。</w:t>
            </w:r>
          </w:p>
        </w:tc>
        <w:tc>
          <w:tcPr>
            <w:tcW w:w="2410" w:type="dxa"/>
          </w:tcPr>
          <w:p>
            <w:pPr>
              <w:pStyle w:val="37"/>
              <w:spacing w:line="240" w:lineRule="auto"/>
              <w:rPr>
                <w:rFonts w:cs="Times New Roman"/>
              </w:rPr>
            </w:pPr>
            <w:r>
              <w:rPr>
                <w:rFonts w:cs="Times New Roman"/>
              </w:rPr>
              <w:t>（1）中等放热反应（如烷基化、酯化、加成、氧化、聚合、缩合等反应）操作；（2）系统进入空气或不纯物质，可能发生危险操作；</w:t>
            </w:r>
          </w:p>
          <w:p>
            <w:pPr>
              <w:pStyle w:val="37"/>
              <w:spacing w:line="240" w:lineRule="auto"/>
              <w:rPr>
                <w:rFonts w:cs="Times New Roman"/>
              </w:rPr>
            </w:pPr>
            <w:r>
              <w:rPr>
                <w:rFonts w:cs="Times New Roman"/>
              </w:rPr>
              <w:t>（3）使用粉状或雾状物质，有可能发生粉尘爆炸的操作；</w:t>
            </w:r>
          </w:p>
          <w:p>
            <w:pPr>
              <w:pStyle w:val="37"/>
              <w:spacing w:line="240" w:lineRule="auto"/>
            </w:pPr>
            <w:r>
              <w:rPr>
                <w:rFonts w:cs="Times New Roman"/>
              </w:rPr>
              <w:t>（4）单批式操作</w:t>
            </w:r>
          </w:p>
        </w:tc>
        <w:tc>
          <w:tcPr>
            <w:tcW w:w="2835" w:type="dxa"/>
          </w:tcPr>
          <w:p>
            <w:pPr>
              <w:pStyle w:val="37"/>
              <w:spacing w:line="240" w:lineRule="auto"/>
              <w:rPr>
                <w:rFonts w:cs="Times New Roman"/>
              </w:rPr>
            </w:pPr>
            <w:r>
              <w:rPr>
                <w:rFonts w:cs="Times New Roman"/>
              </w:rPr>
              <w:t>（1）轻微放热反应（如加氢、水和、异构化、烷基化、磺化、中和等反应）操作；</w:t>
            </w:r>
          </w:p>
          <w:p>
            <w:pPr>
              <w:pStyle w:val="37"/>
              <w:spacing w:line="240" w:lineRule="auto"/>
              <w:rPr>
                <w:rFonts w:cs="Times New Roman"/>
              </w:rPr>
            </w:pPr>
            <w:r>
              <w:rPr>
                <w:rFonts w:cs="Times New Roman"/>
              </w:rPr>
              <w:t>（2）在精制过程中伴有化学反应；</w:t>
            </w:r>
          </w:p>
          <w:p>
            <w:pPr>
              <w:pStyle w:val="37"/>
              <w:spacing w:line="240" w:lineRule="auto"/>
              <w:rPr>
                <w:rFonts w:cs="Times New Roman"/>
              </w:rPr>
            </w:pPr>
            <w:r>
              <w:rPr>
                <w:rFonts w:cs="Times New Roman"/>
              </w:rPr>
              <w:t>（3）单批式操作，但开始使用机械等手段进行程序操作；</w:t>
            </w:r>
          </w:p>
          <w:p>
            <w:pPr>
              <w:pStyle w:val="37"/>
              <w:spacing w:line="240" w:lineRule="auto"/>
            </w:pPr>
            <w:r>
              <w:rPr>
                <w:rFonts w:cs="Times New Roman"/>
              </w:rPr>
              <w:t>（4）有一定危险的操作。</w:t>
            </w:r>
          </w:p>
        </w:tc>
        <w:tc>
          <w:tcPr>
            <w:tcW w:w="1842" w:type="dxa"/>
          </w:tcPr>
          <w:p>
            <w:pPr>
              <w:pStyle w:val="37"/>
              <w:spacing w:line="240" w:lineRule="auto"/>
            </w:pPr>
            <w:r>
              <w:rPr>
                <w:rFonts w:cs="Times New Roman"/>
              </w:rPr>
              <w:t>无危险的操作</w:t>
            </w:r>
          </w:p>
        </w:tc>
      </w:tr>
    </w:tbl>
    <w:p>
      <w:pPr>
        <w:pStyle w:val="39"/>
      </w:pPr>
    </w:p>
    <w:p>
      <w:pPr>
        <w:pStyle w:val="4"/>
        <w:spacing w:before="156" w:after="156"/>
        <w:ind w:firstLine="482"/>
      </w:pPr>
      <w:bookmarkStart w:id="173" w:name="_Toc141203950"/>
      <w:bookmarkStart w:id="174" w:name="_Toc108206541"/>
      <w:r>
        <w:rPr>
          <w:rFonts w:hint="eastAsia"/>
        </w:rPr>
        <w:t>6</w:t>
      </w:r>
      <w:r>
        <w:t>.1.3</w:t>
      </w:r>
      <w:r>
        <w:rPr>
          <w:rFonts w:hint="eastAsia"/>
        </w:rPr>
        <w:t>道化学（DOW）公司火灾、爆炸危险指数评价法</w:t>
      </w:r>
      <w:bookmarkEnd w:id="173"/>
      <w:bookmarkEnd w:id="174"/>
    </w:p>
    <w:p>
      <w:pPr>
        <w:spacing w:before="156" w:after="156"/>
        <w:ind w:firstLine="420"/>
      </w:pPr>
      <w:r>
        <w:t>道化学公司火灾爆炸危险指数评价方法已被化学工业及石油化学工业公认为最主要的危险指数评价法。它提供了评价火灾、爆炸总体危险的关键数据，可以与“化学暴露指数指南”（第二版</w:t>
      </w:r>
      <w:r>
        <w:rPr>
          <w:rFonts w:hint="eastAsia"/>
        </w:rPr>
        <w:t>）</w:t>
      </w:r>
      <w:r>
        <w:t>及其他工艺数据联合使用，形成一个风险分析软件包，以更好地剖析生产单元的潜在危险。F&amp;EI的最初目的是作为选择火灾预防方法的指南，目前其更多的用途是针对装置的关键特征，提供一种给单一工艺单元进行相对分级的方法。</w:t>
      </w:r>
    </w:p>
    <w:p>
      <w:pPr>
        <w:spacing w:before="156" w:after="156"/>
        <w:ind w:firstLine="420"/>
      </w:pPr>
      <w:r>
        <w:t>火灾、爆炸风险分析是对工艺装置及所含物料的实际潜在火灾、爆炸和反应性危险进行按步推算的客观评价。分析中定量的依据是以往的事故统计资料、物质的潜在能量和现行安全措施的状况。</w:t>
      </w:r>
    </w:p>
    <w:p>
      <w:pPr>
        <w:spacing w:before="156" w:after="156"/>
        <w:ind w:firstLine="420"/>
        <w:rPr>
          <w:b/>
        </w:rPr>
      </w:pPr>
      <w:r>
        <w:t>F&amp;EI系统的目的是：</w:t>
      </w:r>
    </w:p>
    <w:p>
      <w:pPr>
        <w:spacing w:before="156" w:after="156"/>
        <w:ind w:firstLine="420"/>
      </w:pPr>
      <w:r>
        <w:t>（1）真实地量化潜在火灾、爆炸和反应性事故的预期损失；</w:t>
      </w:r>
    </w:p>
    <w:p>
      <w:pPr>
        <w:spacing w:before="156" w:after="156"/>
        <w:ind w:firstLine="420"/>
      </w:pPr>
      <w:r>
        <w:t>（2）确定可能引起事故发生或使事故扩大的装置；</w:t>
      </w:r>
    </w:p>
    <w:p>
      <w:pPr>
        <w:spacing w:before="156" w:after="156"/>
        <w:ind w:firstLine="420"/>
      </w:pPr>
      <w:r>
        <w:t>（3）向管理部门通报潜在的火灾、爆炸危险性。</w:t>
      </w:r>
    </w:p>
    <w:p>
      <w:pPr>
        <w:spacing w:before="156" w:after="156"/>
        <w:ind w:firstLine="420"/>
      </w:pPr>
      <w:r>
        <w:t>F&amp;EI系统最重要的目标是使工程师了解各工艺部分可能造成的损失，并帮助其确定减轻潜在事故的严重性和总损失的有效而又经济的途径。F&amp;EI用于“道化公司风险审查过程”，在“工艺危险分析”或“一级风险审查”时，必须确定F&amp;EI的数值。</w:t>
      </w:r>
    </w:p>
    <w:p>
      <w:pPr>
        <w:spacing w:before="156" w:after="156"/>
        <w:ind w:firstLine="420"/>
      </w:pPr>
      <w:r>
        <w:t>道化公司F&amp;EI系统试图确定工艺设备（或工艺单元）或有关装置可能的真正最大损失——在最不利的操作条件下可能遭受的实际损失。计算的基础是量化的数据，如有限泄漏率、与物质闪点和沸点有关的工艺温度及化学活性等是可能发生事故的许多因素中的少数几个。</w:t>
      </w:r>
    </w:p>
    <w:p>
      <w:pPr>
        <w:spacing w:before="156" w:after="156"/>
        <w:ind w:firstLine="420"/>
      </w:pPr>
      <w:r>
        <w:t>为了在工程实际项目中应用F&amp;EI系统进行装置的风险评价，针对某一个具体评价对象而言，并非每一个修正系数都要用到，有些修正系数要根据具体情况作必要的调整。</w:t>
      </w:r>
    </w:p>
    <w:p>
      <w:pPr>
        <w:spacing w:before="156" w:after="156"/>
        <w:ind w:firstLine="420"/>
      </w:pPr>
      <w:r>
        <w:t>风险分析计算程序如下：</w:t>
      </w:r>
    </w:p>
    <w:p>
      <w:pPr>
        <w:spacing w:before="156" w:after="156"/>
        <w:ind w:firstLine="420"/>
      </w:pPr>
      <w:r>
        <w:t>（1）依照设计方案选择最适宜的工艺单元，它应在工艺上起关键作用，并可能对潜在火灾、爆炸危险具有重大影响；</w:t>
      </w:r>
    </w:p>
    <w:p>
      <w:pPr>
        <w:spacing w:before="156" w:after="156"/>
        <w:ind w:firstLine="420"/>
      </w:pPr>
      <w:r>
        <w:t>（2）确定每一工艺单元的物质系数（MF），工艺单元中特定物质的物质系数可从表中查得；</w:t>
      </w:r>
    </w:p>
    <w:p>
      <w:pPr>
        <w:spacing w:before="156" w:after="156"/>
        <w:ind w:firstLine="420"/>
      </w:pPr>
      <w:r>
        <w:t>（3）按照F&amp;EI计算表，采用适当的系数值后完成一般工艺危险系数的计算；</w:t>
      </w:r>
    </w:p>
    <w:p>
      <w:pPr>
        <w:spacing w:before="156" w:after="156"/>
        <w:ind w:firstLine="420"/>
      </w:pPr>
      <w:r>
        <w:t>（4）按照F&amp;EI计算表，采用适当的系数值后完成特殊工艺危险系数的计算；</w:t>
      </w:r>
    </w:p>
    <w:p>
      <w:pPr>
        <w:spacing w:before="156" w:after="156"/>
        <w:ind w:firstLine="420"/>
      </w:pPr>
      <w:r>
        <w:t>（5）用一般工艺危险系数和特殊工艺危险系数相乘，求出工艺单元危险系数；</w:t>
      </w:r>
    </w:p>
    <w:p>
      <w:pPr>
        <w:spacing w:before="156" w:after="156"/>
        <w:ind w:firstLine="420"/>
      </w:pPr>
      <w:r>
        <w:t>（6）用工艺单元危险系数和物质系数的乘积确定火灾、爆炸危险指数（F&amp;El）；</w:t>
      </w:r>
    </w:p>
    <w:p>
      <w:pPr>
        <w:spacing w:before="156" w:after="156"/>
        <w:ind w:firstLine="420"/>
      </w:pPr>
      <w:r>
        <w:t>（7）按暴露半径确定所评价工艺单元周围的暴露面积；</w:t>
      </w:r>
    </w:p>
    <w:p>
      <w:pPr>
        <w:spacing w:before="156" w:after="156"/>
        <w:ind w:firstLine="420"/>
      </w:pPr>
      <w:r>
        <w:t>（8）确定在暴露区域内所有设备的更换价值，并列出设备清单；</w:t>
      </w:r>
    </w:p>
    <w:p>
      <w:pPr>
        <w:spacing w:before="156" w:after="156"/>
        <w:ind w:firstLine="420"/>
      </w:pPr>
      <w:r>
        <w:t>（9）根据MF和工艺单元危险系数（F</w:t>
      </w:r>
      <w:r>
        <w:rPr>
          <w:sz w:val="13"/>
          <w:szCs w:val="12"/>
        </w:rPr>
        <w:t>3</w:t>
      </w:r>
      <w:r>
        <w:t>），用图确定危害系数，危害系数表示损失暴露程度；</w:t>
      </w:r>
    </w:p>
    <w:p>
      <w:pPr>
        <w:spacing w:before="156" w:after="156"/>
        <w:ind w:firstLine="420"/>
      </w:pPr>
      <w:r>
        <w:t>（10）由暴露面积与危害系数的乘积求出基本最大可能财产损失（基本MPPD）；</w:t>
      </w:r>
    </w:p>
    <w:p>
      <w:pPr>
        <w:spacing w:before="156" w:after="156"/>
        <w:ind w:firstLine="420"/>
      </w:pPr>
      <w:r>
        <w:t>（11）应用安全措施补偿系数于基本MPPD，确定实际MPPD；</w:t>
      </w:r>
    </w:p>
    <w:p>
      <w:pPr>
        <w:spacing w:before="156" w:after="156"/>
        <w:ind w:firstLine="420"/>
      </w:pPr>
      <w:r>
        <w:t>（12）已知实际MPPD，用图1-4确定最大可能损失工作日；</w:t>
      </w:r>
    </w:p>
    <w:p>
      <w:pPr>
        <w:spacing w:before="156" w:after="156"/>
        <w:ind w:firstLine="420"/>
      </w:pPr>
      <w:r>
        <w:t>（13）用“工艺单元危险分析汇总”所述的方程确定停产损失（B1），其中MPPD要乘以月产值（VPM）和0.70</w:t>
      </w:r>
      <w:r>
        <w:rPr>
          <w:rFonts w:hint="eastAsia"/>
        </w:rPr>
        <w:t>/</w:t>
      </w:r>
      <w:r>
        <w:t>30。</w:t>
      </w:r>
    </w:p>
    <w:p>
      <w:pPr>
        <w:pStyle w:val="3"/>
        <w:spacing w:before="156" w:after="156"/>
        <w:ind w:firstLine="562"/>
      </w:pPr>
      <w:bookmarkStart w:id="175" w:name="_Toc141203951"/>
      <w:bookmarkStart w:id="176" w:name="_Toc108206542"/>
      <w:r>
        <w:rPr>
          <w:rFonts w:hint="eastAsia"/>
        </w:rPr>
        <w:t>6</w:t>
      </w:r>
      <w:r>
        <w:t>.2</w:t>
      </w:r>
      <w:r>
        <w:rPr>
          <w:rFonts w:hint="eastAsia"/>
        </w:rPr>
        <w:t>评价单元的划分</w:t>
      </w:r>
      <w:bookmarkEnd w:id="175"/>
      <w:bookmarkEnd w:id="176"/>
    </w:p>
    <w:p>
      <w:pPr>
        <w:pStyle w:val="4"/>
        <w:spacing w:before="156" w:after="156"/>
        <w:ind w:firstLine="482"/>
      </w:pPr>
      <w:bookmarkStart w:id="177" w:name="_Toc108206543"/>
      <w:bookmarkStart w:id="178" w:name="_Toc141203952"/>
      <w:r>
        <w:rPr>
          <w:rFonts w:hint="eastAsia"/>
        </w:rPr>
        <w:t>6</w:t>
      </w:r>
      <w:r>
        <w:t>.2.1</w:t>
      </w:r>
      <w:r>
        <w:rPr>
          <w:rFonts w:hint="eastAsia"/>
        </w:rPr>
        <w:t>评价单元划分原则</w:t>
      </w:r>
      <w:bookmarkEnd w:id="177"/>
      <w:bookmarkEnd w:id="178"/>
    </w:p>
    <w:p>
      <w:pPr>
        <w:spacing w:before="156" w:after="156"/>
        <w:ind w:firstLine="420"/>
      </w:pPr>
      <w:r>
        <w:t>评价单元一般是在危险有害因素辨识分析的基础上，为了安全评价需要，根据评价目标和评价方法，将整个评价对象分成若干有限、确定的范围即为评价单元。</w:t>
      </w:r>
    </w:p>
    <w:p>
      <w:pPr>
        <w:spacing w:before="156" w:after="156"/>
        <w:ind w:firstLine="420"/>
      </w:pPr>
      <w:r>
        <w:t>划分评价单元是为了便于评价工作的进行，既全面、又系统、有重点的分析问题。针对安全预评价的特点，安全评价单元的划分一般以自然条件、基本工艺条件、危险、有害因素分布及状况、便于实施评价为原则。常用的评价单元划分原则和方法：</w:t>
      </w:r>
    </w:p>
    <w:p>
      <w:pPr>
        <w:spacing w:before="156" w:after="156"/>
        <w:ind w:firstLine="420"/>
      </w:pPr>
      <w:r>
        <w:t>（1）以危险有害因素的类别为主划分；</w:t>
      </w:r>
    </w:p>
    <w:p>
      <w:pPr>
        <w:spacing w:before="156" w:after="156"/>
        <w:ind w:firstLine="420"/>
      </w:pPr>
      <w:r>
        <w:t>（2）按装置和物质特征划分；</w:t>
      </w:r>
    </w:p>
    <w:p>
      <w:pPr>
        <w:spacing w:before="156" w:after="156"/>
        <w:ind w:firstLine="420"/>
      </w:pPr>
      <w:r>
        <w:t>该建设项目评价按照上述原则并参考生产工艺单元和其他影响环节，结合危险有害因素的具体存在情况划分评价单元。</w:t>
      </w:r>
    </w:p>
    <w:p>
      <w:pPr>
        <w:pStyle w:val="4"/>
        <w:spacing w:before="156" w:after="156"/>
        <w:ind w:firstLine="482"/>
      </w:pPr>
      <w:bookmarkStart w:id="179" w:name="_Toc108206544"/>
      <w:bookmarkStart w:id="180" w:name="_Toc141203953"/>
      <w:r>
        <w:rPr>
          <w:rFonts w:hint="eastAsia"/>
        </w:rPr>
        <w:t>6</w:t>
      </w:r>
      <w:r>
        <w:t>.2.2</w:t>
      </w:r>
      <w:r>
        <w:rPr>
          <w:rFonts w:hint="eastAsia"/>
        </w:rPr>
        <w:t>评价单元划分</w:t>
      </w:r>
      <w:bookmarkEnd w:id="179"/>
      <w:bookmarkEnd w:id="180"/>
    </w:p>
    <w:p>
      <w:pPr>
        <w:spacing w:before="156" w:after="156"/>
        <w:ind w:firstLine="420"/>
      </w:pPr>
      <w:r>
        <w:t>该项目涉及到的系统包括项目选址及总平面布置，对</w:t>
      </w:r>
      <w:r>
        <w:rPr>
          <w:rFonts w:hint="eastAsia"/>
        </w:rPr>
        <w:t>己二腈生</w:t>
      </w:r>
      <w:r>
        <w:t>产过程、仓储及运输、电气、职业卫生六个单元。按照安全评价单元划分的原则，项目组成员以该项目装置和物质特性划分评价单元，根据相关资料，将其划分为六个单元。即：项目选址及总平面布置，ADN</w:t>
      </w:r>
      <w:r>
        <w:rPr>
          <w:rFonts w:hint="eastAsia"/>
        </w:rPr>
        <w:t>生</w:t>
      </w:r>
      <w:r>
        <w:t>产过程、仓储及运输、电气、消防、职业卫生六个单元。</w:t>
      </w:r>
    </w:p>
    <w:p>
      <w:pPr>
        <w:pStyle w:val="4"/>
        <w:spacing w:before="156" w:after="156"/>
        <w:ind w:firstLine="482"/>
      </w:pPr>
      <w:bookmarkStart w:id="181" w:name="_Toc141203954"/>
      <w:bookmarkStart w:id="182" w:name="_Toc108206545"/>
      <w:r>
        <w:rPr>
          <w:rFonts w:hint="eastAsia"/>
        </w:rPr>
        <w:t>6</w:t>
      </w:r>
      <w:r>
        <w:t>.2.3</w:t>
      </w:r>
      <w:r>
        <w:rPr>
          <w:rFonts w:hint="eastAsia"/>
        </w:rPr>
        <w:t>评价方法的选择</w:t>
      </w:r>
      <w:bookmarkEnd w:id="181"/>
      <w:bookmarkEnd w:id="182"/>
    </w:p>
    <w:p>
      <w:pPr>
        <w:spacing w:before="156" w:after="156"/>
        <w:ind w:firstLine="420"/>
      </w:pPr>
      <w:r>
        <w:rPr>
          <w:rFonts w:hint="eastAsia"/>
        </w:rPr>
        <w:t>根据</w:t>
      </w:r>
      <w:r>
        <w:t>该生产过程中可能存在的危险、有害因素情况，本次评价采用了危险度分析法作为评价的方法。</w:t>
      </w:r>
    </w:p>
    <w:p>
      <w:pPr>
        <w:widowControl/>
        <w:autoSpaceDE/>
        <w:autoSpaceDN/>
        <w:spacing w:before="0" w:beforeLines="0" w:after="0" w:afterLines="0" w:line="240" w:lineRule="auto"/>
        <w:ind w:firstLine="0" w:firstLineChars="0"/>
        <w:rPr>
          <w:b/>
          <w:sz w:val="18"/>
          <w:szCs w:val="18"/>
        </w:rPr>
      </w:pPr>
      <w:r>
        <w:rPr>
          <w:b/>
          <w:sz w:val="18"/>
          <w:szCs w:val="18"/>
        </w:rPr>
        <w:br w:type="page"/>
      </w:r>
    </w:p>
    <w:p>
      <w:pPr>
        <w:pStyle w:val="2"/>
        <w:spacing w:before="156" w:after="156"/>
        <w:ind w:firstLine="883"/>
      </w:pPr>
      <w:bookmarkStart w:id="183" w:name="_Toc141203955"/>
      <w:bookmarkStart w:id="184" w:name="_Toc108206546"/>
      <w:r>
        <w:rPr>
          <w:rFonts w:hint="eastAsia"/>
        </w:rPr>
        <w:t>第七章生产装置单元分析评价</w:t>
      </w:r>
      <w:bookmarkEnd w:id="183"/>
      <w:bookmarkEnd w:id="184"/>
    </w:p>
    <w:p>
      <w:pPr>
        <w:pStyle w:val="3"/>
        <w:spacing w:before="156" w:after="156"/>
        <w:ind w:firstLine="562"/>
      </w:pPr>
      <w:bookmarkStart w:id="185" w:name="_Toc108206547"/>
      <w:bookmarkStart w:id="186" w:name="_Toc141203956"/>
      <w:r>
        <w:rPr>
          <w:rFonts w:hint="eastAsia"/>
        </w:rPr>
        <w:t>7</w:t>
      </w:r>
      <w:r>
        <w:t>.1</w:t>
      </w:r>
      <w:r>
        <w:rPr>
          <w:rFonts w:hint="eastAsia"/>
        </w:rPr>
        <w:t>生产装置单元分析评价</w:t>
      </w:r>
      <w:bookmarkEnd w:id="185"/>
      <w:bookmarkEnd w:id="186"/>
    </w:p>
    <w:p>
      <w:pPr>
        <w:pStyle w:val="4"/>
        <w:spacing w:before="156" w:after="156"/>
        <w:ind w:firstLine="482"/>
      </w:pPr>
      <w:bookmarkStart w:id="187" w:name="_Toc141203957"/>
      <w:bookmarkStart w:id="188" w:name="_Toc108206548"/>
      <w:r>
        <w:t>7.1.1</w:t>
      </w:r>
      <w:r>
        <w:rPr>
          <w:rFonts w:hint="eastAsia"/>
        </w:rPr>
        <w:t>精馏塔预先危险性分析</w:t>
      </w:r>
      <w:bookmarkEnd w:id="187"/>
      <w:bookmarkEnd w:id="188"/>
    </w:p>
    <w:p>
      <w:pPr>
        <w:spacing w:before="156" w:after="156"/>
        <w:ind w:firstLine="420"/>
      </w:pPr>
      <w:r>
        <w:rPr>
          <w:rFonts w:hint="eastAsia"/>
        </w:rPr>
        <w:t>以下</w:t>
      </w:r>
      <w:r>
        <w:t>是对本工艺单元进行预先危险性分析的</w:t>
      </w:r>
      <w:r>
        <w:rPr>
          <w:rFonts w:hint="eastAsia"/>
        </w:rPr>
        <w:t>结果</w:t>
      </w:r>
      <w:r>
        <w:t>：</w:t>
      </w:r>
      <w:r>
        <w:rPr>
          <w:rFonts w:hint="eastAsia"/>
        </w:rPr>
        <w:t>此处</w:t>
      </w:r>
      <w:r>
        <w:t>以</w:t>
      </w:r>
      <w:r>
        <w:rPr>
          <w:rFonts w:hint="eastAsia"/>
        </w:rPr>
        <w:t>A</w:t>
      </w:r>
      <w:r>
        <w:t>A</w:t>
      </w:r>
      <w:r>
        <w:rPr>
          <w:rFonts w:hint="eastAsia"/>
        </w:rPr>
        <w:t>、酰胺分离塔为例</w:t>
      </w:r>
      <w:r>
        <w:t>分析精馏塔的预先危险性。</w:t>
      </w:r>
    </w:p>
    <w:p>
      <w:pPr>
        <w:pStyle w:val="5"/>
        <w:spacing w:before="156" w:after="156"/>
        <w:ind w:firstLine="560"/>
      </w:pPr>
      <w:r>
        <w:rPr>
          <w:rFonts w:hint="eastAsia"/>
        </w:rPr>
        <w:t>7</w:t>
      </w:r>
      <w:r>
        <w:t>.1.1.1</w:t>
      </w:r>
      <w:r>
        <w:rPr>
          <w:rFonts w:hint="eastAsia"/>
        </w:rPr>
        <w:t>火灾、化学爆炸</w:t>
      </w:r>
    </w:p>
    <w:p>
      <w:pPr>
        <w:spacing w:before="156" w:after="156"/>
        <w:ind w:firstLine="422"/>
        <w:rPr>
          <w:b/>
          <w:bCs/>
        </w:rPr>
      </w:pPr>
      <w:r>
        <w:rPr>
          <w:rFonts w:hint="eastAsia"/>
          <w:b/>
          <w:bCs/>
        </w:rPr>
        <w:t>(</w:t>
      </w:r>
      <w:r>
        <w:rPr>
          <w:b/>
          <w:bCs/>
        </w:rPr>
        <w:t>1)</w:t>
      </w:r>
      <w:r>
        <w:rPr>
          <w:rFonts w:hint="eastAsia"/>
          <w:b/>
          <w:bCs/>
        </w:rPr>
        <w:t>起因</w:t>
      </w:r>
    </w:p>
    <w:p>
      <w:pPr>
        <w:spacing w:before="156" w:after="156"/>
        <w:ind w:firstLine="420"/>
      </w:pPr>
      <w:r>
        <w:t>危险因素：可燃爆物质泄漏、或与空气接触达到燃爆极限、电气火灾、雷击、检测报警系统失效。</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（1）</w:t>
      </w:r>
      <w:r>
        <w:t>精馏塔塔损坏及人员的伤亡；</w:t>
      </w:r>
    </w:p>
    <w:p>
      <w:pPr>
        <w:spacing w:before="156" w:after="156"/>
        <w:ind w:firstLine="420"/>
      </w:pPr>
      <w:r>
        <w:rPr>
          <w:rFonts w:hint="eastAsia"/>
        </w:rPr>
        <w:t>（2）</w:t>
      </w:r>
      <w:r>
        <w:t>物料跑损；</w:t>
      </w:r>
    </w:p>
    <w:p>
      <w:pPr>
        <w:spacing w:before="156" w:after="156"/>
        <w:ind w:firstLine="420"/>
      </w:pPr>
      <w:r>
        <w:rPr>
          <w:rFonts w:hint="eastAsia"/>
        </w:rPr>
        <w:t>（3）</w:t>
      </w:r>
      <w:r>
        <w:t>停产；</w:t>
      </w:r>
    </w:p>
    <w:p>
      <w:pPr>
        <w:spacing w:before="156" w:after="156"/>
        <w:ind w:firstLine="420"/>
      </w:pPr>
      <w:r>
        <w:rPr>
          <w:rFonts w:hint="eastAsia"/>
        </w:rPr>
        <w:t>（4）</w:t>
      </w:r>
      <w:r>
        <w:t>严重经济损失。</w:t>
      </w:r>
    </w:p>
    <w:p>
      <w:pPr>
        <w:spacing w:before="156" w:after="156"/>
        <w:ind w:firstLine="422"/>
        <w:rPr>
          <w:b/>
          <w:bCs/>
        </w:rPr>
      </w:pPr>
      <w:r>
        <w:rPr>
          <w:rFonts w:hint="eastAsia"/>
          <w:b/>
          <w:bCs/>
        </w:rPr>
        <w:t>(</w:t>
      </w:r>
      <w:r>
        <w:rPr>
          <w:b/>
          <w:bCs/>
        </w:rPr>
        <w:t>3)</w:t>
      </w:r>
      <w:r>
        <w:rPr>
          <w:rFonts w:hint="eastAsia"/>
          <w:b/>
          <w:bCs/>
        </w:rPr>
        <w:t>危险分类</w:t>
      </w:r>
    </w:p>
    <w:p>
      <w:pPr>
        <w:spacing w:before="156" w:after="156"/>
        <w:ind w:firstLine="420"/>
      </w:pPr>
      <w:r>
        <w:t>IV级致命</w:t>
      </w:r>
      <w:r>
        <w:rPr>
          <w:rFonts w:hint="eastAsia"/>
        </w:rPr>
        <w:t>。</w:t>
      </w:r>
    </w:p>
    <w:p>
      <w:pPr>
        <w:spacing w:before="156" w:after="156"/>
        <w:ind w:firstLine="422"/>
        <w:rPr>
          <w:b/>
          <w:bCs/>
        </w:rPr>
      </w:pPr>
      <w:r>
        <w:rPr>
          <w:rFonts w:hint="eastAsia"/>
          <w:b/>
          <w:bCs/>
        </w:rPr>
        <w:t>(</w:t>
      </w:r>
      <w:r>
        <w:rPr>
          <w:b/>
          <w:bCs/>
        </w:rPr>
        <w:t>4)</w:t>
      </w:r>
      <w:r>
        <w:rPr>
          <w:rFonts w:hint="eastAsia"/>
          <w:b/>
          <w:bCs/>
        </w:rPr>
        <w:t>对策</w:t>
      </w:r>
    </w:p>
    <w:p>
      <w:pPr>
        <w:spacing w:before="156" w:after="156"/>
        <w:ind w:firstLine="420"/>
      </w:pPr>
      <w:r>
        <w:rPr>
          <w:rFonts w:hint="eastAsia"/>
        </w:rPr>
        <w:t>（1）</w:t>
      </w:r>
      <w:r>
        <w:t>控制与消除火源</w:t>
      </w:r>
    </w:p>
    <w:p>
      <w:pPr>
        <w:spacing w:before="156" w:after="156"/>
        <w:ind w:firstLine="420"/>
      </w:pPr>
      <w:r>
        <w:t>a.严禁吸烟、火种和穿带钉皮鞋、不带阻火器车辆进入易燃易爆区；</w:t>
      </w:r>
    </w:p>
    <w:p>
      <w:pPr>
        <w:spacing w:before="156" w:after="156"/>
        <w:ind w:firstLine="420"/>
      </w:pPr>
      <w:r>
        <w:t>b.严格执行动火证制度，并加强防范措施；</w:t>
      </w:r>
    </w:p>
    <w:p>
      <w:pPr>
        <w:spacing w:before="156" w:after="156"/>
        <w:ind w:firstLine="420"/>
      </w:pPr>
      <w:r>
        <w:t>c.装置区内一律使用防爆性电气设备；</w:t>
      </w:r>
    </w:p>
    <w:p>
      <w:pPr>
        <w:spacing w:before="156" w:after="156"/>
        <w:ind w:firstLine="420"/>
      </w:pPr>
      <w:r>
        <w:t>d.严禁钢性工具敲击、抛掷，不使用发火工具</w:t>
      </w:r>
      <w:r>
        <w:rPr>
          <w:rFonts w:hint="eastAsia"/>
        </w:rPr>
        <w:t>；</w:t>
      </w:r>
    </w:p>
    <w:p>
      <w:pPr>
        <w:spacing w:before="156" w:after="156"/>
        <w:ind w:firstLine="420"/>
      </w:pPr>
      <w:r>
        <w:t>e.按标准装设避雷设施，并定期检查；</w:t>
      </w:r>
    </w:p>
    <w:p>
      <w:pPr>
        <w:spacing w:before="156" w:after="156"/>
        <w:ind w:firstLine="420"/>
      </w:pPr>
      <w:r>
        <w:t>f.严格执行防静电措施；</w:t>
      </w:r>
    </w:p>
    <w:p>
      <w:pPr>
        <w:spacing w:before="156" w:after="156"/>
        <w:ind w:firstLine="420"/>
      </w:pPr>
      <w:r>
        <w:t>g.加强门卫，严禁机动车辆进入火灾、爆炸危险区；</w:t>
      </w:r>
    </w:p>
    <w:p>
      <w:pPr>
        <w:spacing w:before="156" w:after="156"/>
        <w:ind w:firstLine="420"/>
      </w:pPr>
      <w:r>
        <w:t>h.转动设备部位要保持清洁，防止因摩擦引起杂物等燃烧。</w:t>
      </w:r>
    </w:p>
    <w:p>
      <w:pPr>
        <w:spacing w:before="156" w:after="156"/>
        <w:ind w:firstLine="420"/>
      </w:pPr>
      <w:r>
        <w:rPr>
          <w:rFonts w:hint="eastAsia"/>
        </w:rPr>
        <w:t>（2）</w:t>
      </w:r>
      <w:r>
        <w:t>严格控制设备及其安装质量</w:t>
      </w:r>
    </w:p>
    <w:p>
      <w:pPr>
        <w:spacing w:before="156" w:after="156"/>
        <w:ind w:firstLine="420"/>
      </w:pPr>
      <w:r>
        <w:t>a.保证精馏塔质量，材质、壁厚大于4mm，可以作为接闪器使用；</w:t>
      </w:r>
    </w:p>
    <w:p>
      <w:pPr>
        <w:spacing w:before="156" w:after="156"/>
        <w:ind w:firstLine="420"/>
      </w:pPr>
      <w:r>
        <w:t>b.精馏塔及相连的管道及其仪表要定期检验、检测、试压；</w:t>
      </w:r>
    </w:p>
    <w:p>
      <w:pPr>
        <w:spacing w:before="156" w:after="156"/>
        <w:ind w:firstLine="420"/>
      </w:pPr>
      <w:r>
        <w:t>c.对精馏塔的阀、报警器监测仪表定期检定；</w:t>
      </w:r>
    </w:p>
    <w:p>
      <w:pPr>
        <w:spacing w:before="156" w:after="156"/>
        <w:ind w:firstLine="420"/>
      </w:pPr>
      <w:r>
        <w:t>d.精馏塔附近的电气设备按规范和标准安装，定期检修，保证完好状态;</w:t>
      </w:r>
    </w:p>
    <w:p>
      <w:pPr>
        <w:spacing w:before="156" w:after="156"/>
        <w:ind w:firstLine="420"/>
      </w:pPr>
      <w:r>
        <w:t>e.精馏塔外须设置隔热措施。</w:t>
      </w:r>
    </w:p>
    <w:p>
      <w:pPr>
        <w:spacing w:before="156" w:after="156"/>
        <w:ind w:firstLine="420"/>
      </w:pPr>
      <w:r>
        <w:rPr>
          <w:rFonts w:hint="eastAsia"/>
        </w:rPr>
        <w:t>（3）</w:t>
      </w:r>
      <w:r>
        <w:t>加强管理、严格工艺，防止易燃、易爆物料的跑、冒、滴、漏</w:t>
      </w:r>
    </w:p>
    <w:p>
      <w:pPr>
        <w:spacing w:before="156" w:after="156"/>
        <w:ind w:firstLine="420"/>
      </w:pPr>
      <w:r>
        <w:t>a.区内根据</w:t>
      </w:r>
      <w:r>
        <w:rPr>
          <w:rFonts w:hint="eastAsia"/>
        </w:rPr>
        <w:t>“</w:t>
      </w:r>
      <w:r>
        <w:t>170号公约</w:t>
      </w:r>
      <w:r>
        <w:rPr>
          <w:rFonts w:hint="eastAsia"/>
        </w:rPr>
        <w:t>”</w:t>
      </w:r>
      <w:r>
        <w:t>和危险化学品安全管理条例张贴作业场所危险化学品安全标签；</w:t>
      </w:r>
    </w:p>
    <w:p>
      <w:pPr>
        <w:spacing w:before="156" w:after="156"/>
        <w:ind w:firstLine="420"/>
      </w:pPr>
      <w:r>
        <w:t>b.杜绝“三违”（违章作业、违章指挥、违反劳纪），严守工艺规定，防止工艺参数发生变化；</w:t>
      </w:r>
    </w:p>
    <w:p>
      <w:pPr>
        <w:spacing w:before="156" w:after="156"/>
        <w:ind w:firstLine="420"/>
      </w:pPr>
      <w:r>
        <w:t>c.坚持巡回检查，发现问题及时处理，如液位报警器、呼吸阀、压力表、安全阀、防腐、联锁仪表、消防及救护设施是否完好、液位报警器是否正常、塔进出料阀（包括截止阀、自动调节阀）等有否泄漏、消防通道、地沟是否畅通；</w:t>
      </w:r>
    </w:p>
    <w:p>
      <w:pPr>
        <w:spacing w:before="156" w:after="156"/>
        <w:ind w:firstLine="420"/>
      </w:pPr>
      <w:r>
        <w:t>d.检修时做好隔离、清空、吹扫、通风，在监护下进行动火等作业；</w:t>
      </w:r>
    </w:p>
    <w:p>
      <w:pPr>
        <w:spacing w:before="156" w:after="156"/>
        <w:ind w:firstLine="420"/>
      </w:pPr>
      <w:r>
        <w:t>e.加强培训、教育、考核工作，经常性检查有否违章、违纪现象；</w:t>
      </w:r>
    </w:p>
    <w:p>
      <w:pPr>
        <w:spacing w:before="156" w:after="156"/>
        <w:ind w:firstLine="420"/>
      </w:pPr>
      <w:r>
        <w:t>f.防止易燃、易爆物料的跑、冒、滴、漏；</w:t>
      </w:r>
    </w:p>
    <w:p>
      <w:pPr>
        <w:spacing w:before="156" w:after="156"/>
        <w:ind w:firstLine="420"/>
      </w:pPr>
      <w:r>
        <w:t>g.检修人员进入塔中前，先做静电消除处理。</w:t>
      </w:r>
    </w:p>
    <w:p>
      <w:pPr>
        <w:spacing w:before="156" w:after="156"/>
        <w:ind w:firstLine="420"/>
      </w:pPr>
      <w:r>
        <w:rPr>
          <w:rFonts w:hint="eastAsia"/>
        </w:rPr>
        <w:t>（4）</w:t>
      </w:r>
      <w:r>
        <w:t>安全设施保持齐全、完好</w:t>
      </w:r>
    </w:p>
    <w:p>
      <w:pPr>
        <w:spacing w:before="156" w:after="156"/>
        <w:ind w:firstLine="422"/>
        <w:rPr>
          <w:b/>
          <w:bCs/>
        </w:rPr>
      </w:pPr>
      <w:r>
        <w:rPr>
          <w:rFonts w:hint="eastAsia"/>
          <w:b/>
          <w:bCs/>
        </w:rPr>
        <w:t>(</w:t>
      </w:r>
      <w:r>
        <w:rPr>
          <w:b/>
          <w:bCs/>
        </w:rPr>
        <w:t>5)</w:t>
      </w:r>
      <w:r>
        <w:rPr>
          <w:rFonts w:hint="eastAsia"/>
          <w:b/>
          <w:bCs/>
        </w:rPr>
        <w:t>触发条件</w:t>
      </w:r>
    </w:p>
    <w:p>
      <w:pPr>
        <w:spacing w:before="156" w:after="156"/>
        <w:ind w:firstLine="420"/>
      </w:pPr>
      <w:r>
        <w:rPr>
          <w:rFonts w:hint="eastAsia"/>
        </w:rPr>
        <w:t>（1）</w:t>
      </w:r>
      <w:r>
        <w:t>故障泄漏塔的密闭性不好、材质未达要求或设施老化，导致物料产物泄漏；与精馏塔相连的管、阀、表等连接处泄漏；精馏塔因加工、材质、焊接等质量不好或安装不当而泄漏；由自然灾害（如雷击、台风、地震）造成塔体破裂泄漏；</w:t>
      </w:r>
    </w:p>
    <w:p>
      <w:pPr>
        <w:spacing w:before="156" w:after="156"/>
        <w:ind w:firstLine="420"/>
      </w:pPr>
      <w:r>
        <w:rPr>
          <w:rFonts w:hint="eastAsia"/>
        </w:rPr>
        <w:t>（2）</w:t>
      </w:r>
      <w:r>
        <w:t>运行泄漏因操作人员的失误、错开阀门、或是不按规范操作等原因造成工艺过程的失控或易燃物料的泄漏；</w:t>
      </w:r>
    </w:p>
    <w:p>
      <w:pPr>
        <w:spacing w:before="156" w:after="156"/>
        <w:ind w:firstLine="420"/>
      </w:pPr>
      <w:r>
        <w:rPr>
          <w:rFonts w:hint="eastAsia"/>
        </w:rPr>
        <w:t>（3）</w:t>
      </w:r>
      <w:r>
        <w:t>其他精馏塔未设检测报警系统，或检测报警系统失效，未发现已泄漏的物料；人员在检修精馏塔过程时，停车后未进行氮气、空气吹扫，导致装置内易燃物未排至安全浓度；在到达精馏塔之前物料的输送中，未做静电防护、接地措施，导致静电积累；精馏塔未设置防雷设施或防雷设施不符合要求；生产前，未用氮气惰性气体对精馏塔进行吹扫，将管道、塔内的空气排尽，或未设有监测设备监测氧气含量或监测设备出现故障；在人员检修精馏塔的过程中，未有其他人员在旁监护，或未挂警示牌提示，冒然开车。</w:t>
      </w:r>
    </w:p>
    <w:p>
      <w:pPr>
        <w:spacing w:before="156" w:after="156"/>
        <w:ind w:firstLine="420"/>
      </w:pPr>
      <w:r>
        <w:rPr>
          <w:rFonts w:hint="eastAsia"/>
        </w:rPr>
        <w:t>（4）</w:t>
      </w:r>
      <w:r>
        <w:t>点火源明火（主要是精馏塔内检修动火、吸烟等，项目检修主要有电气焊动火）；静电（主要考虑精馏塔塔体作为接闪器，受雷击和雷击后产生的高温；静电考虑检修人体带电）；撞击火花；（主要是检修人员操作、检修过程中使用的工具产生撞击火花）；电气火花。</w:t>
      </w:r>
    </w:p>
    <w:p>
      <w:pPr>
        <w:spacing w:before="156" w:after="156"/>
        <w:ind w:firstLine="422"/>
        <w:rPr>
          <w:b/>
          <w:bCs/>
        </w:rPr>
      </w:pPr>
      <w:r>
        <w:rPr>
          <w:rFonts w:hint="eastAsia"/>
          <w:b/>
          <w:bCs/>
        </w:rPr>
        <w:t>(</w:t>
      </w:r>
      <w:r>
        <w:rPr>
          <w:b/>
          <w:bCs/>
        </w:rPr>
        <w:t>6)</w:t>
      </w:r>
      <w:r>
        <w:rPr>
          <w:rFonts w:hint="eastAsia"/>
          <w:b/>
          <w:bCs/>
        </w:rPr>
        <w:t>发生条件</w:t>
      </w:r>
    </w:p>
    <w:p>
      <w:pPr>
        <w:spacing w:before="156" w:after="156"/>
        <w:ind w:firstLine="420"/>
      </w:pPr>
      <w:r>
        <w:rPr>
          <w:rFonts w:hint="eastAsia"/>
        </w:rPr>
        <w:t>（1）</w:t>
      </w:r>
      <w:r>
        <w:t>精馏塔内的物料泄漏，与空气混合形成燃烧爆炸混合物；</w:t>
      </w:r>
    </w:p>
    <w:p>
      <w:pPr>
        <w:spacing w:before="156" w:after="156"/>
        <w:ind w:firstLine="420"/>
      </w:pPr>
      <w:r>
        <w:rPr>
          <w:rFonts w:hint="eastAsia"/>
        </w:rPr>
        <w:t>（2）</w:t>
      </w:r>
      <w:r>
        <w:t>燃烧爆炸混合物达到燃爆极限；</w:t>
      </w:r>
    </w:p>
    <w:p>
      <w:pPr>
        <w:spacing w:before="156" w:after="156"/>
        <w:ind w:firstLine="420"/>
      </w:pPr>
      <w:r>
        <w:rPr>
          <w:rFonts w:hint="eastAsia"/>
        </w:rPr>
        <w:t>（3）</w:t>
      </w:r>
      <w:r>
        <w:t>易燃爆物质遇到点火源、高温物体等引发能量。</w:t>
      </w:r>
    </w:p>
    <w:p>
      <w:pPr>
        <w:pStyle w:val="5"/>
        <w:spacing w:before="156" w:after="156"/>
        <w:ind w:firstLine="560"/>
      </w:pPr>
      <w:r>
        <w:rPr>
          <w:rFonts w:hint="eastAsia"/>
        </w:rPr>
        <w:t>7</w:t>
      </w:r>
      <w:r>
        <w:t>.1.1.2</w:t>
      </w:r>
      <w:r>
        <w:rPr>
          <w:rFonts w:hint="eastAsia"/>
        </w:rPr>
        <w:t>物理爆炸（容器爆炸）</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压力容器爆炸</w:t>
      </w:r>
      <w:r>
        <w:rPr>
          <w:rFonts w:hint="eastAsia"/>
        </w:rPr>
        <w:t>。</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（1）</w:t>
      </w:r>
      <w:r>
        <w:t>塔器、人员的伤亡；</w:t>
      </w:r>
    </w:p>
    <w:p>
      <w:pPr>
        <w:spacing w:before="156" w:after="156"/>
        <w:ind w:firstLine="420"/>
      </w:pPr>
      <w:r>
        <w:rPr>
          <w:rFonts w:hint="eastAsia"/>
        </w:rPr>
        <w:t>（</w:t>
      </w:r>
      <w:r>
        <w:t>2</w:t>
      </w:r>
      <w:r>
        <w:rPr>
          <w:rFonts w:hint="eastAsia"/>
        </w:rPr>
        <w:t>）</w:t>
      </w:r>
      <w:r>
        <w:t>物料跑损；</w:t>
      </w:r>
    </w:p>
    <w:p>
      <w:pPr>
        <w:spacing w:before="156" w:after="156"/>
        <w:ind w:firstLine="420"/>
      </w:pPr>
      <w:r>
        <w:rPr>
          <w:rFonts w:hint="eastAsia"/>
        </w:rPr>
        <w:t>（3）</w:t>
      </w:r>
      <w:r>
        <w:t>停产；</w:t>
      </w:r>
    </w:p>
    <w:p>
      <w:pPr>
        <w:spacing w:before="156" w:after="156"/>
        <w:ind w:firstLine="420"/>
      </w:pPr>
      <w:r>
        <w:rPr>
          <w:rFonts w:hint="eastAsia"/>
        </w:rPr>
        <w:t>（4）</w:t>
      </w:r>
      <w:r>
        <w:t>严重经济损失。</w:t>
      </w:r>
    </w:p>
    <w:p>
      <w:pPr>
        <w:spacing w:before="156" w:after="156"/>
        <w:ind w:firstLine="422"/>
        <w:rPr>
          <w:b/>
          <w:bCs/>
        </w:rPr>
      </w:pPr>
      <w:r>
        <w:rPr>
          <w:rFonts w:hint="eastAsia"/>
          <w:b/>
          <w:bCs/>
        </w:rPr>
        <w:t>(</w:t>
      </w:r>
      <w:r>
        <w:rPr>
          <w:b/>
          <w:bCs/>
        </w:rPr>
        <w:t>3)</w:t>
      </w:r>
      <w:r>
        <w:rPr>
          <w:rFonts w:hint="eastAsia"/>
          <w:b/>
          <w:bCs/>
        </w:rPr>
        <w:t>危险分类</w:t>
      </w:r>
    </w:p>
    <w:p>
      <w:pPr>
        <w:spacing w:before="156" w:after="156"/>
        <w:ind w:firstLine="420"/>
      </w:pPr>
      <w:r>
        <w:t>IV级致命</w:t>
      </w:r>
      <w:r>
        <w:rPr>
          <w:rFonts w:hint="eastAsia"/>
        </w:rPr>
        <w:t>。</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rPr>
          <w:rFonts w:hint="eastAsia"/>
        </w:rPr>
        <w:t>（1</w:t>
      </w:r>
      <w:r>
        <w:t>）管道、精馏塔进出料配比、料量、速度不当造成反应失控导致精馏塔无法及时泄压的超压现象；</w:t>
      </w:r>
    </w:p>
    <w:p>
      <w:pPr>
        <w:spacing w:before="156" w:after="156"/>
        <w:ind w:firstLine="420"/>
      </w:pPr>
      <w:r>
        <w:rPr>
          <w:rFonts w:hint="eastAsia"/>
        </w:rPr>
        <w:t>（2）</w:t>
      </w:r>
      <w:r>
        <w:t>与精馏塔相连的仪表损坏或是管道堵塞，导致超压；</w:t>
      </w:r>
    </w:p>
    <w:p>
      <w:pPr>
        <w:spacing w:before="156" w:after="156"/>
        <w:ind w:firstLine="420"/>
      </w:pPr>
      <w:r>
        <w:rPr>
          <w:rFonts w:hint="eastAsia"/>
        </w:rPr>
        <w:t>（3）</w:t>
      </w:r>
      <w:r>
        <w:t>操作过程中操作人员未按照规范操作，导致精馏塔内压力升高。</w:t>
      </w:r>
    </w:p>
    <w:p>
      <w:pPr>
        <w:spacing w:before="156" w:after="156"/>
        <w:ind w:firstLine="420"/>
      </w:pPr>
      <w:r>
        <w:rPr>
          <w:rFonts w:hint="eastAsia"/>
        </w:rPr>
        <w:t>（4）</w:t>
      </w:r>
      <w:r>
        <w:t>精馏塔若没有设置相应的安全装置（安全阀、安全泄压装置等），或安全装置失效，不能及时泄压；</w:t>
      </w:r>
    </w:p>
    <w:p>
      <w:pPr>
        <w:spacing w:before="156" w:after="156"/>
        <w:ind w:firstLine="420"/>
      </w:pPr>
      <w:r>
        <w:rPr>
          <w:rFonts w:hint="eastAsia"/>
        </w:rPr>
        <w:t>（</w:t>
      </w:r>
      <w:r>
        <w:t>5</w:t>
      </w:r>
      <w:r>
        <w:rPr>
          <w:rFonts w:hint="eastAsia"/>
        </w:rPr>
        <w:t>）</w:t>
      </w:r>
      <w:r>
        <w:t>塔或与塔相连的管道因为年久腐蚀、疲劳等原因，耐压强度降低；</w:t>
      </w:r>
    </w:p>
    <w:p>
      <w:pPr>
        <w:spacing w:before="156" w:after="156"/>
        <w:ind w:firstLine="420"/>
      </w:pPr>
      <w:r>
        <w:rPr>
          <w:rFonts w:hint="eastAsia"/>
        </w:rPr>
        <w:t>（6）</w:t>
      </w:r>
      <w:r>
        <w:t>精馏塔在选材过程中未选择耐高压、耐高温材料。</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w:t>
      </w:r>
      <w:r>
        <w:t>1</w:t>
      </w:r>
      <w:r>
        <w:rPr>
          <w:rFonts w:hint="eastAsia"/>
        </w:rPr>
        <w:t>）</w:t>
      </w:r>
      <w:r>
        <w:t>精馏塔内发生超压现象；</w:t>
      </w:r>
    </w:p>
    <w:p>
      <w:pPr>
        <w:spacing w:before="156" w:after="156"/>
        <w:ind w:firstLine="420"/>
      </w:pPr>
      <w:r>
        <w:rPr>
          <w:rFonts w:hint="eastAsia"/>
        </w:rPr>
        <w:t>（2）</w:t>
      </w:r>
      <w:r>
        <w:t>精馏塔的材质和泄压装置出现故障。</w:t>
      </w:r>
    </w:p>
    <w:p>
      <w:pPr>
        <w:spacing w:before="156" w:after="156"/>
        <w:ind w:firstLine="422"/>
        <w:rPr>
          <w:b/>
          <w:bCs/>
        </w:rPr>
      </w:pPr>
      <w:r>
        <w:rPr>
          <w:rFonts w:hint="eastAsia"/>
          <w:b/>
          <w:bCs/>
        </w:rPr>
        <w:t>(</w:t>
      </w:r>
      <w:r>
        <w:rPr>
          <w:b/>
          <w:bCs/>
        </w:rPr>
        <w:t>6)</w:t>
      </w:r>
      <w:r>
        <w:rPr>
          <w:rFonts w:hint="eastAsia"/>
          <w:b/>
          <w:bCs/>
        </w:rPr>
        <w:t>对策</w:t>
      </w:r>
    </w:p>
    <w:p>
      <w:pPr>
        <w:spacing w:before="156" w:after="156"/>
        <w:ind w:firstLine="420"/>
      </w:pPr>
      <w:r>
        <w:rPr>
          <w:rFonts w:hint="eastAsia"/>
        </w:rPr>
        <w:t>（1）</w:t>
      </w:r>
      <w:r>
        <w:t>严格控制设备及其安装质量，消除泄漏的可能性，做好防渗漏、防腐措施；</w:t>
      </w:r>
    </w:p>
    <w:p>
      <w:pPr>
        <w:spacing w:before="156" w:after="156"/>
        <w:ind w:firstLine="420"/>
      </w:pPr>
      <w:r>
        <w:rPr>
          <w:rFonts w:hint="eastAsia"/>
        </w:rPr>
        <w:t>（2）</w:t>
      </w:r>
      <w:r>
        <w:t>严格控制设备及其安装质量；</w:t>
      </w:r>
    </w:p>
    <w:p>
      <w:pPr>
        <w:spacing w:before="156" w:after="156"/>
        <w:ind w:firstLine="420"/>
      </w:pPr>
      <w:r>
        <w:rPr>
          <w:rFonts w:hint="eastAsia"/>
        </w:rPr>
        <w:t>（</w:t>
      </w:r>
      <w:r>
        <w:t>3</w:t>
      </w:r>
      <w:r>
        <w:rPr>
          <w:rFonts w:hint="eastAsia"/>
        </w:rPr>
        <w:t>）</w:t>
      </w:r>
      <w:r>
        <w:t>防止塔内物料的跑、冒、滴、漏；</w:t>
      </w:r>
    </w:p>
    <w:p>
      <w:pPr>
        <w:spacing w:before="156" w:after="156"/>
        <w:ind w:firstLine="420"/>
      </w:pPr>
      <w:r>
        <w:rPr>
          <w:rFonts w:hint="eastAsia"/>
        </w:rPr>
        <w:t>（</w:t>
      </w:r>
      <w:r>
        <w:t>4</w:t>
      </w:r>
      <w:r>
        <w:rPr>
          <w:rFonts w:hint="eastAsia"/>
        </w:rPr>
        <w:t>）</w:t>
      </w:r>
      <w:r>
        <w:t>加强管理、严格工艺；做好精馏塔的检测报警设施和设备防护设施；</w:t>
      </w:r>
    </w:p>
    <w:p>
      <w:pPr>
        <w:spacing w:before="156" w:after="156"/>
        <w:ind w:firstLine="420"/>
      </w:pPr>
      <w:r>
        <w:rPr>
          <w:rFonts w:hint="eastAsia"/>
        </w:rPr>
        <w:t>（5）</w:t>
      </w:r>
      <w:r>
        <w:t>安全设施保持齐全、完好；</w:t>
      </w:r>
    </w:p>
    <w:p>
      <w:pPr>
        <w:spacing w:before="156" w:after="156"/>
        <w:ind w:firstLine="420"/>
      </w:pPr>
      <w:r>
        <w:rPr>
          <w:rFonts w:hint="eastAsia"/>
        </w:rPr>
        <w:t>（</w:t>
      </w:r>
      <w:r>
        <w:t>6</w:t>
      </w:r>
      <w:r>
        <w:rPr>
          <w:rFonts w:hint="eastAsia"/>
        </w:rPr>
        <w:t>）</w:t>
      </w:r>
      <w:r>
        <w:t>漏后应采取相应措施：</w:t>
      </w:r>
      <w:r>
        <w:rPr>
          <w:rFonts w:hint="eastAsia"/>
        </w:rPr>
        <w:t>a</w:t>
      </w:r>
      <w:r>
        <w:t>.查明泄漏源点，切断相关阀门，消除泄漏源，及时报告；</w:t>
      </w:r>
      <w:r>
        <w:rPr>
          <w:rFonts w:hint="eastAsia"/>
        </w:rPr>
        <w:t>b</w:t>
      </w:r>
      <w:r>
        <w:t>.如泄漏量大，应疏散有关人员至安全处。</w:t>
      </w:r>
    </w:p>
    <w:p>
      <w:pPr>
        <w:spacing w:before="156" w:after="156"/>
        <w:ind w:firstLine="420"/>
      </w:pPr>
      <w:r>
        <w:rPr>
          <w:rFonts w:hint="eastAsia"/>
        </w:rPr>
        <w:t>（7</w:t>
      </w:r>
      <w:r>
        <w:t>）检修、维护保养，保持设备完好；检修时，彻底清洗干净并检测有毒有害物质浓度氧含量，合格后方可作业；作业时，穿戴劳动防护用品，有人监护并有抢救后备措施；</w:t>
      </w:r>
    </w:p>
    <w:p>
      <w:pPr>
        <w:spacing w:before="156" w:after="156"/>
        <w:ind w:firstLine="420"/>
      </w:pPr>
      <w:r>
        <w:rPr>
          <w:rFonts w:hint="eastAsia"/>
        </w:rPr>
        <w:t>（8）</w:t>
      </w:r>
      <w:r>
        <w:t>应急预案，抢救时勿忘正确使用防毒过滤器、氧气呼吸器及其它劳动防护用品；</w:t>
      </w:r>
    </w:p>
    <w:p>
      <w:pPr>
        <w:spacing w:before="156" w:after="156"/>
        <w:ind w:firstLine="420"/>
      </w:pPr>
      <w:r>
        <w:rPr>
          <w:rFonts w:hint="eastAsia"/>
        </w:rPr>
        <w:t>（9）</w:t>
      </w:r>
      <w:r>
        <w:t>管理措施</w:t>
      </w:r>
      <w:r>
        <w:rPr>
          <w:rFonts w:hint="eastAsia"/>
        </w:rPr>
        <w:t>：a.</w:t>
      </w:r>
      <w:r>
        <w:t>加强检查、检测有毒有害物质有否跑、冒、滴、漏；</w:t>
      </w:r>
      <w:r>
        <w:rPr>
          <w:rFonts w:hint="eastAsia"/>
        </w:rPr>
        <w:t>b</w:t>
      </w:r>
      <w:r>
        <w:t>.教育、培训职工掌握有关毒物的毒性，预防中毒、窒息的方法及其急救法，建立毒物周知卡；</w:t>
      </w:r>
      <w:r>
        <w:rPr>
          <w:rFonts w:hint="eastAsia"/>
        </w:rPr>
        <w:t>c.</w:t>
      </w:r>
      <w:r>
        <w:t>要求职工严格遵守各种规章制度、操作规程；</w:t>
      </w:r>
      <w:r>
        <w:rPr>
          <w:rFonts w:hint="eastAsia"/>
        </w:rPr>
        <w:t>d</w:t>
      </w:r>
      <w:r>
        <w:t>.设立危险、有毒、窒息性标志；</w:t>
      </w:r>
      <w:r>
        <w:rPr>
          <w:rFonts w:hint="eastAsia"/>
        </w:rPr>
        <w:t>e</w:t>
      </w:r>
      <w:r>
        <w:t>.设立急救点，配备相应的急救药品、器材；</w:t>
      </w:r>
      <w:r>
        <w:rPr>
          <w:rFonts w:hint="eastAsia"/>
        </w:rPr>
        <w:t>f</w:t>
      </w:r>
      <w:r>
        <w:t>.培训医务人员对中毒、窒息、灼烫等的急救处。</w:t>
      </w:r>
    </w:p>
    <w:p>
      <w:pPr>
        <w:pStyle w:val="5"/>
        <w:spacing w:before="156" w:after="156"/>
        <w:ind w:firstLine="560"/>
      </w:pPr>
      <w:r>
        <w:rPr>
          <w:rFonts w:hint="eastAsia"/>
        </w:rPr>
        <w:t>7</w:t>
      </w:r>
      <w:r>
        <w:t>.1.1.3</w:t>
      </w:r>
      <w:r>
        <w:rPr>
          <w:rFonts w:hint="eastAsia"/>
        </w:rPr>
        <w:t>中毒及窒息</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rPr>
          <w:rFonts w:hint="eastAsia"/>
        </w:rPr>
        <w:t>（1</w:t>
      </w:r>
      <w:r>
        <w:t>）在精馏塔内馏分等都有低毒性和急性中毒、窒息性，可能泄漏造成中毒及窒息；</w:t>
      </w:r>
    </w:p>
    <w:p>
      <w:pPr>
        <w:spacing w:before="156" w:after="156"/>
        <w:ind w:firstLine="420"/>
      </w:pPr>
      <w:r>
        <w:rPr>
          <w:rFonts w:hint="eastAsia"/>
        </w:rPr>
        <w:t>（2）</w:t>
      </w:r>
      <w:r>
        <w:t>人员在检修精馏塔过程中接触物料。</w:t>
      </w:r>
    </w:p>
    <w:p>
      <w:pPr>
        <w:pStyle w:val="5"/>
        <w:spacing w:before="156" w:after="156"/>
        <w:ind w:firstLine="560"/>
      </w:pPr>
      <w:r>
        <w:rPr>
          <w:rFonts w:hint="eastAsia"/>
        </w:rPr>
        <w:t>7</w:t>
      </w:r>
      <w:r>
        <w:t>.1.1.4</w:t>
      </w:r>
      <w:r>
        <w:rPr>
          <w:rFonts w:hint="eastAsia"/>
        </w:rPr>
        <w:t>灼烫、灼伤</w:t>
      </w:r>
    </w:p>
    <w:p>
      <w:pPr>
        <w:spacing w:before="156" w:after="156"/>
        <w:ind w:firstLine="422"/>
        <w:rPr>
          <w:b/>
          <w:bCs/>
        </w:rPr>
      </w:pPr>
      <w:r>
        <w:rPr>
          <w:rFonts w:hint="eastAsia"/>
          <w:b/>
          <w:bCs/>
        </w:rPr>
        <w:t>(</w:t>
      </w:r>
      <w:r>
        <w:rPr>
          <w:b/>
          <w:bCs/>
        </w:rPr>
        <w:t>1)</w:t>
      </w:r>
      <w:r>
        <w:rPr>
          <w:rFonts w:hint="eastAsia"/>
          <w:b/>
          <w:bCs/>
        </w:rPr>
        <w:t>影响/事故后果</w:t>
      </w:r>
    </w:p>
    <w:p>
      <w:pPr>
        <w:spacing w:before="156" w:after="156"/>
        <w:ind w:firstLine="420"/>
      </w:pPr>
      <w:r>
        <w:rPr>
          <w:rFonts w:hint="eastAsia"/>
        </w:rPr>
        <w:t>（</w:t>
      </w:r>
      <w:r>
        <w:t>1</w:t>
      </w:r>
      <w:r>
        <w:rPr>
          <w:rFonts w:hint="eastAsia"/>
        </w:rPr>
        <w:t>）</w:t>
      </w:r>
      <w:r>
        <w:t>物料跑损；</w:t>
      </w:r>
    </w:p>
    <w:p>
      <w:pPr>
        <w:spacing w:before="156" w:after="156"/>
        <w:ind w:firstLine="420"/>
      </w:pPr>
      <w:r>
        <w:rPr>
          <w:rFonts w:hint="eastAsia"/>
        </w:rPr>
        <w:t>（</w:t>
      </w:r>
      <w:r>
        <w:t>2</w:t>
      </w:r>
      <w:r>
        <w:rPr>
          <w:rFonts w:hint="eastAsia"/>
        </w:rPr>
        <w:t>）</w:t>
      </w:r>
      <w:r>
        <w:t>人员的灼烫伤害；</w:t>
      </w:r>
    </w:p>
    <w:p>
      <w:pPr>
        <w:spacing w:before="156" w:after="156"/>
        <w:ind w:firstLine="420"/>
      </w:pPr>
      <w:r>
        <w:rPr>
          <w:rFonts w:hint="eastAsia"/>
        </w:rPr>
        <w:t>（3）</w:t>
      </w:r>
      <w:r>
        <w:t>财产损失。</w:t>
      </w:r>
    </w:p>
    <w:p>
      <w:pPr>
        <w:spacing w:before="156" w:after="156"/>
        <w:ind w:firstLine="422"/>
        <w:rPr>
          <w:b/>
          <w:bCs/>
        </w:rPr>
      </w:pPr>
      <w:r>
        <w:rPr>
          <w:rFonts w:hint="eastAsia"/>
          <w:b/>
          <w:bCs/>
        </w:rPr>
        <w:t>(</w:t>
      </w:r>
      <w:r>
        <w:rPr>
          <w:b/>
          <w:bCs/>
        </w:rPr>
        <w:t>2)</w:t>
      </w:r>
      <w:r>
        <w:rPr>
          <w:rFonts w:hint="eastAsia"/>
          <w:b/>
          <w:bCs/>
        </w:rPr>
        <w:t>危险等级</w:t>
      </w:r>
    </w:p>
    <w:p>
      <w:pPr>
        <w:spacing w:before="156" w:after="156"/>
        <w:ind w:firstLine="420"/>
      </w:pPr>
      <w:r>
        <w:rPr>
          <w:rFonts w:hint="eastAsia"/>
        </w:rPr>
        <w:t>Ⅱ</w:t>
      </w:r>
      <w:r>
        <w:t>级临界</w:t>
      </w:r>
      <w:r>
        <w:rPr>
          <w:rFonts w:hint="eastAsia"/>
        </w:rPr>
        <w:t>。</w:t>
      </w:r>
    </w:p>
    <w:p>
      <w:pPr>
        <w:spacing w:before="156" w:after="156"/>
        <w:ind w:firstLine="422"/>
        <w:rPr>
          <w:b/>
          <w:bCs/>
        </w:rPr>
      </w:pPr>
      <w:r>
        <w:rPr>
          <w:rFonts w:hint="eastAsia"/>
          <w:b/>
          <w:bCs/>
        </w:rPr>
        <w:t>(</w:t>
      </w:r>
      <w:r>
        <w:rPr>
          <w:b/>
          <w:bCs/>
        </w:rPr>
        <w:t>3)</w:t>
      </w:r>
      <w:r>
        <w:rPr>
          <w:rFonts w:hint="eastAsia"/>
          <w:b/>
          <w:bCs/>
        </w:rPr>
        <w:t>触发条件</w:t>
      </w:r>
    </w:p>
    <w:p>
      <w:pPr>
        <w:spacing w:before="156" w:after="156"/>
        <w:ind w:firstLine="420"/>
      </w:pPr>
      <w:r>
        <w:rPr>
          <w:rFonts w:hint="eastAsia"/>
        </w:rPr>
        <w:t>（1）</w:t>
      </w:r>
      <w:r>
        <w:t>精馏塔内的物料泄漏、或与塔相接的再沸器内的蒸汽泄漏；</w:t>
      </w:r>
    </w:p>
    <w:p>
      <w:pPr>
        <w:spacing w:before="156" w:after="156"/>
        <w:ind w:firstLine="420"/>
      </w:pPr>
      <w:r>
        <w:rPr>
          <w:rFonts w:hint="eastAsia"/>
        </w:rPr>
        <w:t>（2）</w:t>
      </w:r>
      <w:r>
        <w:t>操作、检修人员在工作中无意中触及塔表面或管道表面。</w:t>
      </w:r>
    </w:p>
    <w:p>
      <w:pPr>
        <w:spacing w:before="156" w:after="156"/>
        <w:ind w:firstLine="420"/>
      </w:pPr>
      <w:r>
        <w:rPr>
          <w:rFonts w:hint="eastAsia"/>
        </w:rPr>
        <w:t>（3）</w:t>
      </w:r>
      <w:r>
        <w:t>人员操作时，未做好个人防护措施；</w:t>
      </w:r>
    </w:p>
    <w:p>
      <w:pPr>
        <w:spacing w:before="156" w:after="156"/>
        <w:ind w:firstLine="420"/>
      </w:pPr>
      <w:r>
        <w:rPr>
          <w:rFonts w:hint="eastAsia"/>
        </w:rPr>
        <w:t>（4）</w:t>
      </w:r>
      <w:r>
        <w:t>精馏塔塔外、与其相接的管道外未敷设硅酸盐保温层；</w:t>
      </w:r>
    </w:p>
    <w:p>
      <w:pPr>
        <w:spacing w:before="156" w:after="156"/>
        <w:ind w:firstLine="420"/>
      </w:pPr>
      <w:r>
        <w:rPr>
          <w:rFonts w:hint="eastAsia"/>
        </w:rPr>
        <w:t>（5）</w:t>
      </w:r>
      <w:r>
        <w:t>精馏塔和管道未做好防泄漏措施和防腐措施。</w:t>
      </w:r>
    </w:p>
    <w:p>
      <w:pPr>
        <w:spacing w:before="156" w:after="156"/>
        <w:ind w:firstLine="422"/>
        <w:rPr>
          <w:b/>
          <w:bCs/>
        </w:rPr>
      </w:pPr>
      <w:r>
        <w:rPr>
          <w:rFonts w:hint="eastAsia"/>
          <w:b/>
          <w:bCs/>
        </w:rPr>
        <w:t>(</w:t>
      </w:r>
      <w:r>
        <w:rPr>
          <w:b/>
          <w:bCs/>
        </w:rPr>
        <w:t>4)</w:t>
      </w:r>
      <w:r>
        <w:rPr>
          <w:rFonts w:hint="eastAsia"/>
          <w:b/>
          <w:bCs/>
        </w:rPr>
        <w:t>发生条件</w:t>
      </w:r>
    </w:p>
    <w:p>
      <w:pPr>
        <w:spacing w:before="156" w:after="156"/>
        <w:ind w:firstLine="420"/>
      </w:pPr>
      <w:r>
        <w:t>（</w:t>
      </w:r>
      <w:r>
        <w:rPr>
          <w:rFonts w:hint="eastAsia"/>
        </w:rPr>
        <w:t>1</w:t>
      </w:r>
      <w:r>
        <w:t>）相连管道表面；</w:t>
      </w:r>
    </w:p>
    <w:p>
      <w:pPr>
        <w:spacing w:before="156" w:after="156"/>
        <w:ind w:firstLine="420"/>
      </w:pPr>
      <w:r>
        <w:rPr>
          <w:rFonts w:hint="eastAsia"/>
        </w:rPr>
        <w:t>（2）</w:t>
      </w:r>
      <w:r>
        <w:t>物料泄漏，与人体接触。</w:t>
      </w:r>
    </w:p>
    <w:p>
      <w:pPr>
        <w:spacing w:before="156" w:after="156"/>
        <w:ind w:firstLine="422"/>
        <w:rPr>
          <w:b/>
          <w:bCs/>
        </w:rPr>
      </w:pPr>
      <w:r>
        <w:rPr>
          <w:rFonts w:hint="eastAsia"/>
          <w:b/>
          <w:bCs/>
        </w:rPr>
        <w:t>(</w:t>
      </w:r>
      <w:r>
        <w:rPr>
          <w:b/>
          <w:bCs/>
        </w:rPr>
        <w:t>5)</w:t>
      </w:r>
      <w:r>
        <w:rPr>
          <w:rFonts w:hint="eastAsia"/>
          <w:b/>
          <w:bCs/>
        </w:rPr>
        <w:t>措施</w:t>
      </w:r>
    </w:p>
    <w:p>
      <w:pPr>
        <w:spacing w:before="156" w:after="156"/>
        <w:ind w:firstLine="420"/>
      </w:pPr>
      <w:r>
        <w:t>（</w:t>
      </w:r>
      <w:r>
        <w:rPr>
          <w:rFonts w:hint="eastAsia"/>
        </w:rPr>
        <w:t>1</w:t>
      </w:r>
      <w:r>
        <w:t>）管道进行防腐、防渗漏措施设置；</w:t>
      </w:r>
    </w:p>
    <w:p>
      <w:pPr>
        <w:spacing w:before="156" w:after="156"/>
        <w:ind w:firstLine="420"/>
      </w:pPr>
      <w:r>
        <w:t>（</w:t>
      </w:r>
      <w:r>
        <w:rPr>
          <w:rFonts w:hint="eastAsia"/>
        </w:rPr>
        <w:t>2</w:t>
      </w:r>
      <w:r>
        <w:t>）选用防腐材料，保证焊缝质量及连接密封性；</w:t>
      </w:r>
    </w:p>
    <w:p>
      <w:pPr>
        <w:spacing w:before="156" w:after="156"/>
        <w:ind w:firstLine="420"/>
      </w:pPr>
      <w:r>
        <w:t>（</w:t>
      </w:r>
      <w:r>
        <w:rPr>
          <w:rFonts w:hint="eastAsia"/>
        </w:rPr>
        <w:t>3</w:t>
      </w:r>
      <w:r>
        <w:t>）检查跑、冒、滴、漏，保持塔、管阀完好，保护保温层完好无缺；</w:t>
      </w:r>
    </w:p>
    <w:p>
      <w:pPr>
        <w:spacing w:before="156" w:after="156"/>
        <w:ind w:firstLine="420"/>
      </w:pPr>
      <w:r>
        <w:t>（</w:t>
      </w:r>
      <w:r>
        <w:rPr>
          <w:rFonts w:hint="eastAsia"/>
        </w:rPr>
        <w:t>4</w:t>
      </w:r>
      <w:r>
        <w:t>）检修设备，必须先清洗干净并作隔离，且检测合格；</w:t>
      </w:r>
    </w:p>
    <w:p>
      <w:pPr>
        <w:spacing w:before="156" w:after="156"/>
        <w:ind w:firstLine="420"/>
      </w:pPr>
      <w:r>
        <w:t>（</w:t>
      </w:r>
      <w:r>
        <w:rPr>
          <w:rFonts w:hint="eastAsia"/>
        </w:rPr>
        <w:t>5</w:t>
      </w:r>
      <w:r>
        <w:t>）对操作人员有关化学品和物料灼烫伤预防知识和应急处理方法的培训和教育；</w:t>
      </w:r>
    </w:p>
    <w:p>
      <w:pPr>
        <w:spacing w:before="156" w:after="156"/>
        <w:ind w:firstLine="420"/>
      </w:pPr>
      <w:r>
        <w:t>（</w:t>
      </w:r>
      <w:r>
        <w:rPr>
          <w:rFonts w:hint="eastAsia"/>
        </w:rPr>
        <w:t>6</w:t>
      </w:r>
      <w:r>
        <w:t>）精馏塔相连的可能泄漏的法兰、泵、阀门等处装防喷射设施；</w:t>
      </w:r>
    </w:p>
    <w:p>
      <w:pPr>
        <w:spacing w:before="156" w:after="156"/>
        <w:ind w:firstLine="420"/>
      </w:pPr>
      <w:r>
        <w:t>（</w:t>
      </w:r>
      <w:r>
        <w:rPr>
          <w:rFonts w:hint="eastAsia"/>
        </w:rPr>
        <w:t>7</w:t>
      </w:r>
      <w:r>
        <w:t>）救护点，并配备器材和物品，如洗眼器等；</w:t>
      </w:r>
    </w:p>
    <w:p>
      <w:pPr>
        <w:spacing w:before="156" w:after="156"/>
        <w:ind w:firstLine="420"/>
      </w:pPr>
      <w:r>
        <w:rPr>
          <w:rFonts w:hint="eastAsia"/>
        </w:rPr>
        <w:t>（8）</w:t>
      </w:r>
      <w:r>
        <w:t>警示标志。</w:t>
      </w:r>
    </w:p>
    <w:p>
      <w:pPr>
        <w:pStyle w:val="5"/>
        <w:spacing w:before="156" w:after="156"/>
        <w:ind w:firstLine="560"/>
      </w:pPr>
      <w:r>
        <w:rPr>
          <w:rFonts w:hint="eastAsia"/>
        </w:rPr>
        <w:t>7</w:t>
      </w:r>
      <w:r>
        <w:t>.1.1.5</w:t>
      </w:r>
      <w:r>
        <w:rPr>
          <w:rFonts w:hint="eastAsia"/>
        </w:rPr>
        <w:t>高处坠落</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对精馏塔进行登高架式、检查、检修等作业。</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t>人员伤亡。</w:t>
      </w:r>
    </w:p>
    <w:p>
      <w:pPr>
        <w:spacing w:before="156" w:after="156"/>
        <w:ind w:firstLine="422"/>
        <w:rPr>
          <w:b/>
          <w:bCs/>
        </w:rPr>
      </w:pPr>
      <w:r>
        <w:rPr>
          <w:rFonts w:hint="eastAsia"/>
          <w:b/>
          <w:bCs/>
        </w:rPr>
        <w:t>(</w:t>
      </w:r>
      <w:r>
        <w:rPr>
          <w:b/>
          <w:bCs/>
        </w:rPr>
        <w:t>3)</w:t>
      </w:r>
      <w:r>
        <w:rPr>
          <w:rFonts w:hint="eastAsia"/>
          <w:b/>
          <w:bCs/>
        </w:rPr>
        <w:t>危险等级</w:t>
      </w:r>
    </w:p>
    <w:p>
      <w:pPr>
        <w:spacing w:before="156" w:after="156"/>
        <w:ind w:firstLine="420"/>
      </w:pPr>
      <w:r>
        <w:rPr>
          <w:rFonts w:hint="eastAsia"/>
        </w:rPr>
        <w:t>Ⅲ</w:t>
      </w:r>
      <w:r>
        <w:t>级严重。</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t>（</w:t>
      </w:r>
      <w:r>
        <w:rPr>
          <w:rFonts w:hint="eastAsia"/>
        </w:rPr>
        <w:t>1</w:t>
      </w:r>
      <w:r>
        <w:t>）检修时临边无栏，无脚手架、板，不小心造成坠落；</w:t>
      </w:r>
    </w:p>
    <w:p>
      <w:pPr>
        <w:spacing w:before="156" w:after="156"/>
        <w:ind w:firstLine="420"/>
      </w:pPr>
      <w:r>
        <w:t>（</w:t>
      </w:r>
      <w:r>
        <w:rPr>
          <w:rFonts w:hint="eastAsia"/>
        </w:rPr>
        <w:t>2</w:t>
      </w:r>
      <w:r>
        <w:t>）无防滑措施，或强度不够、固定不牢造成跌落；</w:t>
      </w:r>
    </w:p>
    <w:p>
      <w:pPr>
        <w:spacing w:before="156" w:after="156"/>
        <w:ind w:firstLine="420"/>
      </w:pPr>
      <w:r>
        <w:t>（</w:t>
      </w:r>
      <w:r>
        <w:rPr>
          <w:rFonts w:hint="eastAsia"/>
        </w:rPr>
        <w:t>3</w:t>
      </w:r>
      <w:r>
        <w:t>）管线架桥及护栏等锈蚀，或强度不够造成坠落；</w:t>
      </w:r>
    </w:p>
    <w:p>
      <w:pPr>
        <w:spacing w:before="156" w:after="156"/>
        <w:ind w:firstLine="420"/>
      </w:pPr>
      <w:r>
        <w:t>（</w:t>
      </w:r>
      <w:r>
        <w:rPr>
          <w:rFonts w:hint="eastAsia"/>
        </w:rPr>
        <w:t>4</w:t>
      </w:r>
      <w:r>
        <w:t>）人员未穿防滑鞋或防护用品穿戴不当，造成滑跌坠落；</w:t>
      </w:r>
    </w:p>
    <w:p>
      <w:pPr>
        <w:spacing w:before="156" w:after="156"/>
        <w:ind w:firstLine="420"/>
      </w:pPr>
      <w:r>
        <w:t>（</w:t>
      </w:r>
      <w:r>
        <w:rPr>
          <w:rFonts w:hint="eastAsia"/>
        </w:rPr>
        <w:t>5</w:t>
      </w:r>
      <w:r>
        <w:t>）风、暴雨、雷电、霜冻、积雪条件下登高作业，不慎跌落；</w:t>
      </w:r>
    </w:p>
    <w:p>
      <w:pPr>
        <w:spacing w:before="156" w:after="156"/>
        <w:ind w:firstLine="420"/>
      </w:pPr>
      <w:r>
        <w:t>（</w:t>
      </w:r>
      <w:r>
        <w:rPr>
          <w:rFonts w:hint="eastAsia"/>
        </w:rPr>
        <w:t>6</w:t>
      </w:r>
      <w:r>
        <w:t>）精馏塔内未排尽的馏分或氧气不足、身体不适造成跌落；</w:t>
      </w:r>
    </w:p>
    <w:p>
      <w:pPr>
        <w:spacing w:before="156" w:after="156"/>
        <w:ind w:firstLine="420"/>
      </w:pPr>
      <w:r>
        <w:t>（</w:t>
      </w:r>
      <w:r>
        <w:rPr>
          <w:rFonts w:hint="eastAsia"/>
        </w:rPr>
        <w:t>7</w:t>
      </w:r>
      <w:r>
        <w:t>）人员作业时嬉戏打闹。</w:t>
      </w:r>
    </w:p>
    <w:p>
      <w:pPr>
        <w:spacing w:before="156" w:after="156"/>
        <w:ind w:firstLine="420"/>
      </w:pPr>
      <w:r>
        <w:t>（</w:t>
      </w:r>
      <w:r>
        <w:rPr>
          <w:rFonts w:hint="eastAsia"/>
        </w:rPr>
        <w:t>8</w:t>
      </w:r>
      <w:r>
        <w:t>）手架和防规范措施，踩空或支撑物倒塌；</w:t>
      </w:r>
    </w:p>
    <w:p>
      <w:pPr>
        <w:spacing w:before="156" w:after="156"/>
        <w:ind w:firstLine="420"/>
      </w:pPr>
      <w:r>
        <w:t>（</w:t>
      </w:r>
      <w:r>
        <w:rPr>
          <w:rFonts w:hint="eastAsia"/>
        </w:rPr>
        <w:t>9</w:t>
      </w:r>
      <w:r>
        <w:t>）人员未系安全带或安全带挂结不可靠；</w:t>
      </w:r>
    </w:p>
    <w:p>
      <w:pPr>
        <w:spacing w:before="156" w:after="156"/>
        <w:ind w:firstLine="420"/>
      </w:pPr>
      <w:r>
        <w:t>（</w:t>
      </w:r>
      <w:r>
        <w:rPr>
          <w:rFonts w:hint="eastAsia"/>
        </w:rPr>
        <w:t>1</w:t>
      </w:r>
      <w:r>
        <w:t>0）十不登高</w:t>
      </w:r>
      <w:r>
        <w:rPr>
          <w:rFonts w:hint="eastAsia"/>
        </w:rPr>
        <w:t>”</w:t>
      </w:r>
      <w:r>
        <w:t>规定；</w:t>
      </w:r>
    </w:p>
    <w:p>
      <w:pPr>
        <w:spacing w:before="156" w:after="156"/>
        <w:ind w:firstLine="420"/>
      </w:pPr>
      <w:r>
        <w:rPr>
          <w:rFonts w:hint="eastAsia"/>
        </w:rPr>
        <w:t>（1</w:t>
      </w:r>
      <w:r>
        <w:t>1</w:t>
      </w:r>
      <w:r>
        <w:rPr>
          <w:rFonts w:hint="eastAsia"/>
        </w:rPr>
        <w:t>）人</w:t>
      </w:r>
      <w:r>
        <w:t>员未穿防滑鞋、紧身工作服，违章作业、违章指挥、违反劳动纪律。</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（1）</w:t>
      </w:r>
      <w:r>
        <w:t>2m以上（含2m）高处作业；</w:t>
      </w:r>
    </w:p>
    <w:p>
      <w:pPr>
        <w:spacing w:before="156" w:after="156"/>
        <w:ind w:firstLine="420"/>
      </w:pPr>
      <w:r>
        <w:rPr>
          <w:rFonts w:hint="eastAsia"/>
        </w:rPr>
        <w:t>（2）</w:t>
      </w:r>
      <w:r>
        <w:t>作业面下是硬质地面。</w:t>
      </w:r>
    </w:p>
    <w:p>
      <w:pPr>
        <w:spacing w:before="156" w:after="156"/>
        <w:ind w:firstLine="422"/>
        <w:rPr>
          <w:b/>
          <w:bCs/>
        </w:rPr>
      </w:pPr>
      <w:r>
        <w:rPr>
          <w:rFonts w:hint="eastAsia"/>
          <w:b/>
          <w:bCs/>
        </w:rPr>
        <w:t>(</w:t>
      </w:r>
      <w:r>
        <w:rPr>
          <w:b/>
          <w:bCs/>
        </w:rPr>
        <w:t>6)</w:t>
      </w:r>
      <w:r>
        <w:rPr>
          <w:rFonts w:hint="eastAsia"/>
          <w:b/>
          <w:bCs/>
        </w:rPr>
        <w:t>措施</w:t>
      </w:r>
    </w:p>
    <w:p>
      <w:pPr>
        <w:spacing w:before="156" w:after="156"/>
        <w:ind w:firstLine="420"/>
      </w:pPr>
      <w:r>
        <w:rPr>
          <w:rFonts w:hint="eastAsia"/>
        </w:rPr>
        <w:t>（</w:t>
      </w:r>
      <w:r>
        <w:t>1）登高作业人员必须在身心健康状态下登高作业，必须严格执行“十不登高”；</w:t>
      </w:r>
    </w:p>
    <w:p>
      <w:pPr>
        <w:spacing w:before="156" w:after="156"/>
        <w:ind w:firstLine="420"/>
      </w:pPr>
      <w:r>
        <w:rPr>
          <w:rFonts w:hint="eastAsia"/>
        </w:rPr>
        <w:t>（</w:t>
      </w:r>
      <w:r>
        <w:t>2）登高作业人员必须穿戴防滑鞋、紧身工作服、安全帽，系好安全带；</w:t>
      </w:r>
    </w:p>
    <w:p>
      <w:pPr>
        <w:spacing w:before="156" w:after="156"/>
        <w:ind w:firstLine="420"/>
      </w:pPr>
      <w:r>
        <w:rPr>
          <w:rFonts w:hint="eastAsia"/>
        </w:rPr>
        <w:t>（</w:t>
      </w:r>
      <w:r>
        <w:t>3）事先搭设脚手架等安全设施；</w:t>
      </w:r>
    </w:p>
    <w:p>
      <w:pPr>
        <w:spacing w:before="156" w:after="156"/>
        <w:ind w:firstLine="420"/>
      </w:pPr>
      <w:r>
        <w:rPr>
          <w:rFonts w:hint="eastAsia"/>
        </w:rPr>
        <w:t>（</w:t>
      </w:r>
      <w:r>
        <w:t>4）在塔杆等高处作业时，顶设防护栏杆、安全网；</w:t>
      </w:r>
    </w:p>
    <w:p>
      <w:pPr>
        <w:spacing w:before="156" w:after="156"/>
        <w:ind w:firstLine="420"/>
      </w:pPr>
      <w:r>
        <w:rPr>
          <w:rFonts w:hint="eastAsia"/>
        </w:rPr>
        <w:t>（</w:t>
      </w:r>
      <w:r>
        <w:t>5）进塔工作时要检测毒物深度氧含量，并有现场监护、设立警示标志；</w:t>
      </w:r>
    </w:p>
    <w:p>
      <w:pPr>
        <w:spacing w:before="156" w:after="156"/>
        <w:ind w:firstLine="420"/>
      </w:pPr>
      <w:r>
        <w:rPr>
          <w:rFonts w:hint="eastAsia"/>
        </w:rPr>
        <w:t>（</w:t>
      </w:r>
      <w:r>
        <w:t>6）上下层交叉作业顶搭设严密牢固之中间隔板、罩棚作隔离；</w:t>
      </w:r>
    </w:p>
    <w:p>
      <w:pPr>
        <w:spacing w:before="156" w:after="156"/>
        <w:ind w:firstLine="420"/>
      </w:pPr>
      <w:r>
        <w:rPr>
          <w:rFonts w:hint="eastAsia"/>
        </w:rPr>
        <w:t>（</w:t>
      </w:r>
      <w:r>
        <w:t>7）临边、洞口要做到“有洞必有盖”“有边必有栏”以防坠落；</w:t>
      </w:r>
    </w:p>
    <w:p>
      <w:pPr>
        <w:spacing w:before="156" w:after="156"/>
        <w:ind w:firstLine="420"/>
      </w:pPr>
      <w:r>
        <w:rPr>
          <w:rFonts w:hint="eastAsia"/>
        </w:rPr>
        <w:t>（</w:t>
      </w:r>
      <w:r>
        <w:t>8）安全带安全网、栏杆、护墙、平台要定期检查确保完好；</w:t>
      </w:r>
    </w:p>
    <w:p>
      <w:pPr>
        <w:spacing w:before="156" w:after="156"/>
        <w:ind w:firstLine="420"/>
      </w:pPr>
      <w:r>
        <w:rPr>
          <w:rFonts w:hint="eastAsia"/>
        </w:rPr>
        <w:t>（</w:t>
      </w:r>
      <w:r>
        <w:t>9）六级以上大风、暴雨、雷电、霜冻、大雾、积雪等恶劣气候条件下尽可能避免高处作业；</w:t>
      </w:r>
    </w:p>
    <w:p>
      <w:pPr>
        <w:spacing w:before="156" w:after="156"/>
        <w:ind w:firstLine="420"/>
      </w:pPr>
      <w:r>
        <w:rPr>
          <w:rFonts w:hint="eastAsia"/>
        </w:rPr>
        <w:t>（</w:t>
      </w:r>
      <w:r>
        <w:t>10）可以在地面做的作业，尽量不要安排在高处做，即尽可能高处作业平地做；</w:t>
      </w:r>
    </w:p>
    <w:p>
      <w:pPr>
        <w:spacing w:before="156" w:after="156"/>
        <w:ind w:firstLine="420"/>
      </w:pPr>
      <w:r>
        <w:rPr>
          <w:rFonts w:hint="eastAsia"/>
        </w:rPr>
        <w:t>（</w:t>
      </w:r>
      <w:r>
        <w:t>11）加强对登高作业人员的安全教育、培训、考核工作；</w:t>
      </w:r>
    </w:p>
    <w:p>
      <w:pPr>
        <w:spacing w:before="156" w:after="156"/>
        <w:ind w:firstLine="420"/>
      </w:pPr>
      <w:r>
        <w:rPr>
          <w:rFonts w:hint="eastAsia"/>
        </w:rPr>
        <w:t>（1</w:t>
      </w:r>
      <w:r>
        <w:t>2</w:t>
      </w:r>
      <w:r>
        <w:rPr>
          <w:rFonts w:hint="eastAsia"/>
        </w:rPr>
        <w:t>）</w:t>
      </w:r>
      <w:r>
        <w:t>坚决杜绝登高作业中的“三违”</w:t>
      </w:r>
      <w:r>
        <w:rPr>
          <w:rFonts w:hint="eastAsia"/>
        </w:rPr>
        <w:t>。</w:t>
      </w:r>
    </w:p>
    <w:p>
      <w:pPr>
        <w:pStyle w:val="4"/>
        <w:spacing w:before="156" w:after="156"/>
        <w:ind w:firstLine="482"/>
      </w:pPr>
      <w:bookmarkStart w:id="189" w:name="_Toc141203958"/>
      <w:bookmarkStart w:id="190" w:name="_Toc108206549"/>
      <w:r>
        <w:rPr>
          <w:rFonts w:hint="eastAsia"/>
        </w:rPr>
        <w:t>7</w:t>
      </w:r>
      <w:r>
        <w:t>.1.2</w:t>
      </w:r>
      <w:r>
        <w:rPr>
          <w:rFonts w:hint="eastAsia"/>
        </w:rPr>
        <w:t>进料罐预先危险性分析</w:t>
      </w:r>
      <w:bookmarkEnd w:id="189"/>
      <w:bookmarkEnd w:id="190"/>
    </w:p>
    <w:p>
      <w:pPr>
        <w:pStyle w:val="5"/>
        <w:spacing w:before="156" w:after="156"/>
        <w:ind w:firstLine="560"/>
      </w:pPr>
      <w:r>
        <w:t>7.1.2.1</w:t>
      </w:r>
      <w:r>
        <w:rPr>
          <w:rFonts w:hint="eastAsia"/>
        </w:rPr>
        <w:t>火灾、化学爆炸</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泄漏、或与空气接触达到燃爆极限、电气火灾、检测报警系统失效。</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（1）</w:t>
      </w:r>
      <w:r>
        <w:t>进料罐及人员的伤亡；</w:t>
      </w:r>
    </w:p>
    <w:p>
      <w:pPr>
        <w:spacing w:before="156" w:after="156"/>
        <w:ind w:firstLine="420"/>
      </w:pPr>
      <w:r>
        <w:rPr>
          <w:rFonts w:hint="eastAsia"/>
        </w:rPr>
        <w:t>（2）</w:t>
      </w:r>
      <w:r>
        <w:t>物料跑损；</w:t>
      </w:r>
    </w:p>
    <w:p>
      <w:pPr>
        <w:spacing w:before="156" w:after="156"/>
        <w:ind w:firstLine="420"/>
      </w:pPr>
      <w:r>
        <w:rPr>
          <w:rFonts w:hint="eastAsia"/>
        </w:rPr>
        <w:t>（3）</w:t>
      </w:r>
      <w:r>
        <w:t>停产；</w:t>
      </w:r>
    </w:p>
    <w:p>
      <w:pPr>
        <w:spacing w:before="156" w:after="156"/>
        <w:ind w:firstLine="420"/>
      </w:pPr>
      <w:r>
        <w:rPr>
          <w:rFonts w:hint="eastAsia"/>
        </w:rPr>
        <w:t>（4）</w:t>
      </w:r>
      <w:r>
        <w:t>严重经济损失。</w:t>
      </w:r>
    </w:p>
    <w:p>
      <w:pPr>
        <w:spacing w:before="156" w:after="156"/>
        <w:ind w:firstLine="422"/>
        <w:rPr>
          <w:b/>
          <w:bCs/>
        </w:rPr>
      </w:pPr>
      <w:r>
        <w:rPr>
          <w:rFonts w:hint="eastAsia"/>
          <w:b/>
          <w:bCs/>
        </w:rPr>
        <w:t>(</w:t>
      </w:r>
      <w:r>
        <w:rPr>
          <w:b/>
          <w:bCs/>
        </w:rPr>
        <w:t>3)</w:t>
      </w:r>
      <w:r>
        <w:rPr>
          <w:rFonts w:hint="eastAsia"/>
          <w:b/>
          <w:bCs/>
        </w:rPr>
        <w:t>危险分类</w:t>
      </w:r>
    </w:p>
    <w:p>
      <w:pPr>
        <w:spacing w:before="156" w:after="156"/>
        <w:ind w:firstLine="420"/>
      </w:pPr>
      <w:r>
        <w:t>IV级致命</w:t>
      </w:r>
      <w:r>
        <w:rPr>
          <w:rFonts w:hint="eastAsia"/>
        </w:rPr>
        <w:t>。</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rPr>
          <w:rFonts w:hint="eastAsia"/>
        </w:rPr>
        <w:t>（1）</w:t>
      </w:r>
      <w:r>
        <w:t>罐的密闭性不好、材质未达要求或设施老化，导致物料产物泄漏；与进料罐相连的管、阀、表等连接处泄漏；进料罐因加工、材质、焊接等质量不好或安装不当而泄漏；由自然灾害（如雷击、台风、地震）造成塔体破裂泄漏；</w:t>
      </w:r>
    </w:p>
    <w:p>
      <w:pPr>
        <w:spacing w:before="156" w:after="156"/>
        <w:ind w:firstLine="420"/>
      </w:pPr>
      <w:r>
        <w:rPr>
          <w:rFonts w:hint="eastAsia"/>
        </w:rPr>
        <w:t>（2）</w:t>
      </w:r>
      <w:r>
        <w:t>运行泄漏因操作人员的失误、错开阀门、或是不按规范操作等原因造成工艺过程的失控或易燃物料的泄漏；</w:t>
      </w:r>
    </w:p>
    <w:p>
      <w:pPr>
        <w:spacing w:before="156" w:after="156"/>
        <w:ind w:firstLine="420"/>
      </w:pPr>
      <w:r>
        <w:rPr>
          <w:rFonts w:hint="eastAsia"/>
        </w:rPr>
        <w:t>（3）</w:t>
      </w:r>
      <w:r>
        <w:t>其他进料罐未设检测报警系统，或检测报警系统失效，未发现已泄漏的物料；进料罐未设置防雷设施或防雷设施不符合要求；未设有监测设备监测氧气含量或监测设备出现故障；在人员检修进料罐的过程中，未有其他人员在旁监护，或未挂警示牌提示，冒然开车。</w:t>
      </w:r>
    </w:p>
    <w:p>
      <w:pPr>
        <w:spacing w:before="156" w:after="156"/>
        <w:ind w:firstLine="420"/>
      </w:pPr>
      <w:r>
        <w:rPr>
          <w:rFonts w:hint="eastAsia"/>
        </w:rPr>
        <w:t>（4）</w:t>
      </w:r>
      <w:r>
        <w:t>点火源明火（主要是进料罐内检修动火、吸烟等，项目检修主要有电气焊动火）；静电（主要考虑进料罐塔体作为接闪器，受雷击和雷击后产生的高温；静电考虑检修人体带电）；撞击火花；（主要是检修人员操作、检修过程中使用的工具产生撞击火花）；电气火花。</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（1）</w:t>
      </w:r>
      <w:r>
        <w:t>进料罐内的物料泄漏，与空气混合形成燃烧爆炸混合物；</w:t>
      </w:r>
    </w:p>
    <w:p>
      <w:pPr>
        <w:spacing w:before="156" w:after="156"/>
        <w:ind w:firstLine="420"/>
      </w:pPr>
      <w:r>
        <w:rPr>
          <w:rFonts w:hint="eastAsia"/>
        </w:rPr>
        <w:t>（2）</w:t>
      </w:r>
      <w:r>
        <w:t>燃烧爆炸混合物达到燃爆极限；</w:t>
      </w:r>
    </w:p>
    <w:p>
      <w:pPr>
        <w:spacing w:before="156" w:after="156"/>
        <w:ind w:firstLine="420"/>
      </w:pPr>
      <w:r>
        <w:rPr>
          <w:rFonts w:hint="eastAsia"/>
        </w:rPr>
        <w:t>（3）</w:t>
      </w:r>
      <w:r>
        <w:t>易燃爆物质遇到点火源、高温物体等引发能量。</w:t>
      </w:r>
    </w:p>
    <w:p>
      <w:pPr>
        <w:spacing w:before="156" w:after="156"/>
        <w:ind w:firstLine="422"/>
        <w:rPr>
          <w:b/>
          <w:bCs/>
        </w:rPr>
      </w:pPr>
      <w:r>
        <w:rPr>
          <w:rFonts w:hint="eastAsia"/>
          <w:b/>
          <w:bCs/>
        </w:rPr>
        <w:t>(</w:t>
      </w:r>
      <w:r>
        <w:rPr>
          <w:b/>
          <w:bCs/>
        </w:rPr>
        <w:t>6)</w:t>
      </w:r>
      <w:r>
        <w:rPr>
          <w:rFonts w:hint="eastAsia"/>
          <w:b/>
          <w:bCs/>
        </w:rPr>
        <w:t>对策</w:t>
      </w:r>
    </w:p>
    <w:p>
      <w:pPr>
        <w:spacing w:before="156" w:after="156"/>
        <w:ind w:firstLine="420"/>
      </w:pPr>
      <w:r>
        <w:rPr>
          <w:rFonts w:hint="eastAsia"/>
        </w:rPr>
        <w:t>（1）</w:t>
      </w:r>
      <w:r>
        <w:t>控制与消除火源</w:t>
      </w:r>
    </w:p>
    <w:p>
      <w:pPr>
        <w:spacing w:before="156" w:after="156"/>
        <w:ind w:firstLine="420"/>
      </w:pPr>
      <w:r>
        <w:t>a.严禁吸烟、火种和穿带钉皮鞋、不带阻火器车辆进入易燃易爆区；</w:t>
      </w:r>
    </w:p>
    <w:p>
      <w:pPr>
        <w:spacing w:before="156" w:after="156"/>
        <w:ind w:firstLine="420"/>
      </w:pPr>
      <w:r>
        <w:t>b.严格执行动火证制度，并加强防范措施；</w:t>
      </w:r>
    </w:p>
    <w:p>
      <w:pPr>
        <w:spacing w:before="156" w:after="156"/>
        <w:ind w:firstLine="420"/>
      </w:pPr>
      <w:r>
        <w:t>c.装置区内一律使用防爆性电气设备；</w:t>
      </w:r>
    </w:p>
    <w:p>
      <w:pPr>
        <w:spacing w:before="156" w:after="156"/>
        <w:ind w:firstLine="420"/>
      </w:pPr>
      <w:r>
        <w:t>d.严禁钢性工具敲击、抛掷，不使用发火工具;</w:t>
      </w:r>
    </w:p>
    <w:p>
      <w:pPr>
        <w:spacing w:before="156" w:after="156"/>
        <w:ind w:firstLine="420"/>
      </w:pPr>
      <w:r>
        <w:t>e.按标准装设避雷设施，并定期检查；</w:t>
      </w:r>
    </w:p>
    <w:p>
      <w:pPr>
        <w:spacing w:before="156" w:after="156"/>
        <w:ind w:firstLine="420"/>
      </w:pPr>
      <w:r>
        <w:t>f.严格执行防静电措施；</w:t>
      </w:r>
    </w:p>
    <w:p>
      <w:pPr>
        <w:spacing w:before="156" w:after="156"/>
        <w:ind w:firstLine="420"/>
      </w:pPr>
      <w:r>
        <w:t>g.加强门卫，严禁机动车辆进入火灾、爆炸危险区；</w:t>
      </w:r>
    </w:p>
    <w:p>
      <w:pPr>
        <w:spacing w:before="156" w:after="156"/>
        <w:ind w:firstLine="420"/>
      </w:pPr>
      <w:r>
        <w:t>h.转动设备部位要保持清洁，防止因摩擦引起杂物等燃烧。</w:t>
      </w:r>
    </w:p>
    <w:p>
      <w:pPr>
        <w:spacing w:before="156" w:after="156"/>
        <w:ind w:firstLine="420"/>
      </w:pPr>
      <w:r>
        <w:rPr>
          <w:rFonts w:hint="eastAsia"/>
        </w:rPr>
        <w:t>（2）</w:t>
      </w:r>
      <w:r>
        <w:t>严格控制设备及其安装质量</w:t>
      </w:r>
    </w:p>
    <w:p>
      <w:pPr>
        <w:spacing w:before="156" w:after="156"/>
        <w:ind w:firstLine="420"/>
      </w:pPr>
      <w:r>
        <w:t>a.保证进料罐质量，材质、壁厚大于4mm，可以作为接闪器使用；</w:t>
      </w:r>
    </w:p>
    <w:p>
      <w:pPr>
        <w:spacing w:before="156" w:after="156"/>
        <w:ind w:firstLine="420"/>
      </w:pPr>
      <w:r>
        <w:t>b.进料罐及相连的管道及其仪表要定期检验、检测、试压；</w:t>
      </w:r>
    </w:p>
    <w:p>
      <w:pPr>
        <w:spacing w:before="156" w:after="156"/>
        <w:ind w:firstLine="420"/>
      </w:pPr>
      <w:r>
        <w:t>c.对进料罐的阀、报警器监测仪表定期检定；</w:t>
      </w:r>
    </w:p>
    <w:p>
      <w:pPr>
        <w:spacing w:before="156" w:after="156"/>
        <w:ind w:firstLine="420"/>
      </w:pPr>
      <w:r>
        <w:t>d.进料罐附近的电气设备按规范和标准安装，定期检修，保证完好状态；</w:t>
      </w:r>
    </w:p>
    <w:p>
      <w:pPr>
        <w:spacing w:before="156" w:after="156"/>
        <w:ind w:firstLine="420"/>
      </w:pPr>
      <w:r>
        <w:t>e.进料罐外须设置隔热措施。</w:t>
      </w:r>
    </w:p>
    <w:p>
      <w:pPr>
        <w:spacing w:before="156" w:after="156"/>
        <w:ind w:firstLine="420"/>
      </w:pPr>
      <w:r>
        <w:rPr>
          <w:rFonts w:hint="eastAsia"/>
        </w:rPr>
        <w:t>（3）</w:t>
      </w:r>
      <w:r>
        <w:t>加强管理、严格工艺，防止易燃、易爆物料的跑、冒、滴、漏</w:t>
      </w:r>
    </w:p>
    <w:p>
      <w:pPr>
        <w:spacing w:before="156" w:after="156"/>
        <w:ind w:firstLine="420"/>
      </w:pPr>
      <w:r>
        <w:t>a.区内根据“170号公约”和危险化学品安全管理条例张贴作业场所危险化学品安全标签；</w:t>
      </w:r>
    </w:p>
    <w:p>
      <w:pPr>
        <w:spacing w:before="156" w:after="156"/>
        <w:ind w:firstLine="420"/>
      </w:pPr>
      <w:r>
        <w:t>b.杜绝“三违”（违章作业、违章指挥、违反劳纪），严守工艺规定，防止工艺参数发生变化；</w:t>
      </w:r>
    </w:p>
    <w:p>
      <w:pPr>
        <w:spacing w:before="156" w:after="156"/>
        <w:ind w:firstLine="420"/>
      </w:pPr>
      <w:r>
        <w:t>c.坚持巡回检查，发现问题及时处理，如液位报警器、呼吸阀、压力表、安全阀、防腐、联锁仪表、消防及救护设施是否完好、液位报警器是否正常、罐进出料阀（包括截止阀、自动调节阀）等有否泄漏、消防通道、地沟是否畅通；</w:t>
      </w:r>
    </w:p>
    <w:p>
      <w:pPr>
        <w:spacing w:before="156" w:after="156"/>
        <w:ind w:firstLine="420"/>
      </w:pPr>
      <w:r>
        <w:t>d.检修时做好隔离、清空、吹扫、通风，在监护下进行动火等作业；</w:t>
      </w:r>
    </w:p>
    <w:p>
      <w:pPr>
        <w:spacing w:before="156" w:after="156"/>
        <w:ind w:firstLine="420"/>
      </w:pPr>
      <w:r>
        <w:t>e.加强培训、教育、考核工作，经常性检查有否违章、违纪现象；</w:t>
      </w:r>
    </w:p>
    <w:p>
      <w:pPr>
        <w:spacing w:before="156" w:after="156"/>
        <w:ind w:firstLine="420"/>
      </w:pPr>
      <w:r>
        <w:t>f.防止易燃、易爆物料的跑、冒、滴、漏；</w:t>
      </w:r>
    </w:p>
    <w:p>
      <w:pPr>
        <w:spacing w:before="156" w:after="156"/>
        <w:ind w:firstLine="420"/>
      </w:pPr>
      <w:r>
        <w:rPr>
          <w:rFonts w:hint="eastAsia"/>
        </w:rPr>
        <w:t>（4）</w:t>
      </w:r>
      <w:r>
        <w:t>安全设施（包括消防设施、遥控装置等）保持齐全完好。</w:t>
      </w:r>
    </w:p>
    <w:p>
      <w:pPr>
        <w:pStyle w:val="5"/>
        <w:spacing w:before="156" w:after="156"/>
        <w:ind w:firstLine="560"/>
      </w:pPr>
      <w:r>
        <w:t>7.1.2.2</w:t>
      </w:r>
      <w:r>
        <w:rPr>
          <w:rFonts w:hint="eastAsia"/>
        </w:rPr>
        <w:t>物理爆炸（容器爆炸）</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压力容器爆炸</w:t>
      </w:r>
      <w:r>
        <w:rPr>
          <w:rFonts w:hint="eastAsia"/>
        </w:rPr>
        <w:t>。</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（1）</w:t>
      </w:r>
      <w:r>
        <w:t>进料罐、人员的伤亡；</w:t>
      </w:r>
    </w:p>
    <w:p>
      <w:pPr>
        <w:spacing w:before="156" w:after="156"/>
        <w:ind w:firstLine="420"/>
      </w:pPr>
      <w:r>
        <w:rPr>
          <w:rFonts w:hint="eastAsia"/>
        </w:rPr>
        <w:t>（2）</w:t>
      </w:r>
      <w:r>
        <w:t>物料跑损；</w:t>
      </w:r>
    </w:p>
    <w:p>
      <w:pPr>
        <w:spacing w:before="156" w:after="156"/>
        <w:ind w:firstLine="420"/>
      </w:pPr>
      <w:r>
        <w:rPr>
          <w:rFonts w:hint="eastAsia"/>
        </w:rPr>
        <w:t>（3）</w:t>
      </w:r>
      <w:r>
        <w:t>停产；</w:t>
      </w:r>
    </w:p>
    <w:p>
      <w:pPr>
        <w:spacing w:before="156" w:after="156"/>
        <w:ind w:firstLine="420"/>
      </w:pPr>
      <w:r>
        <w:rPr>
          <w:rFonts w:hint="eastAsia"/>
        </w:rPr>
        <w:t>（4）</w:t>
      </w:r>
      <w:r>
        <w:t>严重经济损失。</w:t>
      </w:r>
    </w:p>
    <w:p>
      <w:pPr>
        <w:spacing w:before="156" w:after="156"/>
        <w:ind w:firstLine="422"/>
        <w:rPr>
          <w:b/>
          <w:bCs/>
        </w:rPr>
      </w:pPr>
      <w:r>
        <w:rPr>
          <w:rFonts w:hint="eastAsia"/>
          <w:b/>
          <w:bCs/>
        </w:rPr>
        <w:t>(</w:t>
      </w:r>
      <w:r>
        <w:rPr>
          <w:b/>
          <w:bCs/>
        </w:rPr>
        <w:t>3)</w:t>
      </w:r>
      <w:r>
        <w:rPr>
          <w:rFonts w:hint="eastAsia"/>
          <w:b/>
          <w:bCs/>
        </w:rPr>
        <w:t>危险分类</w:t>
      </w:r>
    </w:p>
    <w:p>
      <w:pPr>
        <w:spacing w:before="156" w:after="156"/>
        <w:ind w:firstLine="420"/>
      </w:pPr>
      <w:r>
        <w:t>IV级致命</w:t>
      </w:r>
      <w:r>
        <w:rPr>
          <w:rFonts w:hint="eastAsia"/>
        </w:rPr>
        <w:t>。</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rPr>
          <w:rFonts w:hint="eastAsia"/>
        </w:rPr>
        <w:t>（1）</w:t>
      </w:r>
      <w:r>
        <w:t>管道、进料罐进出料配比、料量、速度不当造成反应失控导致精馏塔无法及时泄压的超压现象；</w:t>
      </w:r>
    </w:p>
    <w:p>
      <w:pPr>
        <w:spacing w:before="156" w:after="156"/>
        <w:ind w:firstLine="420"/>
      </w:pPr>
      <w:r>
        <w:rPr>
          <w:rFonts w:hint="eastAsia"/>
        </w:rPr>
        <w:t>（2）</w:t>
      </w:r>
      <w:r>
        <w:t>与进料罐相连的仪表损坏或是管道堵塞，导致超压；</w:t>
      </w:r>
    </w:p>
    <w:p>
      <w:pPr>
        <w:spacing w:before="156" w:after="156"/>
        <w:ind w:firstLine="420"/>
      </w:pPr>
      <w:r>
        <w:rPr>
          <w:rFonts w:hint="eastAsia"/>
        </w:rPr>
        <w:t>（3）</w:t>
      </w:r>
      <w:r>
        <w:t>操作过程中操作人员未按照规范操作，导致进料罐内压力升高；</w:t>
      </w:r>
    </w:p>
    <w:p>
      <w:pPr>
        <w:spacing w:before="156" w:after="156"/>
        <w:ind w:firstLine="420"/>
      </w:pPr>
      <w:r>
        <w:rPr>
          <w:rFonts w:hint="eastAsia"/>
        </w:rPr>
        <w:t>（4）</w:t>
      </w:r>
      <w:r>
        <w:t>进料罐若没有设置相应的安全装置（安全阀、安全泄压装置等），或安全装置失效，不能及时泄压；</w:t>
      </w:r>
    </w:p>
    <w:p>
      <w:pPr>
        <w:spacing w:before="156" w:after="156"/>
        <w:ind w:firstLine="420"/>
      </w:pPr>
      <w:r>
        <w:rPr>
          <w:rFonts w:hint="eastAsia"/>
        </w:rPr>
        <w:t>（5）</w:t>
      </w:r>
      <w:r>
        <w:t>罐或与罐相连的管道因为年久腐蚀、疲劳等原因，耐压强度降低；</w:t>
      </w:r>
    </w:p>
    <w:p>
      <w:pPr>
        <w:spacing w:before="156" w:after="156"/>
        <w:ind w:firstLine="420"/>
      </w:pPr>
      <w:r>
        <w:rPr>
          <w:rFonts w:hint="eastAsia"/>
        </w:rPr>
        <w:t>（6）</w:t>
      </w:r>
      <w:r>
        <w:t>进料罐在选材过程中未选择耐高压、耐高温材料。</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（1）</w:t>
      </w:r>
      <w:r>
        <w:t>进料罐内发生超压现象；</w:t>
      </w:r>
    </w:p>
    <w:p>
      <w:pPr>
        <w:spacing w:before="156" w:after="156"/>
        <w:ind w:firstLine="420"/>
      </w:pPr>
      <w:r>
        <w:rPr>
          <w:rFonts w:hint="eastAsia"/>
        </w:rPr>
        <w:t>（2）</w:t>
      </w:r>
      <w:r>
        <w:t>进料罐的材质和泄压装置出现故障。</w:t>
      </w:r>
    </w:p>
    <w:p>
      <w:pPr>
        <w:spacing w:before="156" w:after="156"/>
        <w:ind w:firstLine="422"/>
        <w:rPr>
          <w:b/>
          <w:bCs/>
        </w:rPr>
      </w:pPr>
      <w:r>
        <w:rPr>
          <w:rFonts w:hint="eastAsia"/>
          <w:b/>
          <w:bCs/>
        </w:rPr>
        <w:t>(</w:t>
      </w:r>
      <w:r>
        <w:rPr>
          <w:b/>
          <w:bCs/>
        </w:rPr>
        <w:t>6)</w:t>
      </w:r>
      <w:r>
        <w:rPr>
          <w:rFonts w:hint="eastAsia"/>
          <w:b/>
          <w:bCs/>
        </w:rPr>
        <w:t>对策</w:t>
      </w:r>
    </w:p>
    <w:p>
      <w:pPr>
        <w:spacing w:before="156" w:after="156"/>
        <w:ind w:firstLine="420"/>
      </w:pPr>
      <w:r>
        <w:rPr>
          <w:rFonts w:hint="eastAsia"/>
        </w:rPr>
        <w:t>（1）</w:t>
      </w:r>
      <w:r>
        <w:t>严格控制设备及其安装质量，消除泄漏的可能性，做好防渗漏、防腐措施；</w:t>
      </w:r>
    </w:p>
    <w:p>
      <w:pPr>
        <w:spacing w:before="156" w:after="156"/>
        <w:ind w:firstLine="420"/>
      </w:pPr>
      <w:r>
        <w:rPr>
          <w:rFonts w:hint="eastAsia"/>
        </w:rPr>
        <w:t>（</w:t>
      </w:r>
      <w:r>
        <w:t>2</w:t>
      </w:r>
      <w:r>
        <w:rPr>
          <w:rFonts w:hint="eastAsia"/>
        </w:rPr>
        <w:t>）</w:t>
      </w:r>
      <w:r>
        <w:t>严格控制设备及其安装质量；</w:t>
      </w:r>
    </w:p>
    <w:p>
      <w:pPr>
        <w:spacing w:before="156" w:after="156"/>
        <w:ind w:firstLine="420"/>
      </w:pPr>
      <w:r>
        <w:rPr>
          <w:rFonts w:hint="eastAsia"/>
        </w:rPr>
        <w:t>（3）</w:t>
      </w:r>
      <w:r>
        <w:t>防止罐内物料的跑、冒、滴、漏；</w:t>
      </w:r>
    </w:p>
    <w:p>
      <w:pPr>
        <w:spacing w:before="156" w:after="156"/>
        <w:ind w:firstLine="420"/>
      </w:pPr>
      <w:r>
        <w:rPr>
          <w:rFonts w:hint="eastAsia"/>
        </w:rPr>
        <w:t>（4）</w:t>
      </w:r>
      <w:r>
        <w:t>加强管理、严格工艺；做好进料罐的检测报警设施和设备防护设施；</w:t>
      </w:r>
    </w:p>
    <w:p>
      <w:pPr>
        <w:spacing w:before="156" w:after="156"/>
        <w:ind w:firstLine="420"/>
      </w:pPr>
      <w:r>
        <w:rPr>
          <w:rFonts w:hint="eastAsia"/>
        </w:rPr>
        <w:t>（5）</w:t>
      </w:r>
      <w:r>
        <w:t>安全设施保持齐全、完好；</w:t>
      </w:r>
    </w:p>
    <w:p>
      <w:pPr>
        <w:spacing w:before="156" w:after="156"/>
        <w:ind w:firstLine="420"/>
      </w:pPr>
      <w:r>
        <w:rPr>
          <w:rFonts w:hint="eastAsia"/>
        </w:rPr>
        <w:t>（6）</w:t>
      </w:r>
      <w:r>
        <w:t>漏后应采取相应措施：</w:t>
      </w:r>
      <w:r>
        <w:rPr>
          <w:rFonts w:hint="eastAsia"/>
        </w:rPr>
        <w:t>a</w:t>
      </w:r>
      <w:r>
        <w:t>.查明泄漏源点，切断相关阀门，消除泄漏源，及时报告；</w:t>
      </w:r>
      <w:r>
        <w:rPr>
          <w:rFonts w:hint="eastAsia"/>
        </w:rPr>
        <w:t>b</w:t>
      </w:r>
      <w:r>
        <w:t>.如泄漏量大，应疏散有关人员至安全处。</w:t>
      </w:r>
    </w:p>
    <w:p>
      <w:pPr>
        <w:spacing w:before="156" w:after="156"/>
        <w:ind w:firstLine="420"/>
      </w:pPr>
      <w:r>
        <w:rPr>
          <w:rFonts w:hint="eastAsia"/>
        </w:rPr>
        <w:t>（7）</w:t>
      </w:r>
      <w:r>
        <w:t>检修、维护保养，保持设备完好；检修时，彻底清洗干净并检测有毒有害物质浓度氧含量，合格后方可作业；作业时，穿戴劳动防护用品，有人监护并有抢救后备措施；</w:t>
      </w:r>
    </w:p>
    <w:p>
      <w:pPr>
        <w:spacing w:before="156" w:after="156"/>
        <w:ind w:firstLine="420"/>
      </w:pPr>
      <w:r>
        <w:rPr>
          <w:rFonts w:hint="eastAsia"/>
        </w:rPr>
        <w:t>（8）</w:t>
      </w:r>
      <w:r>
        <w:t>应急预案，抢救时勿忘正确使用防毒过滤器、氧气呼吸器及其它劳动防护用品；</w:t>
      </w:r>
    </w:p>
    <w:p>
      <w:pPr>
        <w:spacing w:before="156" w:after="156"/>
        <w:ind w:firstLine="420"/>
      </w:pPr>
      <w:r>
        <w:rPr>
          <w:rFonts w:hint="eastAsia"/>
        </w:rPr>
        <w:t>（9）</w:t>
      </w:r>
      <w:r>
        <w:t>管理措施</w:t>
      </w:r>
      <w:r>
        <w:rPr>
          <w:rFonts w:hint="eastAsia"/>
        </w:rPr>
        <w:t>：a.</w:t>
      </w:r>
      <w:r>
        <w:t>加强检查、检测有毒有害物质有否跑、冒、滴、漏；</w:t>
      </w:r>
      <w:r>
        <w:rPr>
          <w:rFonts w:hint="eastAsia"/>
        </w:rPr>
        <w:t>b</w:t>
      </w:r>
      <w:r>
        <w:t>.教育、培训职工掌握有关毒物的毒性，预防中毒、窒息的方法及其急救法，建立毒物周知卡；</w:t>
      </w:r>
      <w:r>
        <w:rPr>
          <w:rFonts w:hint="eastAsia"/>
        </w:rPr>
        <w:t>c</w:t>
      </w:r>
      <w:r>
        <w:t>.要求职工严格遵守各种规章制度、操作规程；</w:t>
      </w:r>
      <w:r>
        <w:rPr>
          <w:rFonts w:hint="eastAsia"/>
        </w:rPr>
        <w:t>d</w:t>
      </w:r>
      <w:r>
        <w:t>.设立危险、有毒、窒息性标志；</w:t>
      </w:r>
      <w:r>
        <w:rPr>
          <w:rFonts w:hint="eastAsia"/>
        </w:rPr>
        <w:t>e.</w:t>
      </w:r>
      <w:r>
        <w:t>设立急救点，配备相应的急救药品、器材；f.培训医务人员对中毒、窒息、灼烫等的急救处。</w:t>
      </w:r>
    </w:p>
    <w:p>
      <w:pPr>
        <w:pStyle w:val="5"/>
        <w:spacing w:before="156" w:after="156"/>
        <w:ind w:firstLine="560"/>
      </w:pPr>
      <w:r>
        <w:t>7.1.2.3</w:t>
      </w:r>
      <w:r>
        <w:rPr>
          <w:rFonts w:hint="eastAsia"/>
        </w:rPr>
        <w:t>中毒及窒息</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rPr>
          <w:rFonts w:hint="eastAsia"/>
        </w:rPr>
        <w:t>（1）</w:t>
      </w:r>
      <w:r>
        <w:t>在进料罐内馏分等都有低毒性和急性中毒、窒息性，可能泄漏造成中毒及窒息；</w:t>
      </w:r>
    </w:p>
    <w:p>
      <w:pPr>
        <w:spacing w:before="156" w:after="156"/>
        <w:ind w:firstLine="420"/>
      </w:pPr>
      <w:r>
        <w:rPr>
          <w:rFonts w:hint="eastAsia"/>
        </w:rPr>
        <w:t>（2）</w:t>
      </w:r>
      <w:r>
        <w:t>人员在检修进料罐过程中接触物料。</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（1）</w:t>
      </w:r>
      <w:r>
        <w:t>人员中毒窒息甚至死亡；</w:t>
      </w:r>
    </w:p>
    <w:p>
      <w:pPr>
        <w:spacing w:before="156" w:after="156"/>
        <w:ind w:firstLine="420"/>
      </w:pPr>
      <w:r>
        <w:rPr>
          <w:rFonts w:hint="eastAsia"/>
        </w:rPr>
        <w:t>（2）</w:t>
      </w:r>
      <w:r>
        <w:t>物料跑损。</w:t>
      </w:r>
    </w:p>
    <w:p>
      <w:pPr>
        <w:spacing w:before="156" w:after="156"/>
        <w:ind w:firstLine="422"/>
        <w:rPr>
          <w:b/>
          <w:bCs/>
        </w:rPr>
      </w:pPr>
      <w:r>
        <w:rPr>
          <w:rFonts w:hint="eastAsia"/>
          <w:b/>
          <w:bCs/>
        </w:rPr>
        <w:t>(</w:t>
      </w:r>
      <w:r>
        <w:rPr>
          <w:b/>
          <w:bCs/>
        </w:rPr>
        <w:t>3)</w:t>
      </w:r>
      <w:r>
        <w:rPr>
          <w:rFonts w:hint="eastAsia"/>
          <w:b/>
          <w:bCs/>
        </w:rPr>
        <w:t>危险等级</w:t>
      </w:r>
    </w:p>
    <w:p>
      <w:pPr>
        <w:spacing w:before="156" w:after="156"/>
        <w:ind w:firstLine="420"/>
      </w:pPr>
      <w:r>
        <w:rPr>
          <w:rFonts w:hint="eastAsia"/>
        </w:rPr>
        <w:t>Ⅲ</w:t>
      </w:r>
      <w:r>
        <w:t>级严重</w:t>
      </w:r>
      <w:r>
        <w:rPr>
          <w:rFonts w:hint="eastAsia"/>
        </w:rPr>
        <w:t>。</w:t>
      </w:r>
    </w:p>
    <w:p>
      <w:pPr>
        <w:spacing w:before="156" w:after="156"/>
        <w:ind w:firstLine="422"/>
        <w:rPr>
          <w:b/>
          <w:bCs/>
        </w:rPr>
      </w:pPr>
      <w:r>
        <w:rPr>
          <w:rFonts w:hint="eastAsia"/>
          <w:b/>
          <w:bCs/>
        </w:rPr>
        <w:t>(</w:t>
      </w:r>
      <w:r>
        <w:rPr>
          <w:b/>
          <w:bCs/>
        </w:rPr>
        <w:t>4)</w:t>
      </w:r>
      <w:r>
        <w:rPr>
          <w:rFonts w:hint="eastAsia"/>
          <w:b/>
          <w:bCs/>
        </w:rPr>
        <w:t>措施</w:t>
      </w:r>
    </w:p>
    <w:p>
      <w:pPr>
        <w:spacing w:before="156" w:after="156"/>
        <w:ind w:firstLine="420"/>
      </w:pPr>
      <w:r>
        <w:rPr>
          <w:rFonts w:hint="eastAsia"/>
        </w:rPr>
        <w:t>（1）</w:t>
      </w:r>
      <w:r>
        <w:t>严格控制进料罐安装质量，消除泄漏的可能性，做好防渗漏、防腐措施；</w:t>
      </w:r>
    </w:p>
    <w:p>
      <w:pPr>
        <w:spacing w:before="156" w:after="156"/>
        <w:ind w:firstLine="420"/>
      </w:pPr>
      <w:r>
        <w:rPr>
          <w:rFonts w:hint="eastAsia"/>
        </w:rPr>
        <w:t>（2）</w:t>
      </w:r>
      <w:r>
        <w:t>严格控制设备及其安装质量；</w:t>
      </w:r>
    </w:p>
    <w:p>
      <w:pPr>
        <w:spacing w:before="156" w:after="156"/>
        <w:ind w:firstLine="420"/>
      </w:pPr>
      <w:r>
        <w:rPr>
          <w:rFonts w:hint="eastAsia"/>
        </w:rPr>
        <w:t>（3）</w:t>
      </w:r>
      <w:r>
        <w:t>防止罐内液化石油气物料的跑、冒、滴、漏；</w:t>
      </w:r>
    </w:p>
    <w:p>
      <w:pPr>
        <w:spacing w:before="156" w:after="156"/>
        <w:ind w:firstLine="420"/>
      </w:pPr>
      <w:r>
        <w:rPr>
          <w:rFonts w:hint="eastAsia"/>
        </w:rPr>
        <w:t>（4）</w:t>
      </w:r>
      <w:r>
        <w:t>加强管理、严格工艺；做好罐的检测报警设施和设备防护设施；</w:t>
      </w:r>
    </w:p>
    <w:p>
      <w:pPr>
        <w:spacing w:before="156" w:after="156"/>
        <w:ind w:firstLine="420"/>
      </w:pPr>
      <w:r>
        <w:rPr>
          <w:rFonts w:hint="eastAsia"/>
        </w:rPr>
        <w:t>（5）</w:t>
      </w:r>
      <w:r>
        <w:t>安全设施保持齐全、完好；</w:t>
      </w:r>
    </w:p>
    <w:p>
      <w:pPr>
        <w:spacing w:before="156" w:after="156"/>
        <w:ind w:firstLine="420"/>
      </w:pPr>
      <w:r>
        <w:rPr>
          <w:rFonts w:hint="eastAsia"/>
        </w:rPr>
        <w:t>（6）</w:t>
      </w:r>
      <w:r>
        <w:t>漏后应采取相应措施：</w:t>
      </w:r>
      <w:r>
        <w:rPr>
          <w:rFonts w:hint="eastAsia"/>
        </w:rPr>
        <w:t>a</w:t>
      </w:r>
      <w:r>
        <w:t>.查明泄漏源点，切断相关阀门，消除泄漏源，及时报告；</w:t>
      </w:r>
      <w:r>
        <w:rPr>
          <w:rFonts w:hint="eastAsia"/>
        </w:rPr>
        <w:t>b</w:t>
      </w:r>
      <w:r>
        <w:t>.如泄漏量大，应疏散有关人员至安全处</w:t>
      </w:r>
      <w:r>
        <w:rPr>
          <w:rFonts w:hint="eastAsia"/>
        </w:rPr>
        <w:t>；</w:t>
      </w:r>
    </w:p>
    <w:p>
      <w:pPr>
        <w:spacing w:before="156" w:after="156"/>
        <w:ind w:firstLine="420"/>
      </w:pPr>
      <w:r>
        <w:rPr>
          <w:rFonts w:hint="eastAsia"/>
        </w:rPr>
        <w:t>（7）</w:t>
      </w:r>
      <w:r>
        <w:t>检修、维护保养，保持罐完好；检修时，彻底清洗干净并检测有毒有害物质浓度氧含量，合格后方可作业；作业时，穿戴劳动防护用品，有人监护并有抢救后备措施；</w:t>
      </w:r>
    </w:p>
    <w:p>
      <w:pPr>
        <w:spacing w:before="156" w:after="156"/>
        <w:ind w:firstLine="420"/>
      </w:pPr>
      <w:r>
        <w:rPr>
          <w:rFonts w:hint="eastAsia"/>
        </w:rPr>
        <w:t>（8）</w:t>
      </w:r>
      <w:r>
        <w:t>应急预案，抢救时勿忘正确使用防毒过滤器、氧气呼吸器及其它劳动防护用品；</w:t>
      </w:r>
    </w:p>
    <w:p>
      <w:pPr>
        <w:spacing w:before="156" w:after="156"/>
        <w:ind w:firstLine="420"/>
      </w:pPr>
      <w:r>
        <w:rPr>
          <w:rFonts w:hint="eastAsia"/>
        </w:rPr>
        <w:t>（9）</w:t>
      </w:r>
      <w:r>
        <w:t>管理措施</w:t>
      </w:r>
      <w:r>
        <w:rPr>
          <w:rFonts w:hint="eastAsia"/>
        </w:rPr>
        <w:t>：a.</w:t>
      </w:r>
      <w:r>
        <w:t>加强检查、检测有毒有害物质有否跑、冒、滴、漏；</w:t>
      </w:r>
      <w:r>
        <w:rPr>
          <w:rFonts w:hint="eastAsia"/>
        </w:rPr>
        <w:t>b.</w:t>
      </w:r>
      <w:r>
        <w:t>教育、培训职工掌握液化石油气的毒性，预防中毒、窒息的方法及其急救法，建立毒物周知卡；</w:t>
      </w:r>
      <w:r>
        <w:rPr>
          <w:rFonts w:hint="eastAsia"/>
        </w:rPr>
        <w:t>c</w:t>
      </w:r>
      <w:r>
        <w:t>.要求职工严格遵守各种规章制度、操作规程。</w:t>
      </w:r>
    </w:p>
    <w:p>
      <w:pPr>
        <w:pStyle w:val="4"/>
        <w:spacing w:before="156" w:after="156"/>
        <w:ind w:firstLine="482"/>
      </w:pPr>
      <w:bookmarkStart w:id="191" w:name="_Toc141203959"/>
      <w:bookmarkStart w:id="192" w:name="_Toc108206550"/>
      <w:r>
        <w:rPr>
          <w:rFonts w:hint="eastAsia"/>
        </w:rPr>
        <w:t>7</w:t>
      </w:r>
      <w:r>
        <w:t>.1.3</w:t>
      </w:r>
      <w:r>
        <w:rPr>
          <w:rFonts w:hint="eastAsia"/>
        </w:rPr>
        <w:t>机泵预先危险性分析</w:t>
      </w:r>
      <w:bookmarkEnd w:id="191"/>
      <w:bookmarkEnd w:id="192"/>
    </w:p>
    <w:p>
      <w:pPr>
        <w:pStyle w:val="5"/>
        <w:spacing w:before="156" w:after="156"/>
        <w:ind w:firstLine="560"/>
      </w:pPr>
      <w:r>
        <w:t>7.1.3.1</w:t>
      </w:r>
      <w:r>
        <w:rPr>
          <w:rFonts w:hint="eastAsia"/>
        </w:rPr>
        <w:t>火灾、爆炸（物理和化学）</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可燃爆物质泄漏</w:t>
      </w:r>
      <w:r>
        <w:rPr>
          <w:rFonts w:hint="eastAsia"/>
        </w:rPr>
        <w:t>。</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（1）</w:t>
      </w:r>
      <w:r>
        <w:t>物料跑损；</w:t>
      </w:r>
    </w:p>
    <w:p>
      <w:pPr>
        <w:spacing w:before="156" w:after="156"/>
        <w:ind w:firstLine="420"/>
      </w:pPr>
      <w:r>
        <w:rPr>
          <w:rFonts w:hint="eastAsia"/>
        </w:rPr>
        <w:t>（2）</w:t>
      </w:r>
      <w:r>
        <w:t>人员伤亡；</w:t>
      </w:r>
    </w:p>
    <w:p>
      <w:pPr>
        <w:spacing w:before="156" w:after="156"/>
        <w:ind w:firstLine="420"/>
      </w:pPr>
      <w:r>
        <w:rPr>
          <w:rFonts w:hint="eastAsia"/>
        </w:rPr>
        <w:t>（3）</w:t>
      </w:r>
      <w:r>
        <w:t>停产、造成严重经济损失。</w:t>
      </w:r>
    </w:p>
    <w:p>
      <w:pPr>
        <w:spacing w:before="156" w:after="156"/>
        <w:ind w:firstLine="422"/>
        <w:rPr>
          <w:b/>
          <w:bCs/>
        </w:rPr>
      </w:pPr>
      <w:r>
        <w:rPr>
          <w:rFonts w:hint="eastAsia"/>
          <w:b/>
          <w:bCs/>
        </w:rPr>
        <w:t>(</w:t>
      </w:r>
      <w:r>
        <w:rPr>
          <w:b/>
          <w:bCs/>
        </w:rPr>
        <w:t>3)</w:t>
      </w:r>
      <w:r>
        <w:rPr>
          <w:rFonts w:hint="eastAsia"/>
          <w:b/>
          <w:bCs/>
        </w:rPr>
        <w:t>危险分类</w:t>
      </w:r>
    </w:p>
    <w:p>
      <w:pPr>
        <w:spacing w:before="156" w:after="156"/>
        <w:ind w:firstLine="420"/>
      </w:pPr>
      <w:r>
        <w:t>IV级致命</w:t>
      </w:r>
      <w:r>
        <w:rPr>
          <w:rFonts w:hint="eastAsia"/>
        </w:rPr>
        <w:t>。</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t>（</w:t>
      </w:r>
      <w:r>
        <w:rPr>
          <w:rFonts w:hint="eastAsia"/>
        </w:rPr>
        <w:t>1</w:t>
      </w:r>
      <w:r>
        <w:t>）故障泄漏泵体的密闭性差或因加工、材质、焊接等质量不好或安装不当而泄漏；因与泵相连的管、阀、表等连接处泄漏；由自然灾害（如雷击、地震）造成泵体破裂泄漏；</w:t>
      </w:r>
    </w:p>
    <w:p>
      <w:pPr>
        <w:spacing w:before="156" w:after="156"/>
        <w:ind w:firstLine="420"/>
      </w:pPr>
      <w:r>
        <w:t>（</w:t>
      </w:r>
      <w:r>
        <w:rPr>
          <w:rFonts w:hint="eastAsia"/>
        </w:rPr>
        <w:t>2</w:t>
      </w:r>
      <w:r>
        <w:t>）运行泄漏超温、超压造成泵体破裂、泄漏；安全阀、防爆片等安全附件失灵、损坏或操作不当；进料速度不当造成反应失控导致泵体、管道等破裂、泄漏；</w:t>
      </w:r>
    </w:p>
    <w:p>
      <w:pPr>
        <w:spacing w:before="156" w:after="156"/>
        <w:ind w:firstLine="420"/>
      </w:pPr>
      <w:r>
        <w:t>（</w:t>
      </w:r>
      <w:r>
        <w:rPr>
          <w:rFonts w:hint="eastAsia"/>
        </w:rPr>
        <w:t>3</w:t>
      </w:r>
      <w:r>
        <w:t>）其他：离心泵在运转时会产生机械振动，如果安装基础不坚固，由于振动会造成法兰连接处松动和管道焊接处破裂，从而可能引发物料泄漏；往复泵输送物料的过程中容易对活塞和套缸造成损坏，以及吸液管法兰处容易松动，都会造成物料泄漏；在往复泵工作过程中严禁用出口阀调节流量，否则可能造成缸内压力急剧变化，引发事故；</w:t>
      </w:r>
    </w:p>
    <w:p>
      <w:pPr>
        <w:spacing w:before="156" w:after="156"/>
        <w:ind w:firstLine="420"/>
      </w:pPr>
      <w:r>
        <w:t>（</w:t>
      </w:r>
      <w:r>
        <w:rPr>
          <w:rFonts w:hint="eastAsia"/>
        </w:rPr>
        <w:t>4</w:t>
      </w:r>
      <w:r>
        <w:t>）明火检修动火；人员带入火种，例如工作人员违章吸烟等；他处火灾蔓延；其他火源；</w:t>
      </w:r>
    </w:p>
    <w:p>
      <w:pPr>
        <w:spacing w:before="156" w:after="156"/>
        <w:ind w:firstLine="420"/>
      </w:pPr>
      <w:r>
        <w:t>（</w:t>
      </w:r>
      <w:r>
        <w:rPr>
          <w:rFonts w:hint="eastAsia"/>
        </w:rPr>
        <w:t>5</w:t>
      </w:r>
      <w:r>
        <w:t>）火花机泵在运行过程因转子等转动设备卡住而产生火花；金属撞击（带钉皮鞋、工具碰撞等）；电气火花；线路老化或受到损坏，引燃绝缘层；短路电弧；</w:t>
      </w:r>
    </w:p>
    <w:p>
      <w:pPr>
        <w:spacing w:before="156" w:after="156"/>
        <w:ind w:firstLine="420"/>
      </w:pPr>
      <w:r>
        <w:t>（</w:t>
      </w:r>
      <w:r>
        <w:rPr>
          <w:rFonts w:hint="eastAsia"/>
        </w:rPr>
        <w:t>6</w:t>
      </w:r>
      <w:r>
        <w:t>）雷击；</w:t>
      </w:r>
    </w:p>
    <w:p>
      <w:pPr>
        <w:spacing w:before="156" w:after="156"/>
        <w:ind w:firstLine="420"/>
      </w:pPr>
      <w:r>
        <w:t>（</w:t>
      </w:r>
      <w:r>
        <w:rPr>
          <w:rFonts w:hint="eastAsia"/>
        </w:rPr>
        <w:t>7</w:t>
      </w:r>
      <w:r>
        <w:t>）静电：生产过程中的操作检修人员也带有静电；物料在流动的过程中与设备内壁摩擦产生静电。</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（1）</w:t>
      </w:r>
      <w:r>
        <w:t>易燃易爆物料泄漏，与空气混合形成燃烧爆炸混合物；</w:t>
      </w:r>
    </w:p>
    <w:p>
      <w:pPr>
        <w:spacing w:before="156" w:after="156"/>
        <w:ind w:firstLine="420"/>
      </w:pPr>
      <w:r>
        <w:rPr>
          <w:rFonts w:hint="eastAsia"/>
        </w:rPr>
        <w:t>（2）</w:t>
      </w:r>
      <w:r>
        <w:t>燃烧爆炸混合物达到燃爆极限；</w:t>
      </w:r>
    </w:p>
    <w:p>
      <w:pPr>
        <w:spacing w:before="156" w:after="156"/>
        <w:ind w:firstLine="420"/>
      </w:pPr>
      <w:r>
        <w:rPr>
          <w:rFonts w:hint="eastAsia"/>
        </w:rPr>
        <w:t>（3）</w:t>
      </w:r>
      <w:r>
        <w:t>易燃爆物质遇到点火源、高温物体等引发能量。</w:t>
      </w:r>
    </w:p>
    <w:p>
      <w:pPr>
        <w:spacing w:before="156" w:after="156"/>
        <w:ind w:firstLine="422"/>
        <w:rPr>
          <w:b/>
          <w:bCs/>
        </w:rPr>
      </w:pPr>
      <w:r>
        <w:rPr>
          <w:rFonts w:hint="eastAsia"/>
          <w:b/>
          <w:bCs/>
        </w:rPr>
        <w:t>(</w:t>
      </w:r>
      <w:r>
        <w:rPr>
          <w:b/>
          <w:bCs/>
        </w:rPr>
        <w:t>6)</w:t>
      </w:r>
      <w:r>
        <w:rPr>
          <w:rFonts w:hint="eastAsia"/>
          <w:b/>
          <w:bCs/>
        </w:rPr>
        <w:t>措施</w:t>
      </w:r>
    </w:p>
    <w:p>
      <w:pPr>
        <w:spacing w:before="156" w:after="156"/>
        <w:ind w:firstLine="420"/>
      </w:pPr>
      <w:r>
        <w:rPr>
          <w:rFonts w:hint="eastAsia"/>
        </w:rPr>
        <w:t>（</w:t>
      </w:r>
      <w:r>
        <w:t>1）保证连接泵的管线质量；</w:t>
      </w:r>
    </w:p>
    <w:p>
      <w:pPr>
        <w:spacing w:before="156" w:after="156"/>
        <w:ind w:firstLine="420"/>
      </w:pPr>
      <w:r>
        <w:rPr>
          <w:rFonts w:hint="eastAsia"/>
        </w:rPr>
        <w:t>（</w:t>
      </w:r>
      <w:r>
        <w:t>2</w:t>
      </w:r>
      <w:r>
        <w:rPr>
          <w:rFonts w:hint="eastAsia"/>
        </w:rPr>
        <w:t>）</w:t>
      </w:r>
      <w:r>
        <w:t>泵体、管路及其仪表要定期检验、检测、试压；</w:t>
      </w:r>
    </w:p>
    <w:p>
      <w:pPr>
        <w:spacing w:before="156" w:after="156"/>
        <w:ind w:firstLine="420"/>
      </w:pPr>
      <w:r>
        <w:rPr>
          <w:rFonts w:hint="eastAsia"/>
        </w:rPr>
        <w:t>（</w:t>
      </w:r>
      <w:r>
        <w:t>3）对泵、阀、报警器监测仪表定期检、保、修；</w:t>
      </w:r>
    </w:p>
    <w:p>
      <w:pPr>
        <w:spacing w:before="156" w:after="156"/>
        <w:ind w:firstLine="420"/>
      </w:pPr>
      <w:r>
        <w:rPr>
          <w:rFonts w:hint="eastAsia"/>
        </w:rPr>
        <w:t>（</w:t>
      </w:r>
      <w:r>
        <w:t>4</w:t>
      </w:r>
      <w:r>
        <w:rPr>
          <w:rFonts w:hint="eastAsia"/>
        </w:rPr>
        <w:t>）</w:t>
      </w:r>
      <w:r>
        <w:t>机泵及电气按规范和标准安装，定期检修，保证完好状态（安装离心泵要有坚固的基础）；</w:t>
      </w:r>
    </w:p>
    <w:p>
      <w:pPr>
        <w:spacing w:before="156" w:after="156"/>
        <w:ind w:firstLine="420"/>
      </w:pPr>
      <w:r>
        <w:rPr>
          <w:rFonts w:hint="eastAsia"/>
        </w:rPr>
        <w:t>（</w:t>
      </w:r>
      <w:r>
        <w:t>5）离心泵的滑动轴承的润滑剂要适量，避免造成润滑剂太少使滑动轴承成为高温物体；</w:t>
      </w:r>
    </w:p>
    <w:p>
      <w:pPr>
        <w:spacing w:before="156" w:after="156"/>
        <w:ind w:firstLine="420"/>
      </w:pPr>
      <w:r>
        <w:rPr>
          <w:rFonts w:hint="eastAsia"/>
        </w:rPr>
        <w:t>（</w:t>
      </w:r>
      <w:r>
        <w:t>6）确保监测设施、报警设施以及紧急切断设施的完好；</w:t>
      </w:r>
    </w:p>
    <w:p>
      <w:pPr>
        <w:spacing w:before="156" w:after="156"/>
        <w:ind w:firstLine="420"/>
      </w:pPr>
      <w:r>
        <w:rPr>
          <w:rFonts w:hint="eastAsia"/>
        </w:rPr>
        <w:t>（</w:t>
      </w:r>
      <w:r>
        <w:t>7）严禁工作人员吸烟、携带火种和穿带钉皮鞋；</w:t>
      </w:r>
    </w:p>
    <w:p>
      <w:pPr>
        <w:spacing w:before="156" w:after="156"/>
        <w:ind w:firstLine="420"/>
      </w:pPr>
      <w:r>
        <w:rPr>
          <w:rFonts w:hint="eastAsia"/>
        </w:rPr>
        <w:t>（</w:t>
      </w:r>
      <w:r>
        <w:t>8）严格执行防静电措施；</w:t>
      </w:r>
    </w:p>
    <w:p>
      <w:pPr>
        <w:spacing w:before="156" w:after="156"/>
        <w:ind w:firstLine="420"/>
      </w:pPr>
      <w:r>
        <w:rPr>
          <w:rFonts w:hint="eastAsia"/>
        </w:rPr>
        <w:t>（</w:t>
      </w:r>
      <w:r>
        <w:t>9）转动设备部位要保持清洁，防止因摩擦引起杂物等燃烧；</w:t>
      </w:r>
    </w:p>
    <w:p>
      <w:pPr>
        <w:spacing w:before="156" w:after="156"/>
        <w:ind w:firstLine="420"/>
      </w:pPr>
      <w:r>
        <w:rPr>
          <w:rFonts w:hint="eastAsia"/>
        </w:rPr>
        <w:t>（</w:t>
      </w:r>
      <w:r>
        <w:t>10）易燃易爆场所一律使用防爆性电气设备；</w:t>
      </w:r>
    </w:p>
    <w:p>
      <w:pPr>
        <w:spacing w:before="156" w:after="156"/>
        <w:ind w:firstLine="420"/>
      </w:pPr>
      <w:r>
        <w:rPr>
          <w:rFonts w:hint="eastAsia"/>
        </w:rPr>
        <w:t>（</w:t>
      </w:r>
      <w:r>
        <w:t>11）杜绝“三违”（违章作业、违章指挥、违反劳纪），严守工艺规定，防止工艺参数发生变化;坚持巡回检查，发现问题及时处理；</w:t>
      </w:r>
    </w:p>
    <w:p>
      <w:pPr>
        <w:spacing w:before="156" w:after="156"/>
        <w:ind w:firstLine="420"/>
      </w:pPr>
      <w:r>
        <w:rPr>
          <w:rFonts w:hint="eastAsia"/>
        </w:rPr>
        <w:t>（1</w:t>
      </w:r>
      <w:r>
        <w:t>2</w:t>
      </w:r>
      <w:r>
        <w:rPr>
          <w:rFonts w:hint="eastAsia"/>
        </w:rPr>
        <w:t>）</w:t>
      </w:r>
      <w:r>
        <w:t>检修时做好隔离，清空、通风，在监护下进行动火等作业。</w:t>
      </w:r>
    </w:p>
    <w:p>
      <w:pPr>
        <w:pStyle w:val="5"/>
        <w:spacing w:before="156" w:after="156"/>
        <w:ind w:firstLine="560"/>
      </w:pPr>
      <w:r>
        <w:t>7.1.3.2</w:t>
      </w:r>
      <w:r>
        <w:rPr>
          <w:rFonts w:hint="eastAsia"/>
        </w:rPr>
        <w:t>中毒、窒息</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物料泄漏（有窒息性和低毒性）</w:t>
      </w:r>
      <w:r>
        <w:rPr>
          <w:rFonts w:hint="eastAsia"/>
        </w:rPr>
        <w:t>。</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（1）</w:t>
      </w:r>
      <w:r>
        <w:t>物料跑损；</w:t>
      </w:r>
    </w:p>
    <w:p>
      <w:pPr>
        <w:spacing w:before="156" w:after="156"/>
        <w:ind w:firstLine="420"/>
      </w:pPr>
      <w:r>
        <w:rPr>
          <w:rFonts w:hint="eastAsia"/>
        </w:rPr>
        <w:t>（2）</w:t>
      </w:r>
      <w:r>
        <w:t>人员中毒窒息。</w:t>
      </w:r>
    </w:p>
    <w:p>
      <w:pPr>
        <w:spacing w:before="156" w:after="156"/>
        <w:ind w:firstLine="422"/>
        <w:rPr>
          <w:b/>
          <w:bCs/>
        </w:rPr>
      </w:pPr>
      <w:r>
        <w:rPr>
          <w:rFonts w:hint="eastAsia"/>
          <w:b/>
          <w:bCs/>
        </w:rPr>
        <w:t>(</w:t>
      </w:r>
      <w:r>
        <w:rPr>
          <w:b/>
          <w:bCs/>
        </w:rPr>
        <w:t>3)</w:t>
      </w:r>
      <w:r>
        <w:rPr>
          <w:rFonts w:hint="eastAsia"/>
          <w:b/>
          <w:bCs/>
        </w:rPr>
        <w:t>危险分类</w:t>
      </w:r>
    </w:p>
    <w:p>
      <w:pPr>
        <w:spacing w:before="156" w:after="156"/>
        <w:ind w:firstLine="420"/>
      </w:pPr>
      <w:r>
        <w:t>III级严重</w:t>
      </w:r>
      <w:r>
        <w:rPr>
          <w:rFonts w:hint="eastAsia"/>
        </w:rPr>
        <w:t>。</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rPr>
          <w:rFonts w:hint="eastAsia"/>
        </w:rPr>
        <w:t>（1）</w:t>
      </w:r>
      <w:r>
        <w:t>该工艺过程中的所有馏分均有一定的毒性和窒息性；</w:t>
      </w:r>
    </w:p>
    <w:p>
      <w:pPr>
        <w:spacing w:before="156" w:after="156"/>
        <w:ind w:firstLine="420"/>
      </w:pPr>
      <w:r>
        <w:rPr>
          <w:rFonts w:hint="eastAsia"/>
        </w:rPr>
        <w:t>（2）</w:t>
      </w:r>
      <w:r>
        <w:t>泄漏原因如“火灾、爆炸”触发事件中故障泄漏和运行泄漏等方面；</w:t>
      </w:r>
    </w:p>
    <w:p>
      <w:pPr>
        <w:spacing w:before="156" w:after="156"/>
        <w:ind w:firstLine="420"/>
      </w:pPr>
      <w:r>
        <w:rPr>
          <w:rFonts w:hint="eastAsia"/>
        </w:rPr>
        <w:t>（3）</w:t>
      </w:r>
      <w:r>
        <w:t>检修、维修、抢修时，泵、管内的物料泄漏量较大，空气中含量较高</w:t>
      </w:r>
      <w:r>
        <w:rPr>
          <w:rFonts w:hint="eastAsia"/>
        </w:rPr>
        <w:t>；</w:t>
      </w:r>
    </w:p>
    <w:p>
      <w:pPr>
        <w:spacing w:before="156" w:after="156"/>
        <w:ind w:firstLine="420"/>
      </w:pPr>
      <w:r>
        <w:rPr>
          <w:rFonts w:hint="eastAsia"/>
        </w:rPr>
        <w:t>（4）</w:t>
      </w:r>
      <w:r>
        <w:t>毒物及窒息性物质浓度超标；</w:t>
      </w:r>
    </w:p>
    <w:p>
      <w:pPr>
        <w:spacing w:before="156" w:after="156"/>
        <w:ind w:firstLine="420"/>
      </w:pPr>
      <w:r>
        <w:t>（</w:t>
      </w:r>
      <w:r>
        <w:rPr>
          <w:rFonts w:hint="eastAsia"/>
        </w:rPr>
        <w:t>5</w:t>
      </w:r>
      <w:r>
        <w:t>）缺乏泄漏物料的危险、有害特性及其应急预防方法的知识；</w:t>
      </w:r>
    </w:p>
    <w:p>
      <w:pPr>
        <w:spacing w:before="156" w:after="156"/>
        <w:ind w:firstLine="420"/>
      </w:pPr>
      <w:r>
        <w:t>（</w:t>
      </w:r>
      <w:r>
        <w:rPr>
          <w:rFonts w:hint="eastAsia"/>
        </w:rPr>
        <w:t>6</w:t>
      </w:r>
      <w:r>
        <w:t>）在有毒现场无相应的防毒过滤器、面具、空气呼吸器以及其它有关的防护用品；</w:t>
      </w:r>
    </w:p>
    <w:p>
      <w:pPr>
        <w:spacing w:before="156" w:after="156"/>
        <w:ind w:firstLine="420"/>
      </w:pPr>
      <w:r>
        <w:t>（</w:t>
      </w:r>
      <w:r>
        <w:rPr>
          <w:rFonts w:hint="eastAsia"/>
        </w:rPr>
        <w:t>7</w:t>
      </w:r>
      <w:r>
        <w:t>）因故未戴防护用品；</w:t>
      </w:r>
    </w:p>
    <w:p>
      <w:pPr>
        <w:spacing w:before="156" w:after="156"/>
        <w:ind w:firstLine="420"/>
      </w:pPr>
      <w:r>
        <w:t>（</w:t>
      </w:r>
      <w:r>
        <w:rPr>
          <w:rFonts w:hint="eastAsia"/>
        </w:rPr>
        <w:t>8</w:t>
      </w:r>
      <w:r>
        <w:t>）防护用品选型不当或使用不当；</w:t>
      </w:r>
    </w:p>
    <w:p>
      <w:pPr>
        <w:spacing w:before="156" w:after="156"/>
        <w:ind w:firstLine="420"/>
      </w:pPr>
      <w:r>
        <w:t>（</w:t>
      </w:r>
      <w:r>
        <w:rPr>
          <w:rFonts w:hint="eastAsia"/>
        </w:rPr>
        <w:t>9</w:t>
      </w:r>
      <w:r>
        <w:t>）救护不当；</w:t>
      </w:r>
    </w:p>
    <w:p>
      <w:pPr>
        <w:spacing w:before="156" w:after="156"/>
        <w:ind w:firstLine="420"/>
      </w:pPr>
      <w:r>
        <w:rPr>
          <w:rFonts w:hint="eastAsia"/>
        </w:rPr>
        <w:t>（1</w:t>
      </w:r>
      <w:r>
        <w:t>0</w:t>
      </w:r>
      <w:r>
        <w:rPr>
          <w:rFonts w:hint="eastAsia"/>
        </w:rPr>
        <w:t>）</w:t>
      </w:r>
      <w:r>
        <w:t>在有毒或缺氧、窒息场所作业时无人监护。</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（1）</w:t>
      </w:r>
      <w:r>
        <w:t>缺氧；</w:t>
      </w:r>
    </w:p>
    <w:p>
      <w:pPr>
        <w:spacing w:before="156" w:after="156"/>
        <w:ind w:firstLine="420"/>
      </w:pPr>
      <w:r>
        <w:rPr>
          <w:rFonts w:hint="eastAsia"/>
        </w:rPr>
        <w:t>（2）</w:t>
      </w:r>
      <w:r>
        <w:t>有毒物料超过容许浓度；</w:t>
      </w:r>
    </w:p>
    <w:p>
      <w:pPr>
        <w:spacing w:before="156" w:after="156"/>
        <w:ind w:firstLine="420"/>
      </w:pPr>
      <w:r>
        <w:rPr>
          <w:rFonts w:hint="eastAsia"/>
        </w:rPr>
        <w:t>（3）</w:t>
      </w:r>
      <w:r>
        <w:t>毒物摄入体内。</w:t>
      </w:r>
    </w:p>
    <w:p>
      <w:pPr>
        <w:spacing w:before="156" w:after="156"/>
        <w:ind w:firstLine="422"/>
        <w:rPr>
          <w:b/>
          <w:bCs/>
        </w:rPr>
      </w:pPr>
      <w:r>
        <w:rPr>
          <w:rFonts w:hint="eastAsia"/>
          <w:b/>
          <w:bCs/>
        </w:rPr>
        <w:t>(</w:t>
      </w:r>
      <w:r>
        <w:rPr>
          <w:b/>
          <w:bCs/>
        </w:rPr>
        <w:t>6)</w:t>
      </w:r>
      <w:r>
        <w:rPr>
          <w:rFonts w:hint="eastAsia"/>
          <w:b/>
          <w:bCs/>
        </w:rPr>
        <w:t>措施</w:t>
      </w:r>
    </w:p>
    <w:p>
      <w:pPr>
        <w:spacing w:before="156" w:after="156"/>
        <w:ind w:firstLine="420"/>
      </w:pPr>
      <w:r>
        <w:rPr>
          <w:rFonts w:hint="eastAsia"/>
        </w:rPr>
        <w:t>（1）</w:t>
      </w:r>
      <w:r>
        <w:t>泄漏后应采取以下措施：</w:t>
      </w:r>
      <w:r>
        <w:rPr>
          <w:rFonts w:hint="eastAsia"/>
        </w:rPr>
        <w:t>a</w:t>
      </w:r>
      <w:r>
        <w:t>.查明泄漏源点，切断相关阀门，消除泄漏源，及时报告；</w:t>
      </w:r>
      <w:r>
        <w:rPr>
          <w:rFonts w:hint="eastAsia"/>
        </w:rPr>
        <w:t>b</w:t>
      </w:r>
      <w:r>
        <w:t>.如泄漏量大，应疏散有关人员至安全处</w:t>
      </w:r>
      <w:r>
        <w:rPr>
          <w:rFonts w:hint="eastAsia"/>
        </w:rPr>
        <w:t>；</w:t>
      </w:r>
    </w:p>
    <w:p>
      <w:pPr>
        <w:spacing w:before="156" w:after="156"/>
        <w:ind w:firstLine="420"/>
      </w:pPr>
      <w:r>
        <w:rPr>
          <w:rFonts w:hint="eastAsia"/>
        </w:rPr>
        <w:t>（2）</w:t>
      </w:r>
      <w:r>
        <w:t>严格控制设备及其安装质量，消除泄漏的可能性；</w:t>
      </w:r>
    </w:p>
    <w:p>
      <w:pPr>
        <w:spacing w:before="156" w:after="156"/>
        <w:ind w:firstLine="420"/>
      </w:pPr>
      <w:r>
        <w:rPr>
          <w:rFonts w:hint="eastAsia"/>
        </w:rPr>
        <w:t>（3）</w:t>
      </w:r>
      <w:r>
        <w:t>加强管理、严格工艺；</w:t>
      </w:r>
    </w:p>
    <w:p>
      <w:pPr>
        <w:spacing w:before="156" w:after="156"/>
        <w:ind w:firstLine="420"/>
      </w:pPr>
      <w:r>
        <w:rPr>
          <w:rFonts w:hint="eastAsia"/>
        </w:rPr>
        <w:t>（4）</w:t>
      </w:r>
      <w:r>
        <w:t>安全设施保持齐全、完好；</w:t>
      </w:r>
    </w:p>
    <w:p>
      <w:pPr>
        <w:spacing w:before="156" w:after="156"/>
        <w:ind w:firstLine="420"/>
      </w:pPr>
      <w:r>
        <w:rPr>
          <w:rFonts w:hint="eastAsia"/>
        </w:rPr>
        <w:t>（5）</w:t>
      </w:r>
      <w:r>
        <w:t>定期检修、维护保养，保持设备完好</w:t>
      </w:r>
      <w:r>
        <w:rPr>
          <w:rFonts w:hint="eastAsia"/>
        </w:rPr>
        <w:t>：</w:t>
      </w:r>
      <w:r>
        <w:t>检修时，彻底清洗干净并检测有毒有害物质浓度氧含量，合格后方可作业；作业时，穿戴劳动防护用品，有人监护；要有应急预案，抢救时勿忘正确使用防毒过滤器、氧气呼吸器及其它劳动防护用品；</w:t>
      </w:r>
    </w:p>
    <w:p>
      <w:pPr>
        <w:spacing w:before="156" w:after="156"/>
        <w:ind w:firstLine="420"/>
      </w:pPr>
      <w:r>
        <w:rPr>
          <w:rFonts w:hint="eastAsia"/>
        </w:rPr>
        <w:t>（6）</w:t>
      </w:r>
      <w:r>
        <w:t>组织管理措施</w:t>
      </w:r>
      <w:r>
        <w:rPr>
          <w:rFonts w:hint="eastAsia"/>
        </w:rPr>
        <w:t>：a</w:t>
      </w:r>
      <w:r>
        <w:t>.加强检查、检测有毒有害物质有否跑、冒、滴、漏；</w:t>
      </w:r>
      <w:r>
        <w:rPr>
          <w:rFonts w:hint="eastAsia"/>
        </w:rPr>
        <w:t>b</w:t>
      </w:r>
      <w:r>
        <w:t>.教育、培训职工掌握有关毒物的毒性，预防中毒、窒息的方法及其急救法，建立毒物周知卡；</w:t>
      </w:r>
      <w:r>
        <w:rPr>
          <w:rFonts w:hint="eastAsia"/>
        </w:rPr>
        <w:t>c</w:t>
      </w:r>
      <w:r>
        <w:t>.要求职工严格遵守各种规章制度、操作规程；</w:t>
      </w:r>
      <w:r>
        <w:rPr>
          <w:rFonts w:hint="eastAsia"/>
        </w:rPr>
        <w:t>d</w:t>
      </w:r>
      <w:r>
        <w:t>.设立危险、有毒、窒息性标志；</w:t>
      </w:r>
      <w:r>
        <w:rPr>
          <w:rFonts w:hint="eastAsia"/>
        </w:rPr>
        <w:t>e</w:t>
      </w:r>
      <w:r>
        <w:t>.设立急救点，配备相应的急救药品、器材；</w:t>
      </w:r>
      <w:r>
        <w:rPr>
          <w:rFonts w:hint="eastAsia"/>
        </w:rPr>
        <w:t>f</w:t>
      </w:r>
      <w:r>
        <w:t>.培训医务人员对中毒、窒息的急救处理能力。</w:t>
      </w:r>
    </w:p>
    <w:p>
      <w:pPr>
        <w:pStyle w:val="5"/>
        <w:spacing w:before="156" w:after="156"/>
        <w:ind w:firstLine="560"/>
      </w:pPr>
      <w:r>
        <w:t>7.1.3.3</w:t>
      </w:r>
      <w:r>
        <w:rPr>
          <w:rFonts w:hint="eastAsia"/>
        </w:rPr>
        <w:t>灼烫</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泵在运行过程中发热发烫</w:t>
      </w:r>
      <w:r>
        <w:rPr>
          <w:rFonts w:hint="eastAsia"/>
        </w:rPr>
        <w:t>。</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（1）</w:t>
      </w:r>
      <w:r>
        <w:t>导致人员灼烫伤；</w:t>
      </w:r>
    </w:p>
    <w:p>
      <w:pPr>
        <w:spacing w:before="156" w:after="156"/>
        <w:ind w:firstLine="420"/>
      </w:pPr>
      <w:r>
        <w:rPr>
          <w:rFonts w:hint="eastAsia"/>
        </w:rPr>
        <w:t>（2）</w:t>
      </w:r>
      <w:r>
        <w:t>财产受损</w:t>
      </w:r>
      <w:r>
        <w:rPr>
          <w:rFonts w:hint="eastAsia"/>
        </w:rPr>
        <w:t>。</w:t>
      </w:r>
    </w:p>
    <w:p>
      <w:pPr>
        <w:spacing w:before="156" w:after="156"/>
        <w:ind w:firstLine="422"/>
        <w:rPr>
          <w:b/>
          <w:bCs/>
        </w:rPr>
      </w:pPr>
      <w:r>
        <w:rPr>
          <w:rFonts w:hint="eastAsia"/>
          <w:b/>
          <w:bCs/>
        </w:rPr>
        <w:t>(</w:t>
      </w:r>
      <w:r>
        <w:rPr>
          <w:b/>
          <w:bCs/>
        </w:rPr>
        <w:t>3)</w:t>
      </w:r>
      <w:r>
        <w:rPr>
          <w:rFonts w:hint="eastAsia"/>
          <w:b/>
          <w:bCs/>
        </w:rPr>
        <w:t>危险等级</w:t>
      </w:r>
    </w:p>
    <w:p>
      <w:pPr>
        <w:spacing w:before="156" w:after="156"/>
        <w:ind w:firstLine="420"/>
      </w:pPr>
      <w:r>
        <w:t>II级临界</w:t>
      </w:r>
      <w:r>
        <w:rPr>
          <w:rFonts w:hint="eastAsia"/>
        </w:rPr>
        <w:t>。</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rPr>
          <w:rFonts w:hint="eastAsia"/>
        </w:rPr>
        <w:t>（1）</w:t>
      </w:r>
      <w:r>
        <w:t>工作人员作业时无意触及</w:t>
      </w:r>
    </w:p>
    <w:p>
      <w:pPr>
        <w:spacing w:before="156" w:after="156"/>
        <w:ind w:firstLine="420"/>
      </w:pPr>
      <w:r>
        <w:rPr>
          <w:rFonts w:hint="eastAsia"/>
        </w:rPr>
        <w:t>（2）</w:t>
      </w:r>
      <w:r>
        <w:t>工作时人体无意触及高温器体表面；</w:t>
      </w:r>
    </w:p>
    <w:p>
      <w:pPr>
        <w:spacing w:before="156" w:after="156"/>
        <w:ind w:firstLine="420"/>
      </w:pPr>
      <w:r>
        <w:rPr>
          <w:rFonts w:hint="eastAsia"/>
        </w:rPr>
        <w:t>（3）</w:t>
      </w:r>
      <w:r>
        <w:t>人进入现场无个体防护措施。</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t>人体碰到高温物体</w:t>
      </w:r>
      <w:r>
        <w:rPr>
          <w:rFonts w:hint="eastAsia"/>
        </w:rPr>
        <w:t>。</w:t>
      </w:r>
    </w:p>
    <w:p>
      <w:pPr>
        <w:spacing w:before="156" w:after="156"/>
        <w:ind w:firstLine="422"/>
        <w:rPr>
          <w:b/>
          <w:bCs/>
        </w:rPr>
      </w:pPr>
      <w:r>
        <w:rPr>
          <w:rFonts w:hint="eastAsia"/>
          <w:b/>
          <w:bCs/>
        </w:rPr>
        <w:t>(</w:t>
      </w:r>
      <w:r>
        <w:rPr>
          <w:b/>
          <w:bCs/>
        </w:rPr>
        <w:t>6)</w:t>
      </w:r>
      <w:r>
        <w:rPr>
          <w:rFonts w:hint="eastAsia"/>
          <w:b/>
          <w:bCs/>
        </w:rPr>
        <w:t>措施</w:t>
      </w:r>
    </w:p>
    <w:p>
      <w:pPr>
        <w:spacing w:before="156" w:after="156"/>
        <w:ind w:firstLine="420"/>
      </w:pPr>
      <w:r>
        <w:rPr>
          <w:rFonts w:hint="eastAsia"/>
        </w:rPr>
        <w:t>（1）</w:t>
      </w:r>
      <w:r>
        <w:t>加强对有关化学品和高温物料灼烫伤预防知识和应急处理方法的培训和教育；</w:t>
      </w:r>
    </w:p>
    <w:p>
      <w:pPr>
        <w:spacing w:before="156" w:after="156"/>
        <w:ind w:firstLine="420"/>
      </w:pPr>
      <w:r>
        <w:rPr>
          <w:rFonts w:hint="eastAsia"/>
        </w:rPr>
        <w:t>（2）</w:t>
      </w:r>
      <w:r>
        <w:t>设立警示标志；</w:t>
      </w:r>
    </w:p>
    <w:p>
      <w:pPr>
        <w:spacing w:before="156" w:after="156"/>
        <w:ind w:firstLine="420"/>
      </w:pPr>
      <w:r>
        <w:rPr>
          <w:rFonts w:hint="eastAsia"/>
        </w:rPr>
        <w:t>（3）</w:t>
      </w:r>
      <w:r>
        <w:t>戴好相应的防护设备，穿长袖、戴好手套；</w:t>
      </w:r>
    </w:p>
    <w:p>
      <w:pPr>
        <w:spacing w:before="156" w:after="156"/>
        <w:ind w:firstLine="420"/>
      </w:pPr>
      <w:r>
        <w:rPr>
          <w:rFonts w:hint="eastAsia"/>
        </w:rPr>
        <w:t>（4）</w:t>
      </w:r>
      <w:r>
        <w:t>定期对泵进行检修。</w:t>
      </w:r>
    </w:p>
    <w:p>
      <w:pPr>
        <w:pStyle w:val="5"/>
        <w:spacing w:before="156" w:after="156"/>
        <w:ind w:firstLine="560"/>
      </w:pPr>
      <w:r>
        <w:t>7.1.3.4</w:t>
      </w:r>
      <w:r>
        <w:rPr>
          <w:rFonts w:hint="eastAsia"/>
        </w:rPr>
        <w:t>触电</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漏电、绝缘损坏、安全距离不够、雷击。</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（1）</w:t>
      </w:r>
      <w:r>
        <w:t>人员伤亡</w:t>
      </w:r>
      <w:r>
        <w:rPr>
          <w:rFonts w:hint="eastAsia"/>
        </w:rPr>
        <w:t>；</w:t>
      </w:r>
    </w:p>
    <w:p>
      <w:pPr>
        <w:spacing w:before="156" w:after="156"/>
        <w:ind w:firstLine="420"/>
      </w:pPr>
      <w:r>
        <w:rPr>
          <w:rFonts w:hint="eastAsia"/>
        </w:rPr>
        <w:t>（2）</w:t>
      </w:r>
      <w:r>
        <w:t>引发二次事故</w:t>
      </w:r>
      <w:r>
        <w:rPr>
          <w:rFonts w:hint="eastAsia"/>
        </w:rPr>
        <w:t>。</w:t>
      </w:r>
    </w:p>
    <w:p>
      <w:pPr>
        <w:spacing w:before="156" w:after="156"/>
        <w:ind w:firstLine="422"/>
        <w:rPr>
          <w:b/>
          <w:bCs/>
        </w:rPr>
      </w:pPr>
      <w:r>
        <w:rPr>
          <w:rFonts w:hint="eastAsia"/>
          <w:b/>
          <w:bCs/>
        </w:rPr>
        <w:t>(</w:t>
      </w:r>
      <w:r>
        <w:rPr>
          <w:b/>
          <w:bCs/>
        </w:rPr>
        <w:t>3)</w:t>
      </w:r>
      <w:r>
        <w:rPr>
          <w:rFonts w:hint="eastAsia"/>
          <w:b/>
          <w:bCs/>
        </w:rPr>
        <w:t>危险等级</w:t>
      </w:r>
    </w:p>
    <w:p>
      <w:pPr>
        <w:spacing w:before="156" w:after="156"/>
        <w:ind w:firstLine="420"/>
      </w:pPr>
      <w:r>
        <w:t>III级严重</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rPr>
          <w:rFonts w:hint="eastAsia"/>
        </w:rPr>
        <w:t>（1）</w:t>
      </w:r>
      <w:r>
        <w:t>设备漏电；</w:t>
      </w:r>
    </w:p>
    <w:p>
      <w:pPr>
        <w:spacing w:before="156" w:after="156"/>
        <w:ind w:firstLine="420"/>
      </w:pPr>
      <w:r>
        <w:rPr>
          <w:rFonts w:hint="eastAsia"/>
        </w:rPr>
        <w:t>（2）</w:t>
      </w:r>
      <w:r>
        <w:t>安全距离不够；</w:t>
      </w:r>
    </w:p>
    <w:p>
      <w:pPr>
        <w:spacing w:before="156" w:after="156"/>
        <w:ind w:firstLine="420"/>
      </w:pPr>
      <w:r>
        <w:rPr>
          <w:rFonts w:hint="eastAsia"/>
        </w:rPr>
        <w:t>（3）</w:t>
      </w:r>
      <w:r>
        <w:t>绝缘损坏、老化；</w:t>
      </w:r>
    </w:p>
    <w:p>
      <w:pPr>
        <w:spacing w:before="156" w:after="156"/>
        <w:ind w:firstLine="420"/>
      </w:pPr>
      <w:r>
        <w:rPr>
          <w:rFonts w:hint="eastAsia"/>
        </w:rPr>
        <w:t>（4）</w:t>
      </w:r>
      <w:r>
        <w:t>保护接地、接零不当；</w:t>
      </w:r>
    </w:p>
    <w:p>
      <w:pPr>
        <w:spacing w:before="156" w:after="156"/>
        <w:ind w:firstLine="420"/>
      </w:pPr>
      <w:r>
        <w:rPr>
          <w:rFonts w:hint="eastAsia"/>
        </w:rPr>
        <w:t>（5）</w:t>
      </w:r>
      <w:r>
        <w:t>手持电动工具类别选择不当，疏于管理；</w:t>
      </w:r>
    </w:p>
    <w:p>
      <w:pPr>
        <w:spacing w:before="156" w:after="156"/>
        <w:ind w:firstLine="420"/>
      </w:pPr>
      <w:r>
        <w:rPr>
          <w:rFonts w:hint="eastAsia"/>
        </w:rPr>
        <w:t>（6）</w:t>
      </w:r>
      <w:r>
        <w:t>防护用品和工具质量缺陷或使用不当；</w:t>
      </w:r>
    </w:p>
    <w:p>
      <w:pPr>
        <w:spacing w:before="156" w:after="156"/>
        <w:ind w:firstLine="420"/>
      </w:pPr>
      <w:r>
        <w:rPr>
          <w:rFonts w:hint="eastAsia"/>
        </w:rPr>
        <w:t>（7）</w:t>
      </w:r>
      <w:r>
        <w:t>雷击</w:t>
      </w:r>
      <w:r>
        <w:rPr>
          <w:rFonts w:hint="eastAsia"/>
        </w:rPr>
        <w:t>；</w:t>
      </w:r>
    </w:p>
    <w:p>
      <w:pPr>
        <w:spacing w:before="156" w:after="156"/>
        <w:ind w:firstLine="420"/>
      </w:pPr>
      <w:r>
        <w:rPr>
          <w:rFonts w:hint="eastAsia"/>
        </w:rPr>
        <w:t>（8）</w:t>
      </w:r>
      <w:r>
        <w:t>泵体漏电、绝缘损坏；</w:t>
      </w:r>
    </w:p>
    <w:p>
      <w:pPr>
        <w:spacing w:before="156" w:after="156"/>
        <w:ind w:firstLine="420"/>
      </w:pPr>
      <w:r>
        <w:rPr>
          <w:rFonts w:hint="eastAsia"/>
        </w:rPr>
        <w:t>（9）</w:t>
      </w:r>
      <w:r>
        <w:t>泵体金属外壳接地不良；</w:t>
      </w:r>
    </w:p>
    <w:p>
      <w:pPr>
        <w:spacing w:before="156" w:after="156"/>
        <w:ind w:firstLine="420"/>
      </w:pPr>
      <w:r>
        <w:rPr>
          <w:rFonts w:hint="eastAsia"/>
        </w:rPr>
        <w:t>（10）</w:t>
      </w:r>
      <w:r>
        <w:t>防护用品、电动工具验收、检验、更新程序有缺陷；</w:t>
      </w:r>
    </w:p>
    <w:p>
      <w:pPr>
        <w:spacing w:before="156" w:after="156"/>
        <w:ind w:firstLine="420"/>
      </w:pPr>
      <w:r>
        <w:rPr>
          <w:rFonts w:hint="eastAsia"/>
        </w:rPr>
        <w:t>（11）</w:t>
      </w:r>
      <w:r>
        <w:t>电工违章作业或非电工违章操作；</w:t>
      </w:r>
    </w:p>
    <w:p>
      <w:pPr>
        <w:spacing w:before="156" w:after="156"/>
        <w:ind w:firstLine="420"/>
      </w:pPr>
      <w:r>
        <w:rPr>
          <w:rFonts w:hint="eastAsia"/>
        </w:rPr>
        <w:t>（1</w:t>
      </w:r>
      <w:r>
        <w:t>2</w:t>
      </w:r>
      <w:r>
        <w:rPr>
          <w:rFonts w:hint="eastAsia"/>
        </w:rPr>
        <w:t>）</w:t>
      </w:r>
      <w:r>
        <w:t>雷电（直接雷、感应雷、雷电侵入波）。</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（1）</w:t>
      </w:r>
      <w:r>
        <w:t>人体接触带电体；</w:t>
      </w:r>
    </w:p>
    <w:p>
      <w:pPr>
        <w:spacing w:before="156" w:after="156"/>
        <w:ind w:firstLine="420"/>
      </w:pPr>
      <w:r>
        <w:rPr>
          <w:rFonts w:hint="eastAsia"/>
        </w:rPr>
        <w:t>（2）</w:t>
      </w:r>
      <w:r>
        <w:t>安全距离不够；</w:t>
      </w:r>
    </w:p>
    <w:p>
      <w:pPr>
        <w:spacing w:before="156" w:after="156"/>
        <w:ind w:firstLine="420"/>
      </w:pPr>
      <w:r>
        <w:rPr>
          <w:rFonts w:hint="eastAsia"/>
        </w:rPr>
        <w:t>（3）</w:t>
      </w:r>
      <w:r>
        <w:t>通过人体的电流时间超过50mA/S；</w:t>
      </w:r>
    </w:p>
    <w:p>
      <w:pPr>
        <w:spacing w:before="156" w:after="156"/>
        <w:ind w:firstLine="420"/>
      </w:pPr>
      <w:r>
        <w:rPr>
          <w:rFonts w:hint="eastAsia"/>
        </w:rPr>
        <w:t>（4）</w:t>
      </w:r>
      <w:r>
        <w:t>设备外壳带电。</w:t>
      </w:r>
    </w:p>
    <w:p>
      <w:pPr>
        <w:spacing w:before="156" w:after="156"/>
        <w:ind w:firstLine="422"/>
        <w:rPr>
          <w:b/>
          <w:bCs/>
        </w:rPr>
      </w:pPr>
      <w:r>
        <w:rPr>
          <w:rFonts w:hint="eastAsia"/>
          <w:b/>
          <w:bCs/>
        </w:rPr>
        <w:t>(</w:t>
      </w:r>
      <w:r>
        <w:rPr>
          <w:b/>
          <w:bCs/>
        </w:rPr>
        <w:t>6)</w:t>
      </w:r>
      <w:r>
        <w:rPr>
          <w:rFonts w:hint="eastAsia"/>
          <w:b/>
          <w:bCs/>
        </w:rPr>
        <w:t>措施</w:t>
      </w:r>
    </w:p>
    <w:p>
      <w:pPr>
        <w:spacing w:before="156" w:after="156"/>
        <w:ind w:firstLine="420"/>
      </w:pPr>
      <w:r>
        <w:rPr>
          <w:rFonts w:hint="eastAsia"/>
        </w:rPr>
        <w:t>（</w:t>
      </w:r>
      <w:r>
        <w:t>1）电气绝缘等级要与使用电压、环境动作条件相符，并定期检查、检测、维护、维修、保持完好状态；</w:t>
      </w:r>
    </w:p>
    <w:p>
      <w:pPr>
        <w:spacing w:before="156" w:after="156"/>
        <w:ind w:firstLine="420"/>
      </w:pPr>
      <w:r>
        <w:rPr>
          <w:rFonts w:hint="eastAsia"/>
        </w:rPr>
        <w:t>（</w:t>
      </w:r>
      <w:r>
        <w:t>2）严格按标准要求对泵体做好保护接地和三相接零；</w:t>
      </w:r>
    </w:p>
    <w:p>
      <w:pPr>
        <w:spacing w:before="156" w:after="156"/>
        <w:ind w:firstLine="420"/>
      </w:pPr>
      <w:r>
        <w:rPr>
          <w:rFonts w:hint="eastAsia"/>
        </w:rPr>
        <w:t>（</w:t>
      </w:r>
      <w:r>
        <w:t>3）电焊机绝缘完好、接线不裸露，定期检测漏电，电焊作业者穿戴防护用品，注意夏季防触电，有监护和应急措施；</w:t>
      </w:r>
    </w:p>
    <w:p>
      <w:pPr>
        <w:spacing w:before="156" w:after="156"/>
        <w:ind w:firstLine="420"/>
      </w:pPr>
      <w:r>
        <w:rPr>
          <w:rFonts w:hint="eastAsia"/>
        </w:rPr>
        <w:t>（</w:t>
      </w:r>
      <w:r>
        <w:t>4）坚持对员工的电气安全操作和急救方法的培训、教育；</w:t>
      </w:r>
    </w:p>
    <w:p>
      <w:pPr>
        <w:spacing w:before="156" w:after="156"/>
        <w:ind w:firstLine="420"/>
      </w:pPr>
      <w:r>
        <w:rPr>
          <w:rFonts w:hint="eastAsia"/>
        </w:rPr>
        <w:t>（</w:t>
      </w:r>
      <w:r>
        <w:t>5）定期进行电气安全检查，严禁</w:t>
      </w:r>
      <w:r>
        <w:rPr>
          <w:rFonts w:hint="eastAsia"/>
        </w:rPr>
        <w:t>“</w:t>
      </w:r>
      <w:r>
        <w:t>三违</w:t>
      </w:r>
      <w:r>
        <w:rPr>
          <w:rFonts w:hint="eastAsia"/>
        </w:rPr>
        <w:t>”</w:t>
      </w:r>
      <w:r>
        <w:t>；</w:t>
      </w:r>
    </w:p>
    <w:p>
      <w:pPr>
        <w:spacing w:before="156" w:after="156"/>
        <w:ind w:firstLine="420"/>
      </w:pPr>
      <w:r>
        <w:rPr>
          <w:rFonts w:hint="eastAsia"/>
        </w:rPr>
        <w:t>（</w:t>
      </w:r>
      <w:r>
        <w:t>6）制定并执行电气设备使用、保管、检验、维修、更新程序；</w:t>
      </w:r>
    </w:p>
    <w:p>
      <w:pPr>
        <w:spacing w:before="156" w:after="156"/>
        <w:ind w:firstLine="420"/>
      </w:pPr>
      <w:r>
        <w:rPr>
          <w:rFonts w:hint="eastAsia"/>
        </w:rPr>
        <w:t>（7）</w:t>
      </w:r>
      <w:r>
        <w:t>建立、健全并严格执行电气安全规章制度和电气操作规程。</w:t>
      </w:r>
    </w:p>
    <w:p>
      <w:pPr>
        <w:pStyle w:val="4"/>
        <w:spacing w:before="156" w:after="156"/>
        <w:ind w:firstLine="482"/>
      </w:pPr>
      <w:bookmarkStart w:id="193" w:name="_Toc141203960"/>
      <w:bookmarkStart w:id="194" w:name="_Toc108206551"/>
      <w:r>
        <w:rPr>
          <w:rFonts w:hint="eastAsia"/>
        </w:rPr>
        <w:t>7</w:t>
      </w:r>
      <w:r>
        <w:t>.1.4</w:t>
      </w:r>
      <w:r>
        <w:rPr>
          <w:rFonts w:hint="eastAsia"/>
        </w:rPr>
        <w:t>回流罐预先危险性分析</w:t>
      </w:r>
      <w:bookmarkEnd w:id="193"/>
      <w:bookmarkEnd w:id="194"/>
    </w:p>
    <w:p>
      <w:pPr>
        <w:pStyle w:val="5"/>
        <w:spacing w:before="156" w:after="156"/>
        <w:ind w:firstLine="560"/>
      </w:pPr>
      <w:r>
        <w:t>7.1.4.1</w:t>
      </w:r>
      <w:r>
        <w:rPr>
          <w:rFonts w:hint="eastAsia"/>
        </w:rPr>
        <w:t>灼烫</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可燃爆物质泄漏、或与空气接触达到燃爆极限、电气火灾、雷击、检测报警系统失效。</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（1）</w:t>
      </w:r>
      <w:r>
        <w:t>罐及人员的伤亡；</w:t>
      </w:r>
    </w:p>
    <w:p>
      <w:pPr>
        <w:spacing w:before="156" w:after="156"/>
        <w:ind w:firstLine="420"/>
      </w:pPr>
      <w:r>
        <w:rPr>
          <w:rFonts w:hint="eastAsia"/>
        </w:rPr>
        <w:t>（2）</w:t>
      </w:r>
      <w:r>
        <w:t>物料跑损；</w:t>
      </w:r>
    </w:p>
    <w:p>
      <w:pPr>
        <w:spacing w:before="156" w:after="156"/>
        <w:ind w:firstLine="420"/>
      </w:pPr>
      <w:r>
        <w:rPr>
          <w:rFonts w:hint="eastAsia"/>
        </w:rPr>
        <w:t>（3）</w:t>
      </w:r>
      <w:r>
        <w:t>停产；</w:t>
      </w:r>
    </w:p>
    <w:p>
      <w:pPr>
        <w:spacing w:before="156" w:after="156"/>
        <w:ind w:firstLine="420"/>
      </w:pPr>
      <w:r>
        <w:rPr>
          <w:rFonts w:hint="eastAsia"/>
        </w:rPr>
        <w:t>（4）</w:t>
      </w:r>
      <w:r>
        <w:t>严重经济损失。</w:t>
      </w:r>
    </w:p>
    <w:p>
      <w:pPr>
        <w:spacing w:before="156" w:after="156"/>
        <w:ind w:firstLine="422"/>
        <w:rPr>
          <w:b/>
          <w:bCs/>
        </w:rPr>
      </w:pPr>
      <w:r>
        <w:rPr>
          <w:rFonts w:hint="eastAsia"/>
          <w:b/>
          <w:bCs/>
        </w:rPr>
        <w:t>(</w:t>
      </w:r>
      <w:r>
        <w:rPr>
          <w:b/>
          <w:bCs/>
        </w:rPr>
        <w:t>3)</w:t>
      </w:r>
      <w:r>
        <w:rPr>
          <w:rFonts w:hint="eastAsia"/>
          <w:b/>
          <w:bCs/>
        </w:rPr>
        <w:t>危险等级</w:t>
      </w:r>
    </w:p>
    <w:p>
      <w:pPr>
        <w:spacing w:before="156" w:after="156"/>
        <w:ind w:firstLine="420"/>
      </w:pPr>
      <w:r>
        <w:t>IV级致命</w:t>
      </w:r>
      <w:r>
        <w:rPr>
          <w:rFonts w:hint="eastAsia"/>
        </w:rPr>
        <w:t>。</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rPr>
          <w:rFonts w:hint="eastAsia"/>
        </w:rPr>
        <w:t>（1）</w:t>
      </w:r>
      <w:r>
        <w:t>故障泄漏回流罐的密闭性不好、材质未达要求或设施老化，导致物料产物泄漏；与回流罐相连的管、阀、表等连接处泄漏；回流罐因加工、材质、焊接等质量不好或安装不当而泄漏；由自然灾（如雷击、台风、地震）造成罐体破裂泄漏；</w:t>
      </w:r>
    </w:p>
    <w:p>
      <w:pPr>
        <w:spacing w:before="156" w:after="156"/>
        <w:ind w:firstLine="420"/>
      </w:pPr>
      <w:r>
        <w:rPr>
          <w:rFonts w:hint="eastAsia"/>
        </w:rPr>
        <w:t>（2）</w:t>
      </w:r>
      <w:r>
        <w:t>运行泄漏因操作人员的失误、错开阀门、或是不按规范操作等原因造成工艺过程的失控，导致回流罐的泄漏；</w:t>
      </w:r>
    </w:p>
    <w:p>
      <w:pPr>
        <w:spacing w:before="156" w:after="156"/>
        <w:ind w:firstLine="420"/>
      </w:pPr>
      <w:r>
        <w:rPr>
          <w:rFonts w:hint="eastAsia"/>
        </w:rPr>
        <w:t>（3）</w:t>
      </w:r>
      <w:r>
        <w:t>其他未设检测报警系统，或检测报警系统失效，未发现已泄漏的物料；人员在检修回流罐的过程时，停车后未进行氮气、空气吹扫，导致罐内物料未排至安全浓度；在之前物料的输送中，未做静电防护、接地措施，导致静电积累；回流罐未设置防雷设施或防雷设施不符合要求；生产前，未用氮气惰性气体对回流罐进行吹扫，将管道、罐内的空气排尽，或未设有监测设备监测氧气含量或监测设备出现故障；在人员检修回流罐的过程中，未有其他人员在旁监护，或未挂警示牌提示，贸然开车</w:t>
      </w:r>
    </w:p>
    <w:p>
      <w:pPr>
        <w:spacing w:before="156" w:after="156"/>
        <w:ind w:firstLine="420"/>
      </w:pPr>
      <w:r>
        <w:rPr>
          <w:rFonts w:hint="eastAsia"/>
        </w:rPr>
        <w:t>（4）</w:t>
      </w:r>
      <w:r>
        <w:t>点火源明火（主要是罐内检修动火、吸烟等，项目检修主要有电气焊动火）；雷电和静电（主要考虑塔器作为接闪器，受雷击和雷击后产生的高温对回流罐的影响；静电考虑人体带电）；撞击火花（主要是操作、检修过程中使用的工具产生撞击火花）；电气火花（主要是回流罐内物料回流至塔中需要机泵参与，机泵动机有可能产生电气火花）。</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（1）</w:t>
      </w:r>
      <w:r>
        <w:t>回流罐内的易燃物料与空气混合形成燃烧爆炸混合物；</w:t>
      </w:r>
    </w:p>
    <w:p>
      <w:pPr>
        <w:spacing w:before="156" w:after="156"/>
        <w:ind w:firstLine="420"/>
      </w:pPr>
      <w:r>
        <w:rPr>
          <w:rFonts w:hint="eastAsia"/>
        </w:rPr>
        <w:t>（2）</w:t>
      </w:r>
      <w:r>
        <w:t>燃烧爆炸混合物达到燃爆极限；</w:t>
      </w:r>
    </w:p>
    <w:p>
      <w:pPr>
        <w:spacing w:before="156" w:after="156"/>
        <w:ind w:firstLine="420"/>
      </w:pPr>
      <w:r>
        <w:rPr>
          <w:rFonts w:hint="eastAsia"/>
        </w:rPr>
        <w:t>（3）</w:t>
      </w:r>
      <w:r>
        <w:t>易燃爆物质遇到点火源、高温物体等引发能量爆发。</w:t>
      </w:r>
    </w:p>
    <w:p>
      <w:pPr>
        <w:spacing w:before="156" w:after="156"/>
        <w:ind w:firstLine="422"/>
        <w:rPr>
          <w:b/>
          <w:bCs/>
        </w:rPr>
      </w:pPr>
      <w:r>
        <w:rPr>
          <w:rFonts w:hint="eastAsia"/>
          <w:b/>
          <w:bCs/>
        </w:rPr>
        <w:t>(</w:t>
      </w:r>
      <w:r>
        <w:rPr>
          <w:b/>
          <w:bCs/>
        </w:rPr>
        <w:t>6)</w:t>
      </w:r>
      <w:r>
        <w:rPr>
          <w:rFonts w:hint="eastAsia"/>
          <w:b/>
          <w:bCs/>
        </w:rPr>
        <w:t>措施</w:t>
      </w:r>
    </w:p>
    <w:p>
      <w:pPr>
        <w:spacing w:before="156" w:after="156"/>
        <w:ind w:firstLine="420"/>
      </w:pPr>
      <w:r>
        <w:rPr>
          <w:rFonts w:hint="eastAsia"/>
        </w:rPr>
        <w:t>（1）</w:t>
      </w:r>
      <w:r>
        <w:t>控制与消除火源</w:t>
      </w:r>
    </w:p>
    <w:p>
      <w:pPr>
        <w:spacing w:before="156" w:after="156"/>
        <w:ind w:firstLine="420"/>
      </w:pPr>
      <w:r>
        <w:t>a.严禁吸烟、火种和穿带钉皮鞋、不带阻火器车辆进入易燃易爆区；</w:t>
      </w:r>
    </w:p>
    <w:p>
      <w:pPr>
        <w:spacing w:before="156" w:after="156"/>
        <w:ind w:firstLine="420"/>
      </w:pPr>
      <w:r>
        <w:t>b.严格执行动火证制度，并加强防范措施；</w:t>
      </w:r>
    </w:p>
    <w:p>
      <w:pPr>
        <w:spacing w:before="156" w:after="156"/>
        <w:ind w:firstLine="420"/>
      </w:pPr>
      <w:r>
        <w:t>c.装置区内一律使用防爆性电气设备；</w:t>
      </w:r>
    </w:p>
    <w:p>
      <w:pPr>
        <w:spacing w:before="156" w:after="156"/>
        <w:ind w:firstLine="420"/>
      </w:pPr>
      <w:r>
        <w:t>d.严禁钢性工具敲击、抛掷，不使用发火工具;</w:t>
      </w:r>
    </w:p>
    <w:p>
      <w:pPr>
        <w:spacing w:before="156" w:after="156"/>
        <w:ind w:firstLine="420"/>
      </w:pPr>
      <w:r>
        <w:t>e.按标准装设避雷设施，并定期检查；</w:t>
      </w:r>
    </w:p>
    <w:p>
      <w:pPr>
        <w:spacing w:before="156" w:after="156"/>
        <w:ind w:firstLine="420"/>
      </w:pPr>
      <w:r>
        <w:t>f.严格执行防静电措施；</w:t>
      </w:r>
    </w:p>
    <w:p>
      <w:pPr>
        <w:spacing w:before="156" w:after="156"/>
        <w:ind w:firstLine="420"/>
      </w:pPr>
      <w:r>
        <w:t>g.加强门卫，严禁机动车辆进入火灾、爆炸危险区；</w:t>
      </w:r>
    </w:p>
    <w:p>
      <w:pPr>
        <w:spacing w:before="156" w:after="156"/>
        <w:ind w:firstLine="420"/>
      </w:pPr>
      <w:r>
        <w:t>h.转动设备部位要保持清洁，防止因摩擦引起杂物等燃烧。</w:t>
      </w:r>
    </w:p>
    <w:p>
      <w:pPr>
        <w:spacing w:before="156" w:after="156"/>
        <w:ind w:firstLine="420"/>
      </w:pPr>
      <w:r>
        <w:rPr>
          <w:rFonts w:hint="eastAsia"/>
        </w:rPr>
        <w:t>（2）</w:t>
      </w:r>
      <w:r>
        <w:t>严格控制设备及其安装质量</w:t>
      </w:r>
    </w:p>
    <w:p>
      <w:pPr>
        <w:spacing w:before="156" w:after="156"/>
        <w:ind w:firstLine="420"/>
      </w:pPr>
      <w:r>
        <w:t>a.保证进料罐质量，材质、壁厚大于4mm，可以作为接闪器使用；</w:t>
      </w:r>
    </w:p>
    <w:p>
      <w:pPr>
        <w:spacing w:before="156" w:after="156"/>
        <w:ind w:firstLine="420"/>
      </w:pPr>
      <w:r>
        <w:t>b.进料罐及相连的管道及其仪表要定期检验、检测、试压；</w:t>
      </w:r>
    </w:p>
    <w:p>
      <w:pPr>
        <w:spacing w:before="156" w:after="156"/>
        <w:ind w:firstLine="420"/>
      </w:pPr>
      <w:r>
        <w:t>c.对进料罐的阀、报警器监测仪表定期检定；</w:t>
      </w:r>
    </w:p>
    <w:p>
      <w:pPr>
        <w:spacing w:before="156" w:after="156"/>
        <w:ind w:firstLine="420"/>
      </w:pPr>
      <w:r>
        <w:t>d.进料罐附近的电气设备按规范和标准安装，定期检修，保证完好状态；</w:t>
      </w:r>
    </w:p>
    <w:p>
      <w:pPr>
        <w:spacing w:before="156" w:after="156"/>
        <w:ind w:firstLine="420"/>
      </w:pPr>
      <w:r>
        <w:t>e.进料罐外须设置隔热措施。</w:t>
      </w:r>
    </w:p>
    <w:p>
      <w:pPr>
        <w:spacing w:before="156" w:after="156"/>
        <w:ind w:firstLine="420"/>
      </w:pPr>
      <w:r>
        <w:rPr>
          <w:rFonts w:hint="eastAsia"/>
        </w:rPr>
        <w:t>（3）</w:t>
      </w:r>
      <w:r>
        <w:t>加强管理、严格工艺，防止易燃、易爆物料的跑、冒、滴、漏</w:t>
      </w:r>
    </w:p>
    <w:p>
      <w:pPr>
        <w:spacing w:before="156" w:after="156"/>
        <w:ind w:firstLine="420"/>
      </w:pPr>
      <w:r>
        <w:t>a.区内根据“170号公约”和危险化学品安全管理条例张贴作业场所危险化学品安全标签；</w:t>
      </w:r>
    </w:p>
    <w:p>
      <w:pPr>
        <w:spacing w:before="156" w:after="156"/>
        <w:ind w:firstLine="420"/>
      </w:pPr>
      <w:r>
        <w:t>b.杜绝“三违”（违章作业、违章指挥、违反劳纪），严守工艺规定，防止工艺参数发生变化；</w:t>
      </w:r>
    </w:p>
    <w:p>
      <w:pPr>
        <w:spacing w:before="156" w:after="156"/>
        <w:ind w:firstLine="420"/>
      </w:pPr>
      <w:r>
        <w:t>c.坚持巡回检查，发现问题及时处理，如液位报警器、呼吸阀、压力表、安全阀、防腐、联锁仪表、消防及救护设施是否完好、液位报警器是否正常、罐进出料阀（包括截止阀、自动调节阀）等有否泄漏、消防通道、地沟是否畅通；</w:t>
      </w:r>
    </w:p>
    <w:p>
      <w:pPr>
        <w:spacing w:before="156" w:after="156"/>
        <w:ind w:firstLine="420"/>
      </w:pPr>
      <w:r>
        <w:t>d.检修时做好隔离、清空、吹扫、通风，在监护下进行动火等作业；</w:t>
      </w:r>
    </w:p>
    <w:p>
      <w:pPr>
        <w:spacing w:before="156" w:after="156"/>
        <w:ind w:firstLine="420"/>
      </w:pPr>
      <w:r>
        <w:t>e.加强培训、教育、考核工作，经常性检查有否违章、违纪现象；</w:t>
      </w:r>
    </w:p>
    <w:p>
      <w:pPr>
        <w:spacing w:before="156" w:after="156"/>
        <w:ind w:firstLine="420"/>
      </w:pPr>
      <w:r>
        <w:t>f.防止易燃、易爆物料的跑、冒、滴、漏；</w:t>
      </w:r>
    </w:p>
    <w:p>
      <w:pPr>
        <w:spacing w:before="156" w:after="156"/>
        <w:ind w:firstLine="420"/>
      </w:pPr>
      <w:r>
        <w:rPr>
          <w:rFonts w:hint="eastAsia"/>
        </w:rPr>
        <w:t>（4）</w:t>
      </w:r>
      <w:r>
        <w:t>安全设施保持齐全、完好</w:t>
      </w:r>
    </w:p>
    <w:p>
      <w:pPr>
        <w:spacing w:before="156" w:after="156"/>
        <w:ind w:firstLine="420"/>
      </w:pPr>
      <w:r>
        <w:t>a.检查安全设施（包括消防设施、遥控装置等）保持齐全完好；</w:t>
      </w:r>
    </w:p>
    <w:p>
      <w:pPr>
        <w:spacing w:before="156" w:after="156"/>
        <w:ind w:firstLine="420"/>
      </w:pPr>
      <w:r>
        <w:t>b.回流罐内安装高、低液位报警器，安装可燃气体监测报警装置。</w:t>
      </w:r>
    </w:p>
    <w:p>
      <w:pPr>
        <w:pStyle w:val="5"/>
        <w:spacing w:before="156" w:after="156"/>
        <w:ind w:firstLine="560"/>
      </w:pPr>
      <w:r>
        <w:t>7.1.4.2</w:t>
      </w:r>
      <w:r>
        <w:rPr>
          <w:rFonts w:hint="eastAsia"/>
        </w:rPr>
        <w:t>物理爆炸（容器爆炸）</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压力容器爆炸</w:t>
      </w:r>
      <w:r>
        <w:rPr>
          <w:rFonts w:hint="eastAsia"/>
        </w:rPr>
        <w:t>。</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（1）</w:t>
      </w:r>
      <w:r>
        <w:t>塔器、人员的伤亡；</w:t>
      </w:r>
    </w:p>
    <w:p>
      <w:pPr>
        <w:spacing w:before="156" w:after="156"/>
        <w:ind w:firstLine="420"/>
      </w:pPr>
      <w:r>
        <w:rPr>
          <w:rFonts w:hint="eastAsia"/>
        </w:rPr>
        <w:t>（2）</w:t>
      </w:r>
      <w:r>
        <w:t>物料跑损；</w:t>
      </w:r>
    </w:p>
    <w:p>
      <w:pPr>
        <w:spacing w:before="156" w:after="156"/>
        <w:ind w:firstLine="420"/>
      </w:pPr>
      <w:r>
        <w:rPr>
          <w:rFonts w:hint="eastAsia"/>
        </w:rPr>
        <w:t>（3）</w:t>
      </w:r>
      <w:r>
        <w:t>停产；</w:t>
      </w:r>
    </w:p>
    <w:p>
      <w:pPr>
        <w:spacing w:before="156" w:after="156"/>
        <w:ind w:firstLine="420"/>
      </w:pPr>
      <w:r>
        <w:rPr>
          <w:rFonts w:hint="eastAsia"/>
        </w:rPr>
        <w:t>（4）</w:t>
      </w:r>
      <w:r>
        <w:t>严重经济损失</w:t>
      </w:r>
      <w:r>
        <w:rPr>
          <w:rFonts w:hint="eastAsia"/>
        </w:rPr>
        <w:t>。</w:t>
      </w:r>
    </w:p>
    <w:p>
      <w:pPr>
        <w:spacing w:before="156" w:after="156"/>
        <w:ind w:firstLine="422"/>
        <w:rPr>
          <w:b/>
          <w:bCs/>
        </w:rPr>
      </w:pPr>
      <w:r>
        <w:rPr>
          <w:rFonts w:hint="eastAsia"/>
          <w:b/>
          <w:bCs/>
        </w:rPr>
        <w:t>(</w:t>
      </w:r>
      <w:r>
        <w:rPr>
          <w:b/>
          <w:bCs/>
        </w:rPr>
        <w:t>3)</w:t>
      </w:r>
      <w:r>
        <w:rPr>
          <w:rFonts w:hint="eastAsia"/>
          <w:b/>
          <w:bCs/>
        </w:rPr>
        <w:t>危险等级</w:t>
      </w:r>
    </w:p>
    <w:p>
      <w:pPr>
        <w:spacing w:before="156" w:after="156"/>
        <w:ind w:firstLine="420"/>
      </w:pPr>
      <w:r>
        <w:t>IV级致命</w:t>
      </w:r>
      <w:r>
        <w:rPr>
          <w:rFonts w:hint="eastAsia"/>
        </w:rPr>
        <w:t>。</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rPr>
          <w:rFonts w:hint="eastAsia"/>
        </w:rPr>
        <w:t>（1）</w:t>
      </w:r>
      <w:r>
        <w:t>管道、塔进出料配比、料量、速度不当造成反应失控导致塔无法及时泄压，然后直接影响回流罐的泄压，导致回流罐超压；</w:t>
      </w:r>
    </w:p>
    <w:p>
      <w:pPr>
        <w:spacing w:before="156" w:after="156"/>
        <w:ind w:firstLine="420"/>
      </w:pPr>
      <w:r>
        <w:rPr>
          <w:rFonts w:hint="eastAsia"/>
        </w:rPr>
        <w:t>（2）</w:t>
      </w:r>
      <w:r>
        <w:t>回流罐与机泵或换热器相连的仪表损坏或是管道堵塞，导致超压；c.操作过程中操作人员未按照规范操作，导致罐内压力升高</w:t>
      </w:r>
      <w:r>
        <w:rPr>
          <w:rFonts w:hint="eastAsia"/>
        </w:rPr>
        <w:t>；</w:t>
      </w:r>
    </w:p>
    <w:p>
      <w:pPr>
        <w:spacing w:before="156" w:after="156"/>
        <w:ind w:firstLine="420"/>
      </w:pPr>
      <w:r>
        <w:rPr>
          <w:rFonts w:hint="eastAsia"/>
        </w:rPr>
        <w:t>（3）</w:t>
      </w:r>
      <w:r>
        <w:t>精馏塔若没有设置相应的安全装置（安全阀、安全泄压装置等），或安全装置失效，导致回流罐不能及时泄压；</w:t>
      </w:r>
    </w:p>
    <w:p>
      <w:pPr>
        <w:spacing w:before="156" w:after="156"/>
        <w:ind w:firstLine="420"/>
      </w:pPr>
      <w:r>
        <w:rPr>
          <w:rFonts w:hint="eastAsia"/>
        </w:rPr>
        <w:t>（4）</w:t>
      </w:r>
      <w:r>
        <w:t>回流罐或与罐相连的管道因为年久腐蚀、疲劳等原因，耐压强度降低；c.回流罐在选材过程中未选择耐高压、耐高温材料。</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（1）</w:t>
      </w:r>
      <w:r>
        <w:t>回流罐内发生超压现象；</w:t>
      </w:r>
    </w:p>
    <w:p>
      <w:pPr>
        <w:spacing w:before="156" w:after="156"/>
        <w:ind w:firstLine="420"/>
      </w:pPr>
      <w:r>
        <w:rPr>
          <w:rFonts w:hint="eastAsia"/>
        </w:rPr>
        <w:t>（2）</w:t>
      </w:r>
      <w:r>
        <w:t>回流罐的材质和通过塔泄压的过程出现故障。</w:t>
      </w:r>
    </w:p>
    <w:p>
      <w:pPr>
        <w:pStyle w:val="5"/>
        <w:spacing w:before="156" w:after="156"/>
        <w:ind w:firstLine="560"/>
      </w:pPr>
      <w:r>
        <w:t>7.1.4.3</w:t>
      </w:r>
      <w:r>
        <w:rPr>
          <w:rFonts w:hint="eastAsia"/>
        </w:rPr>
        <w:t>中毒及窒息</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rPr>
          <w:rFonts w:hint="eastAsia"/>
        </w:rPr>
        <w:t>（1）</w:t>
      </w:r>
      <w:r>
        <w:t>馏分等都有低毒性和急性中毒、窒息性，可能泄漏造成中毒及窒息；</w:t>
      </w:r>
    </w:p>
    <w:p>
      <w:pPr>
        <w:spacing w:before="156" w:after="156"/>
        <w:ind w:firstLine="420"/>
      </w:pPr>
      <w:r>
        <w:rPr>
          <w:rFonts w:hint="eastAsia"/>
        </w:rPr>
        <w:t>（2）</w:t>
      </w:r>
      <w:r>
        <w:t>人员在检修过程中接触物料</w:t>
      </w:r>
      <w:r>
        <w:rPr>
          <w:rFonts w:hint="eastAsia"/>
        </w:rPr>
        <w:t>。</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w:t>
      </w:r>
      <w:r>
        <w:t>1</w:t>
      </w:r>
      <w:r>
        <w:rPr>
          <w:rFonts w:hint="eastAsia"/>
        </w:rPr>
        <w:t>）</w:t>
      </w:r>
      <w:r>
        <w:t>人员中毒窒息甚至死亡；</w:t>
      </w:r>
    </w:p>
    <w:p>
      <w:pPr>
        <w:spacing w:before="156" w:after="156"/>
        <w:ind w:firstLine="420"/>
      </w:pPr>
      <w:r>
        <w:rPr>
          <w:rFonts w:hint="eastAsia"/>
        </w:rPr>
        <w:t>（2）</w:t>
      </w:r>
      <w:r>
        <w:t>物料跑损。</w:t>
      </w:r>
    </w:p>
    <w:p>
      <w:pPr>
        <w:spacing w:before="156" w:after="156"/>
        <w:ind w:firstLine="422"/>
        <w:rPr>
          <w:b/>
          <w:bCs/>
        </w:rPr>
      </w:pPr>
      <w:r>
        <w:rPr>
          <w:rFonts w:hint="eastAsia"/>
          <w:b/>
          <w:bCs/>
        </w:rPr>
        <w:t>(</w:t>
      </w:r>
      <w:r>
        <w:rPr>
          <w:b/>
          <w:bCs/>
        </w:rPr>
        <w:t>3)</w:t>
      </w:r>
      <w:r>
        <w:rPr>
          <w:rFonts w:hint="eastAsia"/>
          <w:b/>
          <w:bCs/>
        </w:rPr>
        <w:t>危险等级</w:t>
      </w:r>
    </w:p>
    <w:p>
      <w:pPr>
        <w:spacing w:before="156" w:after="156"/>
        <w:ind w:firstLine="420"/>
      </w:pPr>
      <w:r>
        <w:t>II级临界</w:t>
      </w:r>
      <w:r>
        <w:rPr>
          <w:rFonts w:hint="eastAsia"/>
        </w:rPr>
        <w:t>。</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rPr>
          <w:rFonts w:hint="eastAsia"/>
        </w:rPr>
        <w:t>（1）</w:t>
      </w:r>
      <w:r>
        <w:t>生产过程中的物料塔中密封不严、或回流罐在长期使用、设备缺陷或误操作造成物料泄漏；</w:t>
      </w:r>
    </w:p>
    <w:p>
      <w:pPr>
        <w:spacing w:before="156" w:after="156"/>
        <w:ind w:firstLine="420"/>
      </w:pPr>
      <w:r>
        <w:rPr>
          <w:rFonts w:hint="eastAsia"/>
        </w:rPr>
        <w:t>（2）</w:t>
      </w:r>
      <w:r>
        <w:t>检修停车后，未进行氮气吹扫、空气吹扫或对可燃物含量和氧气含量监测系统发生故障，使回流罐内的氧含量不足，检修人员就进入；</w:t>
      </w:r>
    </w:p>
    <w:p>
      <w:pPr>
        <w:spacing w:before="156" w:after="156"/>
        <w:ind w:firstLine="420"/>
      </w:pPr>
      <w:r>
        <w:rPr>
          <w:rFonts w:hint="eastAsia"/>
        </w:rPr>
        <w:t>（3）</w:t>
      </w:r>
      <w:r>
        <w:t>生产过程中有物料泄漏，未及时发现，现场厂区内部监测报警仪失效，使有毒物料超过允许浓度</w:t>
      </w:r>
      <w:r>
        <w:rPr>
          <w:rFonts w:hint="eastAsia"/>
        </w:rPr>
        <w:t>；</w:t>
      </w:r>
    </w:p>
    <w:p>
      <w:pPr>
        <w:spacing w:before="156" w:after="156"/>
        <w:ind w:firstLine="420"/>
      </w:pPr>
      <w:r>
        <w:rPr>
          <w:rFonts w:hint="eastAsia"/>
        </w:rPr>
        <w:t>（4）</w:t>
      </w:r>
      <w:r>
        <w:t>在有毒现场无相应的防毒过滤器、面具、空气呼吸器以及其它有关的防护用品；</w:t>
      </w:r>
    </w:p>
    <w:p>
      <w:pPr>
        <w:spacing w:before="156" w:after="156"/>
        <w:ind w:firstLine="420"/>
      </w:pPr>
      <w:r>
        <w:rPr>
          <w:rFonts w:hint="eastAsia"/>
        </w:rPr>
        <w:t>（5）</w:t>
      </w:r>
      <w:r>
        <w:t>个人因故未戴防护用品；</w:t>
      </w:r>
    </w:p>
    <w:p>
      <w:pPr>
        <w:spacing w:before="156" w:after="156"/>
        <w:ind w:firstLine="420"/>
      </w:pPr>
      <w:r>
        <w:rPr>
          <w:rFonts w:hint="eastAsia"/>
        </w:rPr>
        <w:t>（6）</w:t>
      </w:r>
      <w:r>
        <w:t>防护用品选型不当或使用不当；</w:t>
      </w:r>
    </w:p>
    <w:p>
      <w:pPr>
        <w:spacing w:before="156" w:after="156"/>
        <w:ind w:firstLine="420"/>
      </w:pPr>
      <w:r>
        <w:rPr>
          <w:rFonts w:hint="eastAsia"/>
        </w:rPr>
        <w:t>（7）</w:t>
      </w:r>
      <w:r>
        <w:t>救护不当。</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（1）</w:t>
      </w:r>
      <w:r>
        <w:t>短时间内吸入大量高浓度泄漏的物料导致浓度超标；</w:t>
      </w:r>
    </w:p>
    <w:p>
      <w:pPr>
        <w:spacing w:before="156" w:after="156"/>
        <w:ind w:firstLine="420"/>
      </w:pPr>
      <w:r>
        <w:rPr>
          <w:rFonts w:hint="eastAsia"/>
        </w:rPr>
        <w:t>（2）</w:t>
      </w:r>
      <w:r>
        <w:t>缺乏泄漏物料的危险、有害特性及其应急预防方法的知识。</w:t>
      </w:r>
    </w:p>
    <w:p>
      <w:pPr>
        <w:spacing w:before="156" w:after="156"/>
        <w:ind w:firstLine="422"/>
        <w:rPr>
          <w:b/>
          <w:bCs/>
        </w:rPr>
      </w:pPr>
      <w:r>
        <w:rPr>
          <w:rFonts w:hint="eastAsia"/>
          <w:b/>
          <w:bCs/>
        </w:rPr>
        <w:t>(</w:t>
      </w:r>
      <w:r>
        <w:rPr>
          <w:b/>
          <w:bCs/>
        </w:rPr>
        <w:t>6)</w:t>
      </w:r>
      <w:r>
        <w:rPr>
          <w:rFonts w:hint="eastAsia"/>
          <w:b/>
          <w:bCs/>
        </w:rPr>
        <w:t>措施</w:t>
      </w:r>
    </w:p>
    <w:p>
      <w:pPr>
        <w:spacing w:before="156" w:after="156"/>
        <w:ind w:firstLine="420"/>
      </w:pPr>
      <w:r>
        <w:rPr>
          <w:rFonts w:hint="eastAsia"/>
        </w:rPr>
        <w:t>（1）</w:t>
      </w:r>
      <w:r>
        <w:t>严格控制设备及其安装质量，消除泄漏的可能性，做好防渗漏、防腐措施；</w:t>
      </w:r>
    </w:p>
    <w:p>
      <w:pPr>
        <w:spacing w:before="156" w:after="156"/>
        <w:ind w:firstLine="420"/>
      </w:pPr>
      <w:r>
        <w:rPr>
          <w:rFonts w:hint="eastAsia"/>
        </w:rPr>
        <w:t>（</w:t>
      </w:r>
      <w:r>
        <w:t>2</w:t>
      </w:r>
      <w:r>
        <w:rPr>
          <w:rFonts w:hint="eastAsia"/>
        </w:rPr>
        <w:t>）</w:t>
      </w:r>
      <w:r>
        <w:t>严格控制设备及其安装质量；</w:t>
      </w:r>
    </w:p>
    <w:p>
      <w:pPr>
        <w:spacing w:before="156" w:after="156"/>
        <w:ind w:firstLine="420"/>
      </w:pPr>
      <w:r>
        <w:rPr>
          <w:rFonts w:hint="eastAsia"/>
        </w:rPr>
        <w:t>（3）</w:t>
      </w:r>
      <w:r>
        <w:t>防止罐内物料的跑、冒、滴、漏；</w:t>
      </w:r>
    </w:p>
    <w:p>
      <w:pPr>
        <w:spacing w:before="156" w:after="156"/>
        <w:ind w:firstLine="420"/>
      </w:pPr>
      <w:r>
        <w:rPr>
          <w:rFonts w:hint="eastAsia"/>
        </w:rPr>
        <w:t>（4）</w:t>
      </w:r>
      <w:r>
        <w:t>加强管理、严格工艺；做好进料罐的检测报警设施和设备防护设施；</w:t>
      </w:r>
    </w:p>
    <w:p>
      <w:pPr>
        <w:spacing w:before="156" w:after="156"/>
        <w:ind w:firstLine="420"/>
      </w:pPr>
      <w:r>
        <w:rPr>
          <w:rFonts w:hint="eastAsia"/>
        </w:rPr>
        <w:t>（5）</w:t>
      </w:r>
      <w:r>
        <w:t>安全设施保持齐全、完好；</w:t>
      </w:r>
    </w:p>
    <w:p>
      <w:pPr>
        <w:spacing w:before="156" w:after="156"/>
        <w:ind w:firstLine="420"/>
      </w:pPr>
      <w:r>
        <w:rPr>
          <w:rFonts w:hint="eastAsia"/>
        </w:rPr>
        <w:t>（6）</w:t>
      </w:r>
      <w:r>
        <w:t>漏后应采取相应措施：</w:t>
      </w:r>
      <w:r>
        <w:rPr>
          <w:rFonts w:hint="eastAsia"/>
        </w:rPr>
        <w:t>a</w:t>
      </w:r>
      <w:r>
        <w:t>.查明泄漏源点，切断相关阀门，消除泄漏源，及时报告；</w:t>
      </w:r>
      <w:r>
        <w:rPr>
          <w:rFonts w:hint="eastAsia"/>
        </w:rPr>
        <w:t>b</w:t>
      </w:r>
      <w:r>
        <w:t>.如泄漏量大，应疏散有关人员至安全处。</w:t>
      </w:r>
    </w:p>
    <w:p>
      <w:pPr>
        <w:spacing w:before="156" w:after="156"/>
        <w:ind w:firstLine="420"/>
      </w:pPr>
      <w:r>
        <w:rPr>
          <w:rFonts w:hint="eastAsia"/>
        </w:rPr>
        <w:t>（7）</w:t>
      </w:r>
      <w:r>
        <w:t>检修、维护保养，保持设备完好；检修时，彻底清洗干净并检测有毒有害物质浓度氧含量，合格后方可作业；作业时，穿戴劳动防护用品，有人监护并有抢救后备措施；</w:t>
      </w:r>
    </w:p>
    <w:p>
      <w:pPr>
        <w:spacing w:before="156" w:after="156"/>
        <w:ind w:firstLine="420"/>
      </w:pPr>
      <w:r>
        <w:rPr>
          <w:rFonts w:hint="eastAsia"/>
        </w:rPr>
        <w:t>（8）</w:t>
      </w:r>
      <w:r>
        <w:t>应急预案，抢救时勿忘正确使用防毒过滤器、氧气呼吸器及其它劳动防护用品；</w:t>
      </w:r>
    </w:p>
    <w:p>
      <w:pPr>
        <w:spacing w:before="156" w:after="156"/>
        <w:ind w:firstLine="420"/>
      </w:pPr>
      <w:r>
        <w:rPr>
          <w:rFonts w:hint="eastAsia"/>
        </w:rPr>
        <w:t>（9）</w:t>
      </w:r>
      <w:r>
        <w:t>管理措施</w:t>
      </w:r>
      <w:r>
        <w:rPr>
          <w:rFonts w:hint="eastAsia"/>
        </w:rPr>
        <w:t>：a.</w:t>
      </w:r>
      <w:r>
        <w:t>加强检查、检测有毒有害物质有否跑、冒、滴、漏；</w:t>
      </w:r>
      <w:r>
        <w:rPr>
          <w:rFonts w:hint="eastAsia"/>
        </w:rPr>
        <w:t>b</w:t>
      </w:r>
      <w:r>
        <w:t>.教育、培训职工掌握有关毒物的毒性，预防中毒、窒息的方法及其急救法，建立毒物周知卡；</w:t>
      </w:r>
      <w:r>
        <w:rPr>
          <w:rFonts w:hint="eastAsia"/>
        </w:rPr>
        <w:t>c</w:t>
      </w:r>
      <w:r>
        <w:t>.要求职工严格遵守各种规章制度、操作规程；</w:t>
      </w:r>
      <w:r>
        <w:rPr>
          <w:rFonts w:hint="eastAsia"/>
        </w:rPr>
        <w:t>d</w:t>
      </w:r>
      <w:r>
        <w:t>.设立危险、有毒、窒息性标志；</w:t>
      </w:r>
      <w:r>
        <w:rPr>
          <w:rFonts w:hint="eastAsia"/>
        </w:rPr>
        <w:t>e.</w:t>
      </w:r>
      <w:r>
        <w:t>设立急救点，配备相应的急救药品、器材；f.培训医务人员对中毒、窒息、灼烫等的急救处。</w:t>
      </w:r>
    </w:p>
    <w:p>
      <w:pPr>
        <w:pStyle w:val="5"/>
        <w:spacing w:before="156" w:after="156"/>
        <w:ind w:firstLine="560"/>
      </w:pPr>
      <w:r>
        <w:t>7.1.4.4</w:t>
      </w:r>
      <w:r>
        <w:rPr>
          <w:rFonts w:hint="eastAsia"/>
        </w:rPr>
        <w:t>灼烫、灼伤</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流入回流罐的物料都是从塔中流出换热后的含热物质，为压力设备。</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rPr>
          <w:rFonts w:hint="eastAsia"/>
        </w:rPr>
        <w:t>（</w:t>
      </w:r>
      <w:r>
        <w:t>1</w:t>
      </w:r>
      <w:r>
        <w:rPr>
          <w:rFonts w:hint="eastAsia"/>
        </w:rPr>
        <w:t>）</w:t>
      </w:r>
      <w:r>
        <w:t>导致人员灼烫伤；</w:t>
      </w:r>
    </w:p>
    <w:p>
      <w:pPr>
        <w:spacing w:before="156" w:after="156"/>
        <w:ind w:firstLine="420"/>
      </w:pPr>
      <w:r>
        <w:rPr>
          <w:rFonts w:hint="eastAsia"/>
        </w:rPr>
        <w:t>（</w:t>
      </w:r>
      <w:r>
        <w:t>2</w:t>
      </w:r>
      <w:r>
        <w:rPr>
          <w:rFonts w:hint="eastAsia"/>
        </w:rPr>
        <w:t>）</w:t>
      </w:r>
      <w:r>
        <w:t>财产受损；</w:t>
      </w:r>
    </w:p>
    <w:p>
      <w:pPr>
        <w:spacing w:before="156" w:after="156"/>
        <w:ind w:firstLine="420"/>
      </w:pPr>
      <w:r>
        <w:rPr>
          <w:rFonts w:hint="eastAsia"/>
        </w:rPr>
        <w:t>（3）</w:t>
      </w:r>
      <w:r>
        <w:t>物料跑损</w:t>
      </w:r>
      <w:r>
        <w:rPr>
          <w:rFonts w:hint="eastAsia"/>
        </w:rPr>
        <w:t>。</w:t>
      </w:r>
    </w:p>
    <w:p>
      <w:pPr>
        <w:spacing w:before="156" w:after="156"/>
        <w:ind w:firstLine="422"/>
        <w:rPr>
          <w:b/>
          <w:bCs/>
        </w:rPr>
      </w:pPr>
      <w:r>
        <w:rPr>
          <w:rFonts w:hint="eastAsia"/>
          <w:b/>
          <w:bCs/>
        </w:rPr>
        <w:t>(</w:t>
      </w:r>
      <w:r>
        <w:rPr>
          <w:b/>
          <w:bCs/>
        </w:rPr>
        <w:t>3)</w:t>
      </w:r>
      <w:r>
        <w:rPr>
          <w:rFonts w:hint="eastAsia"/>
          <w:b/>
          <w:bCs/>
        </w:rPr>
        <w:t>危险等级</w:t>
      </w:r>
    </w:p>
    <w:p>
      <w:pPr>
        <w:spacing w:before="156" w:after="156"/>
        <w:ind w:firstLine="420"/>
      </w:pPr>
      <w:r>
        <w:t>II级临界</w:t>
      </w:r>
      <w:r>
        <w:rPr>
          <w:rFonts w:hint="eastAsia"/>
        </w:rPr>
        <w:t>。</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rPr>
          <w:rFonts w:hint="eastAsia"/>
        </w:rPr>
        <w:t>（1）</w:t>
      </w:r>
      <w:r>
        <w:t>回流罐内的物料泄漏、或与塔相接的再沸器内的蒸汽泄漏；</w:t>
      </w:r>
    </w:p>
    <w:p>
      <w:pPr>
        <w:spacing w:before="156" w:after="156"/>
        <w:ind w:firstLine="420"/>
      </w:pPr>
      <w:r>
        <w:rPr>
          <w:rFonts w:hint="eastAsia"/>
        </w:rPr>
        <w:t>（2）</w:t>
      </w:r>
      <w:r>
        <w:t>操作、检修人员在工作中无意中触及回流罐表面或管道表面。</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（1）</w:t>
      </w:r>
      <w:r>
        <w:t>触及回流罐或相连管道表面；</w:t>
      </w:r>
    </w:p>
    <w:p>
      <w:pPr>
        <w:spacing w:before="156" w:after="156"/>
        <w:ind w:firstLine="420"/>
      </w:pPr>
      <w:r>
        <w:rPr>
          <w:rFonts w:hint="eastAsia"/>
        </w:rPr>
        <w:t>（2）</w:t>
      </w:r>
      <w:r>
        <w:t>回流罐内含热物料泄漏，与人体接触。</w:t>
      </w:r>
    </w:p>
    <w:p>
      <w:pPr>
        <w:spacing w:before="156" w:after="156"/>
        <w:ind w:firstLine="422"/>
        <w:rPr>
          <w:b/>
          <w:bCs/>
        </w:rPr>
      </w:pPr>
      <w:r>
        <w:rPr>
          <w:rFonts w:hint="eastAsia"/>
          <w:b/>
          <w:bCs/>
        </w:rPr>
        <w:t>(</w:t>
      </w:r>
      <w:r>
        <w:rPr>
          <w:b/>
          <w:bCs/>
        </w:rPr>
        <w:t>6)</w:t>
      </w:r>
      <w:r>
        <w:rPr>
          <w:rFonts w:hint="eastAsia"/>
          <w:b/>
          <w:bCs/>
        </w:rPr>
        <w:t>措施</w:t>
      </w:r>
    </w:p>
    <w:p>
      <w:pPr>
        <w:spacing w:before="156" w:after="156"/>
        <w:ind w:firstLine="420"/>
      </w:pPr>
      <w:r>
        <w:rPr>
          <w:rFonts w:hint="eastAsia"/>
        </w:rPr>
        <w:t>（1）</w:t>
      </w:r>
      <w:r>
        <w:t>对回流罐和管道进行防腐、防渗漏措施设置；</w:t>
      </w:r>
    </w:p>
    <w:p>
      <w:pPr>
        <w:spacing w:before="156" w:after="156"/>
        <w:ind w:firstLine="420"/>
      </w:pPr>
      <w:r>
        <w:rPr>
          <w:rFonts w:hint="eastAsia"/>
        </w:rPr>
        <w:t>（2）</w:t>
      </w:r>
      <w:r>
        <w:t>合理选用防腐材料，保证焊缝质量及连接密封性；</w:t>
      </w:r>
    </w:p>
    <w:p>
      <w:pPr>
        <w:spacing w:before="156" w:after="156"/>
        <w:ind w:firstLine="420"/>
      </w:pPr>
      <w:r>
        <w:rPr>
          <w:rFonts w:hint="eastAsia"/>
        </w:rPr>
        <w:t>（3）</w:t>
      </w:r>
      <w:r>
        <w:t>定期检查跑、冒、滴、漏，保持罐、管阀完好，保护保温层完好无缺；</w:t>
      </w:r>
    </w:p>
    <w:p>
      <w:pPr>
        <w:spacing w:before="156" w:after="156"/>
        <w:ind w:firstLine="420"/>
      </w:pPr>
      <w:r>
        <w:rPr>
          <w:rFonts w:hint="eastAsia"/>
        </w:rPr>
        <w:t>（4）</w:t>
      </w:r>
      <w:r>
        <w:t>检查、检修设备，必须先清洗干净并作隔离，且检测合格；</w:t>
      </w:r>
    </w:p>
    <w:p>
      <w:pPr>
        <w:spacing w:before="156" w:after="156"/>
        <w:ind w:firstLine="420"/>
      </w:pPr>
      <w:r>
        <w:rPr>
          <w:rFonts w:hint="eastAsia"/>
        </w:rPr>
        <w:t>（5）</w:t>
      </w:r>
      <w:r>
        <w:t>加强对操作人员有关化学品和高温物料灼烫伤预防知识和应急处理方法的培训和教育；</w:t>
      </w:r>
    </w:p>
    <w:p>
      <w:pPr>
        <w:spacing w:before="156" w:after="156"/>
        <w:ind w:firstLine="420"/>
      </w:pPr>
      <w:r>
        <w:rPr>
          <w:rFonts w:hint="eastAsia"/>
        </w:rPr>
        <w:t>（6）</w:t>
      </w:r>
      <w:r>
        <w:t>在回流罐相连的可能泄漏的法兰、泵、阀门等处装防喷射设施；</w:t>
      </w:r>
    </w:p>
    <w:p>
      <w:pPr>
        <w:spacing w:before="156" w:after="156"/>
        <w:ind w:firstLine="420"/>
      </w:pPr>
      <w:r>
        <w:rPr>
          <w:rFonts w:hint="eastAsia"/>
        </w:rPr>
        <w:t>（7）</w:t>
      </w:r>
      <w:r>
        <w:t>设立救护点，并配备器材和物品，如洗眼器等；</w:t>
      </w:r>
    </w:p>
    <w:p>
      <w:pPr>
        <w:spacing w:before="156" w:after="156"/>
        <w:ind w:firstLine="420"/>
      </w:pPr>
      <w:r>
        <w:rPr>
          <w:rFonts w:hint="eastAsia"/>
        </w:rPr>
        <w:t>（8）</w:t>
      </w:r>
      <w:r>
        <w:t>设立警示标志。</w:t>
      </w:r>
    </w:p>
    <w:p>
      <w:pPr>
        <w:pStyle w:val="5"/>
        <w:spacing w:before="156" w:after="156"/>
        <w:ind w:firstLine="560"/>
      </w:pPr>
      <w:r>
        <w:t>7.1.4.5</w:t>
      </w:r>
      <w:r>
        <w:rPr>
          <w:rFonts w:hint="eastAsia"/>
        </w:rPr>
        <w:t>高处坠落</w:t>
      </w:r>
    </w:p>
    <w:p>
      <w:pPr>
        <w:spacing w:before="156" w:after="156"/>
        <w:ind w:firstLine="422"/>
        <w:rPr>
          <w:b/>
          <w:bCs/>
        </w:rPr>
      </w:pPr>
      <w:r>
        <w:rPr>
          <w:rFonts w:hint="eastAsia"/>
          <w:b/>
          <w:bCs/>
        </w:rPr>
        <w:t>(</w:t>
      </w:r>
      <w:r>
        <w:rPr>
          <w:b/>
          <w:bCs/>
        </w:rPr>
        <w:t>1)</w:t>
      </w:r>
      <w:r>
        <w:rPr>
          <w:rFonts w:hint="eastAsia"/>
          <w:b/>
          <w:bCs/>
        </w:rPr>
        <w:t>危险因素</w:t>
      </w:r>
    </w:p>
    <w:p>
      <w:pPr>
        <w:spacing w:before="156" w:after="156"/>
        <w:ind w:firstLine="420"/>
      </w:pPr>
      <w:r>
        <w:t>对回流罐塔进行登高架式、检查、检修等作业</w:t>
      </w:r>
      <w:r>
        <w:rPr>
          <w:rFonts w:hint="eastAsia"/>
        </w:rPr>
        <w:t>。</w:t>
      </w:r>
    </w:p>
    <w:p>
      <w:pPr>
        <w:spacing w:before="156" w:after="156"/>
        <w:ind w:firstLine="422"/>
        <w:rPr>
          <w:b/>
          <w:bCs/>
        </w:rPr>
      </w:pPr>
      <w:r>
        <w:rPr>
          <w:rFonts w:hint="eastAsia"/>
          <w:b/>
          <w:bCs/>
        </w:rPr>
        <w:t>(</w:t>
      </w:r>
      <w:r>
        <w:rPr>
          <w:b/>
          <w:bCs/>
        </w:rPr>
        <w:t>2)</w:t>
      </w:r>
      <w:r>
        <w:rPr>
          <w:rFonts w:hint="eastAsia"/>
          <w:b/>
          <w:bCs/>
        </w:rPr>
        <w:t>影响事故后果</w:t>
      </w:r>
    </w:p>
    <w:p>
      <w:pPr>
        <w:spacing w:before="156" w:after="156"/>
        <w:ind w:firstLine="420"/>
      </w:pPr>
      <w:r>
        <w:t>人员伤亡</w:t>
      </w:r>
      <w:r>
        <w:rPr>
          <w:rFonts w:hint="eastAsia"/>
        </w:rPr>
        <w:t>。</w:t>
      </w:r>
    </w:p>
    <w:p>
      <w:pPr>
        <w:spacing w:before="156" w:after="156"/>
        <w:ind w:firstLine="422"/>
        <w:rPr>
          <w:b/>
          <w:bCs/>
        </w:rPr>
      </w:pPr>
      <w:r>
        <w:rPr>
          <w:rFonts w:hint="eastAsia"/>
          <w:b/>
          <w:bCs/>
        </w:rPr>
        <w:t>(</w:t>
      </w:r>
      <w:r>
        <w:rPr>
          <w:b/>
          <w:bCs/>
        </w:rPr>
        <w:t>3)</w:t>
      </w:r>
      <w:r>
        <w:rPr>
          <w:rFonts w:hint="eastAsia"/>
          <w:b/>
          <w:bCs/>
        </w:rPr>
        <w:t>危险等级</w:t>
      </w:r>
    </w:p>
    <w:p>
      <w:pPr>
        <w:spacing w:before="156" w:after="156"/>
        <w:ind w:firstLine="420"/>
      </w:pPr>
      <w:r>
        <w:rPr>
          <w:rFonts w:hint="eastAsia"/>
        </w:rPr>
        <w:t>Ⅲ</w:t>
      </w:r>
      <w:r>
        <w:t>级严重</w:t>
      </w:r>
      <w:r>
        <w:rPr>
          <w:rFonts w:hint="eastAsia"/>
        </w:rPr>
        <w:t>。</w:t>
      </w:r>
    </w:p>
    <w:p>
      <w:pPr>
        <w:spacing w:before="156" w:after="156"/>
        <w:ind w:firstLine="422"/>
        <w:rPr>
          <w:b/>
          <w:bCs/>
        </w:rPr>
      </w:pPr>
      <w:r>
        <w:rPr>
          <w:rFonts w:hint="eastAsia"/>
          <w:b/>
          <w:bCs/>
        </w:rPr>
        <w:t>(</w:t>
      </w:r>
      <w:r>
        <w:rPr>
          <w:b/>
          <w:bCs/>
        </w:rPr>
        <w:t>4)</w:t>
      </w:r>
      <w:r>
        <w:rPr>
          <w:rFonts w:hint="eastAsia"/>
          <w:b/>
          <w:bCs/>
        </w:rPr>
        <w:t>触发条件</w:t>
      </w:r>
    </w:p>
    <w:p>
      <w:pPr>
        <w:spacing w:before="156" w:after="156"/>
        <w:ind w:firstLine="420"/>
      </w:pPr>
      <w:r>
        <w:rPr>
          <w:rFonts w:hint="eastAsia"/>
        </w:rPr>
        <w:t>（1）</w:t>
      </w:r>
      <w:r>
        <w:t>回流罐罐内检修时临边无栏，无脚手架、板，不小心造成坠落；</w:t>
      </w:r>
    </w:p>
    <w:p>
      <w:pPr>
        <w:spacing w:before="156" w:after="156"/>
        <w:ind w:firstLine="420"/>
      </w:pPr>
      <w:r>
        <w:rPr>
          <w:rFonts w:hint="eastAsia"/>
        </w:rPr>
        <w:t>（</w:t>
      </w:r>
      <w:r>
        <w:t>2）梯子无防滑措施，或强度不够、固定不牢造成跌落；</w:t>
      </w:r>
    </w:p>
    <w:p>
      <w:pPr>
        <w:spacing w:before="156" w:after="156"/>
        <w:ind w:firstLine="420"/>
      </w:pPr>
      <w:r>
        <w:rPr>
          <w:rFonts w:hint="eastAsia"/>
        </w:rPr>
        <w:t>（3</w:t>
      </w:r>
      <w:r>
        <w:t>）回流罐扶梯、管线架桥及护栏等锈蚀，或强度不够造成坠落；</w:t>
      </w:r>
    </w:p>
    <w:p>
      <w:pPr>
        <w:spacing w:before="156" w:after="156"/>
        <w:ind w:firstLine="420"/>
      </w:pPr>
      <w:r>
        <w:rPr>
          <w:rFonts w:hint="eastAsia"/>
        </w:rPr>
        <w:t>（4</w:t>
      </w:r>
      <w:r>
        <w:t>）检修人员未穿防滑鞋或防护用品穿戴不当，造成滑跌坠落；</w:t>
      </w:r>
    </w:p>
    <w:p>
      <w:pPr>
        <w:spacing w:before="156" w:after="156"/>
        <w:ind w:firstLine="420"/>
      </w:pPr>
      <w:r>
        <w:rPr>
          <w:rFonts w:hint="eastAsia"/>
        </w:rPr>
        <w:t>（5</w:t>
      </w:r>
      <w:r>
        <w:t>）在大风、暴雨、雷电、霜冻、积雪条件下登高作业，不慎跌落；</w:t>
      </w:r>
    </w:p>
    <w:p>
      <w:pPr>
        <w:spacing w:before="156" w:after="156"/>
        <w:ind w:firstLine="420"/>
      </w:pPr>
      <w:r>
        <w:rPr>
          <w:rFonts w:hint="eastAsia"/>
        </w:rPr>
        <w:t>（6</w:t>
      </w:r>
      <w:r>
        <w:t>）吸入回流罐内未排尽的液化石油气馏分或氧气不足、身体不适造成跌落；</w:t>
      </w:r>
    </w:p>
    <w:p>
      <w:pPr>
        <w:spacing w:before="156" w:after="156"/>
        <w:ind w:firstLine="420"/>
      </w:pPr>
      <w:r>
        <w:rPr>
          <w:rFonts w:hint="eastAsia"/>
        </w:rPr>
        <w:t>（7</w:t>
      </w:r>
      <w:r>
        <w:t>）检修人员作业时嬉戏打闹。</w:t>
      </w:r>
    </w:p>
    <w:p>
      <w:pPr>
        <w:spacing w:before="156" w:after="156"/>
        <w:ind w:firstLine="420"/>
      </w:pPr>
      <w:r>
        <w:rPr>
          <w:rFonts w:hint="eastAsia"/>
        </w:rPr>
        <w:t>（8</w:t>
      </w:r>
      <w:r>
        <w:t>）无脚手架和防规范措施，踩空或支撑物倒塌；</w:t>
      </w:r>
    </w:p>
    <w:p>
      <w:pPr>
        <w:spacing w:before="156" w:after="156"/>
        <w:ind w:firstLine="420"/>
      </w:pPr>
      <w:r>
        <w:rPr>
          <w:rFonts w:hint="eastAsia"/>
        </w:rPr>
        <w:t>（9</w:t>
      </w:r>
      <w:r>
        <w:t>）操作人员未系安全带或安全带挂结不可靠；</w:t>
      </w:r>
    </w:p>
    <w:p>
      <w:pPr>
        <w:spacing w:before="156" w:after="156"/>
        <w:ind w:firstLine="420"/>
      </w:pPr>
      <w:r>
        <w:rPr>
          <w:rFonts w:hint="eastAsia"/>
        </w:rPr>
        <w:t>（10</w:t>
      </w:r>
      <w:r>
        <w:t>）违反</w:t>
      </w:r>
      <w:r>
        <w:rPr>
          <w:rFonts w:hint="eastAsia"/>
        </w:rPr>
        <w:t>“</w:t>
      </w:r>
      <w:r>
        <w:t>十不登高</w:t>
      </w:r>
      <w:r>
        <w:rPr>
          <w:rFonts w:hint="eastAsia"/>
        </w:rPr>
        <w:t>”</w:t>
      </w:r>
      <w:r>
        <w:t>规定；</w:t>
      </w:r>
    </w:p>
    <w:p>
      <w:pPr>
        <w:spacing w:before="156" w:after="156"/>
        <w:ind w:firstLine="420"/>
      </w:pPr>
      <w:r>
        <w:rPr>
          <w:rFonts w:hint="eastAsia"/>
        </w:rPr>
        <w:t>（1</w:t>
      </w:r>
      <w:r>
        <w:t>1</w:t>
      </w:r>
      <w:r>
        <w:rPr>
          <w:rFonts w:hint="eastAsia"/>
        </w:rPr>
        <w:t>）</w:t>
      </w:r>
      <w:r>
        <w:t>操作人员未穿防滑鞋、紧身工作服，违章作业、违章指挥、违反劳动纪律。</w:t>
      </w:r>
    </w:p>
    <w:p>
      <w:pPr>
        <w:spacing w:before="156" w:after="156"/>
        <w:ind w:firstLine="422"/>
        <w:rPr>
          <w:b/>
          <w:bCs/>
        </w:rPr>
      </w:pPr>
      <w:r>
        <w:rPr>
          <w:rFonts w:hint="eastAsia"/>
          <w:b/>
          <w:bCs/>
        </w:rPr>
        <w:t>(</w:t>
      </w:r>
      <w:r>
        <w:rPr>
          <w:b/>
          <w:bCs/>
        </w:rPr>
        <w:t>5)</w:t>
      </w:r>
      <w:r>
        <w:rPr>
          <w:rFonts w:hint="eastAsia"/>
          <w:b/>
          <w:bCs/>
        </w:rPr>
        <w:t>发生条件</w:t>
      </w:r>
    </w:p>
    <w:p>
      <w:pPr>
        <w:spacing w:before="156" w:after="156"/>
        <w:ind w:firstLine="420"/>
      </w:pPr>
      <w:r>
        <w:rPr>
          <w:rFonts w:hint="eastAsia"/>
        </w:rPr>
        <w:t>（1）</w:t>
      </w:r>
      <w:r>
        <w:t>2m以上（含2m）高处作业；</w:t>
      </w:r>
    </w:p>
    <w:p>
      <w:pPr>
        <w:spacing w:before="156" w:after="156"/>
        <w:ind w:firstLine="420"/>
      </w:pPr>
      <w:r>
        <w:rPr>
          <w:rFonts w:hint="eastAsia"/>
        </w:rPr>
        <w:t>（2）</w:t>
      </w:r>
      <w:r>
        <w:t>作业面下是硬质地面。</w:t>
      </w:r>
    </w:p>
    <w:p>
      <w:pPr>
        <w:spacing w:before="156" w:after="156"/>
        <w:ind w:firstLine="422"/>
        <w:rPr>
          <w:b/>
          <w:bCs/>
        </w:rPr>
      </w:pPr>
      <w:r>
        <w:rPr>
          <w:rFonts w:hint="eastAsia"/>
          <w:b/>
          <w:bCs/>
        </w:rPr>
        <w:t>(</w:t>
      </w:r>
      <w:r>
        <w:rPr>
          <w:b/>
          <w:bCs/>
        </w:rPr>
        <w:t>6)</w:t>
      </w:r>
      <w:r>
        <w:rPr>
          <w:rFonts w:hint="eastAsia"/>
          <w:b/>
          <w:bCs/>
        </w:rPr>
        <w:t>措施</w:t>
      </w:r>
    </w:p>
    <w:p>
      <w:pPr>
        <w:spacing w:before="156" w:after="156"/>
        <w:ind w:firstLine="420"/>
      </w:pPr>
      <w:r>
        <w:rPr>
          <w:rFonts w:hint="eastAsia"/>
        </w:rPr>
        <w:t>（</w:t>
      </w:r>
      <w:r>
        <w:t>1）登高作业人员必须在身心健康状态下登高作业，必须严格执行</w:t>
      </w:r>
      <w:r>
        <w:rPr>
          <w:rFonts w:hint="eastAsia"/>
        </w:rPr>
        <w:t>“</w:t>
      </w:r>
      <w:r>
        <w:t>十不登</w:t>
      </w:r>
    </w:p>
    <w:p>
      <w:pPr>
        <w:spacing w:before="156" w:after="156"/>
        <w:ind w:firstLine="420"/>
      </w:pPr>
      <w:r>
        <w:t>高</w:t>
      </w:r>
      <w:r>
        <w:rPr>
          <w:rFonts w:hint="eastAsia"/>
        </w:rPr>
        <w:t>”</w:t>
      </w:r>
    </w:p>
    <w:p>
      <w:pPr>
        <w:spacing w:before="156" w:after="156"/>
        <w:ind w:firstLine="420"/>
      </w:pPr>
      <w:r>
        <w:rPr>
          <w:rFonts w:hint="eastAsia"/>
        </w:rPr>
        <w:t>（</w:t>
      </w:r>
      <w:r>
        <w:t>2）登高作业人员必须穿戴防滑鞋、紧身工作服、安全帽，系好安全带；</w:t>
      </w:r>
    </w:p>
    <w:p>
      <w:pPr>
        <w:spacing w:before="156" w:after="156"/>
        <w:ind w:firstLine="420"/>
      </w:pPr>
      <w:r>
        <w:rPr>
          <w:rFonts w:hint="eastAsia"/>
        </w:rPr>
        <w:t>（</w:t>
      </w:r>
      <w:r>
        <w:t>3）事先搭设脚手架等安全设施；</w:t>
      </w:r>
    </w:p>
    <w:p>
      <w:pPr>
        <w:spacing w:before="156" w:after="156"/>
        <w:ind w:firstLine="420"/>
      </w:pPr>
      <w:r>
        <w:rPr>
          <w:rFonts w:hint="eastAsia"/>
        </w:rPr>
        <w:t>（</w:t>
      </w:r>
      <w:r>
        <w:t>4）在回流罐等高处作业顶设防护栏杆、安全网；</w:t>
      </w:r>
    </w:p>
    <w:p>
      <w:pPr>
        <w:spacing w:before="156" w:after="156"/>
        <w:ind w:firstLine="420"/>
      </w:pPr>
      <w:r>
        <w:rPr>
          <w:rFonts w:hint="eastAsia"/>
        </w:rPr>
        <w:t>（</w:t>
      </w:r>
      <w:r>
        <w:t>5）进回流罐工作时要检测毒物深度氧含量，并有现场监护；</w:t>
      </w:r>
    </w:p>
    <w:p>
      <w:pPr>
        <w:spacing w:before="156" w:after="156"/>
        <w:ind w:firstLine="420"/>
      </w:pPr>
      <w:r>
        <w:rPr>
          <w:rFonts w:hint="eastAsia"/>
        </w:rPr>
        <w:t>（</w:t>
      </w:r>
      <w:r>
        <w:t>6）上下层交叉作业顶搭设严密牢固之中间隔板、罩棚作隔离；</w:t>
      </w:r>
    </w:p>
    <w:p>
      <w:pPr>
        <w:spacing w:before="156" w:after="156"/>
        <w:ind w:firstLine="420"/>
      </w:pPr>
      <w:r>
        <w:rPr>
          <w:rFonts w:hint="eastAsia"/>
        </w:rPr>
        <w:t>（</w:t>
      </w:r>
      <w:r>
        <w:t>7）临边、洞口要做到</w:t>
      </w:r>
      <w:r>
        <w:rPr>
          <w:rFonts w:hint="eastAsia"/>
        </w:rPr>
        <w:t>“</w:t>
      </w:r>
      <w:r>
        <w:t>有洞必有盖</w:t>
      </w:r>
      <w:r>
        <w:rPr>
          <w:rFonts w:hint="eastAsia"/>
        </w:rPr>
        <w:t>”“</w:t>
      </w:r>
      <w:r>
        <w:t>有边必有栏</w:t>
      </w:r>
      <w:r>
        <w:rPr>
          <w:rFonts w:hint="eastAsia"/>
        </w:rPr>
        <w:t>”</w:t>
      </w:r>
      <w:r>
        <w:t>以防坠落；</w:t>
      </w:r>
    </w:p>
    <w:p>
      <w:pPr>
        <w:spacing w:before="156" w:after="156"/>
        <w:ind w:firstLine="420"/>
      </w:pPr>
      <w:r>
        <w:rPr>
          <w:rFonts w:hint="eastAsia"/>
        </w:rPr>
        <w:t>（</w:t>
      </w:r>
      <w:r>
        <w:t>8）安全带安全网、栏杆、护墙、平台要定期检查确保完好；</w:t>
      </w:r>
    </w:p>
    <w:p>
      <w:pPr>
        <w:spacing w:before="156" w:after="156"/>
        <w:ind w:firstLine="420"/>
      </w:pPr>
      <w:r>
        <w:rPr>
          <w:rFonts w:hint="eastAsia"/>
        </w:rPr>
        <w:t>（</w:t>
      </w:r>
      <w:r>
        <w:t>9）六级以上大风、暴雨、雷电、霜冻、大雾、积雪等恶劣气候条件下尽可能避免高处作业；</w:t>
      </w:r>
    </w:p>
    <w:p>
      <w:pPr>
        <w:spacing w:before="156" w:after="156"/>
        <w:ind w:firstLine="420"/>
      </w:pPr>
      <w:r>
        <w:rPr>
          <w:rFonts w:hint="eastAsia"/>
        </w:rPr>
        <w:t>（</w:t>
      </w:r>
      <w:r>
        <w:t>10）可以在地面做的作业，尽量不要安排在高处做，即“尽可能高处作业平地做”；</w:t>
      </w:r>
    </w:p>
    <w:p>
      <w:pPr>
        <w:spacing w:before="156" w:after="156"/>
        <w:ind w:firstLine="420"/>
      </w:pPr>
      <w:r>
        <w:rPr>
          <w:rFonts w:hint="eastAsia"/>
        </w:rPr>
        <w:t>（</w:t>
      </w:r>
      <w:r>
        <w:t>11）加强对登高作业人员的安全教育、培训、考核工作；</w:t>
      </w:r>
    </w:p>
    <w:p>
      <w:pPr>
        <w:spacing w:before="156" w:after="156"/>
        <w:ind w:firstLine="420"/>
      </w:pPr>
      <w:r>
        <w:rPr>
          <w:rFonts w:hint="eastAsia"/>
        </w:rPr>
        <w:t>（1</w:t>
      </w:r>
      <w:r>
        <w:t>2</w:t>
      </w:r>
      <w:r>
        <w:rPr>
          <w:rFonts w:hint="eastAsia"/>
        </w:rPr>
        <w:t>）</w:t>
      </w:r>
      <w:r>
        <w:t>坚决杜绝登高作业中的“三违”。</w:t>
      </w:r>
    </w:p>
    <w:p>
      <w:pPr>
        <w:pStyle w:val="3"/>
        <w:spacing w:before="156" w:after="156"/>
        <w:ind w:firstLine="562"/>
      </w:pPr>
      <w:bookmarkStart w:id="195" w:name="_Toc108206552"/>
      <w:bookmarkStart w:id="196" w:name="_Toc141203961"/>
      <w:r>
        <w:rPr>
          <w:rFonts w:hint="eastAsia"/>
        </w:rPr>
        <w:t>7</w:t>
      </w:r>
      <w:r>
        <w:t xml:space="preserve">.2 </w:t>
      </w:r>
      <w:r>
        <w:rPr>
          <w:rFonts w:hint="eastAsia"/>
        </w:rPr>
        <w:t>危险度评价</w:t>
      </w:r>
      <w:bookmarkEnd w:id="195"/>
      <w:bookmarkEnd w:id="196"/>
    </w:p>
    <w:p>
      <w:pPr>
        <w:spacing w:before="156" w:after="156"/>
        <w:ind w:firstLine="420"/>
      </w:pPr>
      <w:r>
        <w:t>借鉴日本劳动省“六阶段法”的定量评价表，结合我国《石油化工企业设计防火规范》（GB50160</w:t>
      </w:r>
      <w:r>
        <w:rPr>
          <w:rFonts w:hint="eastAsia"/>
        </w:rPr>
        <w:t>-2008）</w:t>
      </w:r>
      <w:r>
        <w:t>等有关标准、规程、编制了危险度评价取值表。规定单元危险度由物质、容器、温度、压力和操作5个项目共同确定。其危险度分别按A=10分；B＝5分；C＝2分；D＝0分赋值计分，由累计分值确定单元危险度。危险度评价取值见表7-1。危险度分级表见表7-2</w:t>
      </w:r>
      <w:r>
        <w:rPr>
          <w:rFonts w:hint="eastAsia"/>
        </w:rPr>
        <w:t>。</w:t>
      </w:r>
    </w:p>
    <w:p>
      <w:pPr>
        <w:widowControl/>
        <w:spacing w:before="156" w:after="156" w:line="240" w:lineRule="auto"/>
        <w:ind w:firstLine="0" w:firstLineChars="0"/>
        <w:rPr>
          <w:rFonts w:eastAsia="仿宋"/>
          <w:b/>
          <w:sz w:val="22"/>
        </w:rPr>
      </w:pPr>
      <w:r>
        <w:br w:type="page"/>
      </w:r>
    </w:p>
    <w:p>
      <w:pPr>
        <w:pStyle w:val="39"/>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7</w:t>
      </w:r>
      <w:r>
        <w:rPr>
          <w:rFonts w:hint="eastAsia" w:ascii="宋体" w:hAnsi="宋体" w:eastAsia="宋体"/>
          <w:sz w:val="18"/>
          <w:szCs w:val="18"/>
        </w:rPr>
        <w:t>-1 危险度</w:t>
      </w:r>
      <w:r>
        <w:rPr>
          <w:rFonts w:ascii="宋体" w:hAnsi="宋体" w:eastAsia="宋体"/>
          <w:sz w:val="18"/>
          <w:szCs w:val="18"/>
        </w:rPr>
        <w:t>评价取值</w:t>
      </w:r>
    </w:p>
    <w:tbl>
      <w:tblPr>
        <w:tblStyle w:val="44"/>
        <w:tblW w:w="10768"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659"/>
        <w:gridCol w:w="2305"/>
        <w:gridCol w:w="2410"/>
        <w:gridCol w:w="2552"/>
        <w:gridCol w:w="1842"/>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vMerge w:val="restar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项目</w:t>
            </w:r>
          </w:p>
        </w:tc>
        <w:tc>
          <w:tcPr>
            <w:tcW w:w="9109" w:type="dxa"/>
            <w:gridSpan w:val="4"/>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分值</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vMerge w:val="continue"/>
            <w:shd w:val="clear" w:color="auto" w:fill="D9E2F3" w:themeFill="accent1" w:themeFillTint="33"/>
            <w:vAlign w:val="center"/>
          </w:tcPr>
          <w:p>
            <w:pPr>
              <w:pStyle w:val="37"/>
              <w:spacing w:line="240" w:lineRule="auto"/>
              <w:rPr>
                <w:b w:val="0"/>
                <w:bCs w:val="0"/>
              </w:rPr>
            </w:pPr>
          </w:p>
        </w:tc>
        <w:tc>
          <w:tcPr>
            <w:tcW w:w="2305" w:type="dxa"/>
            <w:shd w:val="clear" w:color="auto" w:fill="D9E2F3" w:themeFill="accent1" w:themeFillTint="33"/>
            <w:vAlign w:val="center"/>
          </w:tcPr>
          <w:p>
            <w:pPr>
              <w:pStyle w:val="37"/>
              <w:spacing w:line="240" w:lineRule="auto"/>
            </w:pPr>
            <w:r>
              <w:rPr>
                <w:rFonts w:hint="eastAsia"/>
              </w:rPr>
              <w:t>A（10分）</w:t>
            </w:r>
          </w:p>
        </w:tc>
        <w:tc>
          <w:tcPr>
            <w:tcW w:w="2410" w:type="dxa"/>
            <w:shd w:val="clear" w:color="auto" w:fill="D9E2F3" w:themeFill="accent1" w:themeFillTint="33"/>
            <w:vAlign w:val="center"/>
          </w:tcPr>
          <w:p>
            <w:pPr>
              <w:pStyle w:val="37"/>
              <w:spacing w:line="240" w:lineRule="auto"/>
            </w:pPr>
            <w:r>
              <w:rPr>
                <w:rFonts w:hint="eastAsia"/>
              </w:rPr>
              <w:t>B（5分）</w:t>
            </w:r>
          </w:p>
        </w:tc>
        <w:tc>
          <w:tcPr>
            <w:tcW w:w="2552" w:type="dxa"/>
            <w:shd w:val="clear" w:color="auto" w:fill="D9E2F3" w:themeFill="accent1" w:themeFillTint="33"/>
            <w:vAlign w:val="center"/>
          </w:tcPr>
          <w:p>
            <w:pPr>
              <w:pStyle w:val="37"/>
              <w:spacing w:line="240" w:lineRule="auto"/>
            </w:pPr>
            <w:r>
              <w:rPr>
                <w:rFonts w:hint="eastAsia"/>
              </w:rPr>
              <w:t>C（2分）</w:t>
            </w:r>
          </w:p>
        </w:tc>
        <w:tc>
          <w:tcPr>
            <w:tcW w:w="1842" w:type="dxa"/>
            <w:shd w:val="clear" w:color="auto" w:fill="D9E2F3" w:themeFill="accent1" w:themeFillTint="33"/>
            <w:vAlign w:val="center"/>
          </w:tcPr>
          <w:p>
            <w:pPr>
              <w:pStyle w:val="37"/>
              <w:spacing w:line="240" w:lineRule="auto"/>
            </w:pPr>
            <w:r>
              <w:rPr>
                <w:rFonts w:hint="eastAsia"/>
              </w:rPr>
              <w:t>D（0分）</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vAlign w:val="center"/>
          </w:tcPr>
          <w:p>
            <w:pPr>
              <w:pStyle w:val="37"/>
              <w:spacing w:line="240" w:lineRule="auto"/>
              <w:rPr>
                <w:b w:val="0"/>
                <w:bCs/>
              </w:rPr>
            </w:pPr>
            <w:r>
              <w:rPr>
                <w:rFonts w:hint="eastAsia"/>
                <w:b/>
                <w:bCs w:val="0"/>
              </w:rPr>
              <w:t>物质（单元中</w:t>
            </w:r>
            <w:r>
              <w:rPr>
                <w:b/>
                <w:bCs w:val="0"/>
              </w:rPr>
              <w:t>危险、有害程度最大</w:t>
            </w:r>
            <w:r>
              <w:rPr>
                <w:rFonts w:hint="eastAsia"/>
                <w:b/>
                <w:bCs w:val="0"/>
              </w:rPr>
              <w:t>之</w:t>
            </w:r>
            <w:r>
              <w:rPr>
                <w:b/>
                <w:bCs w:val="0"/>
              </w:rPr>
              <w:t>物质</w:t>
            </w:r>
            <w:r>
              <w:rPr>
                <w:rFonts w:hint="eastAsia"/>
                <w:b/>
                <w:bCs w:val="0"/>
              </w:rPr>
              <w:t>）</w:t>
            </w:r>
          </w:p>
        </w:tc>
        <w:tc>
          <w:tcPr>
            <w:tcW w:w="2305" w:type="dxa"/>
            <w:vAlign w:val="center"/>
          </w:tcPr>
          <w:p>
            <w:pPr>
              <w:pStyle w:val="37"/>
              <w:spacing w:line="240" w:lineRule="auto"/>
              <w:rPr>
                <w:rFonts w:cs="Times New Roman"/>
              </w:rPr>
            </w:pPr>
            <w:r>
              <w:rPr>
                <w:rFonts w:cs="Times New Roman"/>
              </w:rPr>
              <w:t>（1）甲类可燃气体；（2）甲A类物质及液态烃类；</w:t>
            </w:r>
          </w:p>
          <w:p>
            <w:pPr>
              <w:pStyle w:val="37"/>
              <w:spacing w:line="240" w:lineRule="auto"/>
              <w:rPr>
                <w:rFonts w:cs="Times New Roman"/>
              </w:rPr>
            </w:pPr>
            <w:r>
              <w:rPr>
                <w:rFonts w:cs="Times New Roman"/>
              </w:rPr>
              <w:t>（3）甲类固体；</w:t>
            </w:r>
          </w:p>
          <w:p>
            <w:pPr>
              <w:pStyle w:val="37"/>
              <w:spacing w:line="240" w:lineRule="auto"/>
            </w:pPr>
            <w:r>
              <w:rPr>
                <w:rFonts w:cs="Times New Roman"/>
              </w:rPr>
              <w:t>（4）极度危害介质。</w:t>
            </w:r>
          </w:p>
        </w:tc>
        <w:tc>
          <w:tcPr>
            <w:tcW w:w="2410" w:type="dxa"/>
            <w:vAlign w:val="center"/>
          </w:tcPr>
          <w:p>
            <w:pPr>
              <w:pStyle w:val="37"/>
              <w:spacing w:line="240" w:lineRule="auto"/>
              <w:rPr>
                <w:rFonts w:cs="Times New Roman"/>
              </w:rPr>
            </w:pPr>
            <w:r>
              <w:rPr>
                <w:rFonts w:cs="Times New Roman"/>
              </w:rPr>
              <w:t>（1）乙类可燃气体；</w:t>
            </w:r>
          </w:p>
          <w:p>
            <w:pPr>
              <w:pStyle w:val="37"/>
              <w:spacing w:line="240" w:lineRule="auto"/>
              <w:rPr>
                <w:rFonts w:cs="Times New Roman"/>
              </w:rPr>
            </w:pPr>
            <w:r>
              <w:rPr>
                <w:rFonts w:cs="Times New Roman"/>
              </w:rPr>
              <w:t>（2）甲B、乙A类可燃液体；</w:t>
            </w:r>
          </w:p>
          <w:p>
            <w:pPr>
              <w:pStyle w:val="37"/>
              <w:spacing w:line="240" w:lineRule="auto"/>
              <w:rPr>
                <w:rFonts w:cs="Times New Roman"/>
              </w:rPr>
            </w:pPr>
            <w:r>
              <w:rPr>
                <w:rFonts w:cs="Times New Roman"/>
              </w:rPr>
              <w:t>（3）乙类固体；</w:t>
            </w:r>
          </w:p>
          <w:p>
            <w:pPr>
              <w:pStyle w:val="37"/>
              <w:spacing w:line="240" w:lineRule="auto"/>
            </w:pPr>
            <w:r>
              <w:rPr>
                <w:rFonts w:cs="Times New Roman"/>
              </w:rPr>
              <w:t>（4）高度危害介质。</w:t>
            </w:r>
          </w:p>
        </w:tc>
        <w:tc>
          <w:tcPr>
            <w:tcW w:w="2552" w:type="dxa"/>
            <w:vAlign w:val="center"/>
          </w:tcPr>
          <w:p>
            <w:pPr>
              <w:pStyle w:val="37"/>
              <w:spacing w:line="240" w:lineRule="auto"/>
              <w:rPr>
                <w:rFonts w:cs="Times New Roman"/>
              </w:rPr>
            </w:pPr>
            <w:r>
              <w:rPr>
                <w:rFonts w:cs="Times New Roman"/>
              </w:rPr>
              <w:t>（1）乙B、丙A、丙B类可燃液体</w:t>
            </w:r>
            <w:r>
              <w:rPr>
                <w:rFonts w:hint="eastAsia" w:cs="Times New Roman"/>
              </w:rPr>
              <w:t>；</w:t>
            </w:r>
          </w:p>
          <w:p>
            <w:pPr>
              <w:pStyle w:val="37"/>
              <w:spacing w:line="240" w:lineRule="auto"/>
              <w:rPr>
                <w:rFonts w:cs="Times New Roman"/>
              </w:rPr>
            </w:pPr>
            <w:r>
              <w:rPr>
                <w:rFonts w:cs="Times New Roman"/>
              </w:rPr>
              <w:t>（2）丙类固体；</w:t>
            </w:r>
          </w:p>
          <w:p>
            <w:pPr>
              <w:pStyle w:val="37"/>
              <w:spacing w:line="240" w:lineRule="auto"/>
            </w:pPr>
            <w:r>
              <w:rPr>
                <w:rFonts w:cs="Times New Roman"/>
              </w:rPr>
              <w:t>（3）中、轻度危害介质。</w:t>
            </w:r>
          </w:p>
        </w:tc>
        <w:tc>
          <w:tcPr>
            <w:tcW w:w="1842" w:type="dxa"/>
            <w:vAlign w:val="center"/>
          </w:tcPr>
          <w:p>
            <w:pPr>
              <w:pStyle w:val="37"/>
              <w:spacing w:line="240" w:lineRule="auto"/>
            </w:pPr>
            <w:r>
              <w:rPr>
                <w:rFonts w:cs="Times New Roman"/>
              </w:rPr>
              <w:t>不属左述A、B、C项之物质</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shd w:val="clear" w:color="auto" w:fill="D9E2F3" w:themeFill="accent1" w:themeFillTint="33"/>
            <w:vAlign w:val="center"/>
          </w:tcPr>
          <w:p>
            <w:pPr>
              <w:pStyle w:val="37"/>
              <w:spacing w:line="240" w:lineRule="auto"/>
              <w:rPr>
                <w:b w:val="0"/>
                <w:bCs/>
              </w:rPr>
            </w:pPr>
            <w:r>
              <w:rPr>
                <w:rFonts w:hint="eastAsia"/>
                <w:b/>
                <w:bCs w:val="0"/>
              </w:rPr>
              <w:t>容量</w:t>
            </w:r>
          </w:p>
        </w:tc>
        <w:tc>
          <w:tcPr>
            <w:tcW w:w="2305" w:type="dxa"/>
            <w:shd w:val="clear" w:color="auto" w:fill="D9E2F3" w:themeFill="accent1" w:themeFillTint="33"/>
            <w:vAlign w:val="center"/>
          </w:tcPr>
          <w:p>
            <w:pPr>
              <w:pStyle w:val="37"/>
              <w:spacing w:line="240" w:lineRule="auto"/>
              <w:rPr>
                <w:rFonts w:cs="Times New Roman"/>
              </w:rPr>
            </w:pPr>
            <w:r>
              <w:rPr>
                <w:rFonts w:cs="Times New Roman"/>
              </w:rPr>
              <w:t>（1）气体1000m</w:t>
            </w:r>
            <w:r>
              <w:rPr>
                <w:rFonts w:cs="Times New Roman"/>
                <w:vertAlign w:val="superscript"/>
              </w:rPr>
              <w:t>3</w:t>
            </w:r>
            <w:r>
              <w:rPr>
                <w:rFonts w:cs="Times New Roman"/>
              </w:rPr>
              <w:t>以上；</w:t>
            </w:r>
          </w:p>
          <w:p>
            <w:pPr>
              <w:pStyle w:val="37"/>
              <w:spacing w:line="240" w:lineRule="auto"/>
            </w:pPr>
            <w:r>
              <w:rPr>
                <w:rFonts w:cs="Times New Roman"/>
              </w:rPr>
              <w:t>（2）液体100m</w:t>
            </w:r>
            <w:r>
              <w:rPr>
                <w:rFonts w:cs="Times New Roman"/>
                <w:vertAlign w:val="superscript"/>
              </w:rPr>
              <w:t>3</w:t>
            </w:r>
            <w:r>
              <w:rPr>
                <w:rFonts w:cs="Times New Roman"/>
              </w:rPr>
              <w:t>以上。</w:t>
            </w:r>
          </w:p>
        </w:tc>
        <w:tc>
          <w:tcPr>
            <w:tcW w:w="2410" w:type="dxa"/>
            <w:shd w:val="clear" w:color="auto" w:fill="D9E2F3" w:themeFill="accent1" w:themeFillTint="33"/>
            <w:vAlign w:val="center"/>
          </w:tcPr>
          <w:p>
            <w:pPr>
              <w:pStyle w:val="37"/>
              <w:spacing w:line="240" w:lineRule="auto"/>
              <w:rPr>
                <w:rFonts w:cs="Times New Roman"/>
              </w:rPr>
            </w:pPr>
            <w:r>
              <w:rPr>
                <w:rFonts w:cs="Times New Roman"/>
              </w:rPr>
              <w:t>（1）气体500</w:t>
            </w:r>
            <w:r>
              <w:rPr>
                <w:rFonts w:hint="eastAsia" w:cs="Times New Roman"/>
              </w:rPr>
              <w:t>-</w:t>
            </w:r>
            <w:r>
              <w:rPr>
                <w:rFonts w:cs="Times New Roman"/>
              </w:rPr>
              <w:t>1000m</w:t>
            </w:r>
            <w:r>
              <w:rPr>
                <w:rFonts w:cs="Times New Roman"/>
                <w:vertAlign w:val="superscript"/>
              </w:rPr>
              <w:t>3</w:t>
            </w:r>
          </w:p>
          <w:p>
            <w:pPr>
              <w:pStyle w:val="37"/>
              <w:spacing w:line="240" w:lineRule="auto"/>
            </w:pPr>
            <w:r>
              <w:rPr>
                <w:rFonts w:cs="Times New Roman"/>
              </w:rPr>
              <w:t>（2）液体50</w:t>
            </w:r>
            <w:r>
              <w:rPr>
                <w:rFonts w:hint="eastAsia" w:cs="Times New Roman"/>
              </w:rPr>
              <w:t>-</w:t>
            </w:r>
            <w:r>
              <w:rPr>
                <w:rFonts w:cs="Times New Roman"/>
              </w:rPr>
              <w:t>100m</w:t>
            </w:r>
            <w:r>
              <w:rPr>
                <w:rFonts w:cs="Times New Roman"/>
                <w:vertAlign w:val="superscript"/>
              </w:rPr>
              <w:t>3</w:t>
            </w:r>
          </w:p>
        </w:tc>
        <w:tc>
          <w:tcPr>
            <w:tcW w:w="2552" w:type="dxa"/>
            <w:shd w:val="clear" w:color="auto" w:fill="D9E2F3" w:themeFill="accent1" w:themeFillTint="33"/>
            <w:vAlign w:val="center"/>
          </w:tcPr>
          <w:p>
            <w:pPr>
              <w:pStyle w:val="37"/>
              <w:spacing w:line="240" w:lineRule="auto"/>
            </w:pPr>
            <w:r>
              <w:rPr>
                <w:rFonts w:cs="Times New Roman"/>
              </w:rPr>
              <w:t>（1）气体100</w:t>
            </w:r>
            <w:r>
              <w:rPr>
                <w:rFonts w:hint="eastAsia" w:cs="Times New Roman"/>
              </w:rPr>
              <w:t>-</w:t>
            </w:r>
            <w:r>
              <w:rPr>
                <w:rFonts w:cs="Times New Roman"/>
              </w:rPr>
              <w:t>500m</w:t>
            </w:r>
            <w:r>
              <w:rPr>
                <w:rFonts w:cs="Times New Roman"/>
                <w:vertAlign w:val="superscript"/>
              </w:rPr>
              <w:t>3</w:t>
            </w:r>
            <w:r>
              <w:rPr>
                <w:rFonts w:cs="Times New Roman"/>
              </w:rPr>
              <w:t>；（2）液体10</w:t>
            </w:r>
            <w:r>
              <w:rPr>
                <w:rFonts w:hint="eastAsia" w:cs="Times New Roman"/>
              </w:rPr>
              <w:t>-</w:t>
            </w:r>
            <w:r>
              <w:rPr>
                <w:rFonts w:cs="Times New Roman"/>
              </w:rPr>
              <w:t>50m</w:t>
            </w:r>
            <w:r>
              <w:rPr>
                <w:rFonts w:cs="Times New Roman"/>
                <w:vertAlign w:val="superscript"/>
              </w:rPr>
              <w:t>3</w:t>
            </w:r>
            <w:r>
              <w:rPr>
                <w:rFonts w:cs="Times New Roman"/>
              </w:rPr>
              <w:t>。</w:t>
            </w:r>
          </w:p>
        </w:tc>
        <w:tc>
          <w:tcPr>
            <w:tcW w:w="1842" w:type="dxa"/>
            <w:shd w:val="clear" w:color="auto" w:fill="D9E2F3" w:themeFill="accent1" w:themeFillTint="33"/>
            <w:vAlign w:val="center"/>
          </w:tcPr>
          <w:p>
            <w:pPr>
              <w:pStyle w:val="37"/>
              <w:spacing w:line="240" w:lineRule="auto"/>
              <w:rPr>
                <w:rFonts w:cs="Times New Roman"/>
              </w:rPr>
            </w:pPr>
            <w:r>
              <w:rPr>
                <w:rFonts w:cs="Times New Roman"/>
              </w:rPr>
              <w:t>（1）气体＜100m</w:t>
            </w:r>
            <w:r>
              <w:rPr>
                <w:rFonts w:cs="Times New Roman"/>
                <w:vertAlign w:val="superscript"/>
              </w:rPr>
              <w:t>3</w:t>
            </w:r>
            <w:r>
              <w:rPr>
                <w:rFonts w:hint="eastAsia" w:cs="Times New Roman"/>
              </w:rPr>
              <w:t>；</w:t>
            </w:r>
          </w:p>
          <w:p>
            <w:pPr>
              <w:pStyle w:val="37"/>
              <w:spacing w:line="240" w:lineRule="auto"/>
            </w:pPr>
            <w:r>
              <w:rPr>
                <w:rFonts w:cs="Times New Roman"/>
              </w:rPr>
              <w:t>（2）液体＜10m</w:t>
            </w:r>
            <w:r>
              <w:rPr>
                <w:rFonts w:cs="Times New Roman"/>
                <w:vertAlign w:val="superscript"/>
              </w:rPr>
              <w:t>3</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vAlign w:val="center"/>
          </w:tcPr>
          <w:p>
            <w:pPr>
              <w:pStyle w:val="37"/>
              <w:spacing w:line="240" w:lineRule="auto"/>
              <w:rPr>
                <w:b w:val="0"/>
                <w:bCs/>
              </w:rPr>
            </w:pPr>
            <w:r>
              <w:rPr>
                <w:rFonts w:hint="eastAsia"/>
                <w:b/>
                <w:bCs w:val="0"/>
              </w:rPr>
              <w:t>温度</w:t>
            </w:r>
          </w:p>
        </w:tc>
        <w:tc>
          <w:tcPr>
            <w:tcW w:w="2305" w:type="dxa"/>
            <w:vAlign w:val="center"/>
          </w:tcPr>
          <w:p>
            <w:pPr>
              <w:pStyle w:val="37"/>
              <w:spacing w:line="240" w:lineRule="auto"/>
            </w:pPr>
            <w:r>
              <w:rPr>
                <w:rFonts w:cs="Times New Roman"/>
              </w:rPr>
              <w:t>1000</w:t>
            </w:r>
            <w:r>
              <w:rPr>
                <w:rFonts w:hint="eastAsia" w:hAnsi="宋体"/>
              </w:rPr>
              <w:t>℃</w:t>
            </w:r>
            <w:r>
              <w:rPr>
                <w:rFonts w:cs="Times New Roman"/>
              </w:rPr>
              <w:t>以上使用，其操作温度在燃点以上</w:t>
            </w:r>
          </w:p>
        </w:tc>
        <w:tc>
          <w:tcPr>
            <w:tcW w:w="2410" w:type="dxa"/>
            <w:vAlign w:val="center"/>
          </w:tcPr>
          <w:p>
            <w:pPr>
              <w:pStyle w:val="37"/>
              <w:spacing w:line="240" w:lineRule="auto"/>
              <w:rPr>
                <w:rFonts w:cs="Times New Roman"/>
              </w:rPr>
            </w:pPr>
            <w:r>
              <w:rPr>
                <w:rFonts w:cs="Times New Roman"/>
              </w:rPr>
              <w:t>（1）1000</w:t>
            </w:r>
            <w:r>
              <w:rPr>
                <w:rFonts w:hint="eastAsia" w:hAnsi="宋体"/>
              </w:rPr>
              <w:t>℃</w:t>
            </w:r>
            <w:r>
              <w:rPr>
                <w:rFonts w:cs="Times New Roman"/>
              </w:rPr>
              <w:t>以上使用，但操作温度在燃点以下；</w:t>
            </w:r>
          </w:p>
          <w:p>
            <w:pPr>
              <w:pStyle w:val="37"/>
              <w:spacing w:line="240" w:lineRule="auto"/>
            </w:pPr>
            <w:r>
              <w:rPr>
                <w:rFonts w:cs="Times New Roman"/>
              </w:rPr>
              <w:t>（2）在250</w:t>
            </w:r>
            <w:r>
              <w:rPr>
                <w:rFonts w:hint="eastAsia" w:cs="Times New Roman"/>
              </w:rPr>
              <w:t>-</w:t>
            </w:r>
            <w:r>
              <w:rPr>
                <w:rFonts w:cs="Times New Roman"/>
              </w:rPr>
              <w:t>1000</w:t>
            </w:r>
            <w:r>
              <w:rPr>
                <w:rFonts w:hint="eastAsia" w:hAnsi="宋体"/>
              </w:rPr>
              <w:t>℃</w:t>
            </w:r>
            <w:r>
              <w:rPr>
                <w:rFonts w:hint="eastAsia" w:cs="Times New Roman"/>
              </w:rPr>
              <w:t>使</w:t>
            </w:r>
            <w:r>
              <w:rPr>
                <w:rFonts w:cs="Times New Roman"/>
              </w:rPr>
              <w:t>用，其操作温度在燃点以上。</w:t>
            </w:r>
          </w:p>
        </w:tc>
        <w:tc>
          <w:tcPr>
            <w:tcW w:w="2552" w:type="dxa"/>
            <w:vAlign w:val="center"/>
          </w:tcPr>
          <w:p>
            <w:pPr>
              <w:pStyle w:val="37"/>
              <w:spacing w:line="240" w:lineRule="auto"/>
              <w:rPr>
                <w:rFonts w:cs="Times New Roman"/>
              </w:rPr>
            </w:pPr>
            <w:r>
              <w:rPr>
                <w:rFonts w:hint="eastAsia" w:cs="Times New Roman"/>
              </w:rPr>
              <w:t>（1）</w:t>
            </w:r>
            <w:r>
              <w:rPr>
                <w:rFonts w:cs="Times New Roman"/>
              </w:rPr>
              <w:t>250</w:t>
            </w:r>
            <w:r>
              <w:rPr>
                <w:rFonts w:hint="eastAsia" w:cs="Times New Roman"/>
              </w:rPr>
              <w:t xml:space="preserve"> - </w:t>
            </w:r>
            <w:r>
              <w:rPr>
                <w:rFonts w:cs="Times New Roman"/>
              </w:rPr>
              <w:t>1000</w:t>
            </w:r>
            <w:r>
              <w:rPr>
                <w:rFonts w:hint="eastAsia" w:hAnsi="宋体"/>
              </w:rPr>
              <w:t>℃</w:t>
            </w:r>
            <w:r>
              <w:rPr>
                <w:rFonts w:cs="Times New Roman"/>
              </w:rPr>
              <w:t>使用，但操作温度在燃点以下；</w:t>
            </w:r>
          </w:p>
          <w:p>
            <w:pPr>
              <w:pStyle w:val="37"/>
              <w:spacing w:line="240" w:lineRule="auto"/>
            </w:pPr>
            <w:r>
              <w:rPr>
                <w:rFonts w:cs="Times New Roman"/>
              </w:rPr>
              <w:t>（2）在低于250</w:t>
            </w:r>
            <w:r>
              <w:rPr>
                <w:rFonts w:hint="eastAsia" w:hAnsi="宋体"/>
              </w:rPr>
              <w:t>℃</w:t>
            </w:r>
            <w:r>
              <w:rPr>
                <w:rFonts w:cs="Times New Roman"/>
              </w:rPr>
              <w:t>时使用，操作温度在燃点以下。</w:t>
            </w:r>
          </w:p>
        </w:tc>
        <w:tc>
          <w:tcPr>
            <w:tcW w:w="1842" w:type="dxa"/>
            <w:vAlign w:val="center"/>
          </w:tcPr>
          <w:p>
            <w:pPr>
              <w:pStyle w:val="37"/>
              <w:spacing w:line="240" w:lineRule="auto"/>
            </w:pPr>
            <w:r>
              <w:rPr>
                <w:rFonts w:cs="Times New Roman"/>
              </w:rPr>
              <w:t>在低于250</w:t>
            </w:r>
            <w:r>
              <w:rPr>
                <w:rFonts w:hint="eastAsia" w:hAnsi="宋体"/>
              </w:rPr>
              <w:t>℃</w:t>
            </w:r>
            <w:r>
              <w:rPr>
                <w:rFonts w:cs="Times New Roman"/>
              </w:rPr>
              <w:t>时使用，操作温度在燃点以下</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shd w:val="clear" w:color="auto" w:fill="D9E2F3" w:themeFill="accent1" w:themeFillTint="33"/>
            <w:vAlign w:val="center"/>
          </w:tcPr>
          <w:p>
            <w:pPr>
              <w:pStyle w:val="37"/>
              <w:spacing w:line="240" w:lineRule="auto"/>
              <w:rPr>
                <w:b w:val="0"/>
                <w:bCs/>
              </w:rPr>
            </w:pPr>
            <w:r>
              <w:rPr>
                <w:rFonts w:hint="eastAsia"/>
                <w:b/>
                <w:bCs w:val="0"/>
              </w:rPr>
              <w:t>压力</w:t>
            </w:r>
          </w:p>
        </w:tc>
        <w:tc>
          <w:tcPr>
            <w:tcW w:w="2305" w:type="dxa"/>
            <w:shd w:val="clear" w:color="auto" w:fill="D9E2F3" w:themeFill="accent1" w:themeFillTint="33"/>
            <w:vAlign w:val="center"/>
          </w:tcPr>
          <w:p>
            <w:pPr>
              <w:pStyle w:val="37"/>
              <w:spacing w:line="240" w:lineRule="auto"/>
            </w:pPr>
            <w:r>
              <w:rPr>
                <w:rFonts w:cs="Times New Roman"/>
              </w:rPr>
              <w:t>100MPa</w:t>
            </w:r>
          </w:p>
        </w:tc>
        <w:tc>
          <w:tcPr>
            <w:tcW w:w="2410" w:type="dxa"/>
            <w:shd w:val="clear" w:color="auto" w:fill="D9E2F3" w:themeFill="accent1" w:themeFillTint="33"/>
            <w:vAlign w:val="center"/>
          </w:tcPr>
          <w:p>
            <w:pPr>
              <w:pStyle w:val="37"/>
              <w:spacing w:line="240" w:lineRule="auto"/>
            </w:pPr>
            <w:r>
              <w:rPr>
                <w:rFonts w:cs="Times New Roman"/>
              </w:rPr>
              <w:t>20</w:t>
            </w:r>
            <w:r>
              <w:rPr>
                <w:rFonts w:hint="eastAsia" w:cs="Times New Roman"/>
              </w:rPr>
              <w:t>-</w:t>
            </w:r>
            <w:r>
              <w:rPr>
                <w:rFonts w:cs="Times New Roman"/>
              </w:rPr>
              <w:t>100MPa</w:t>
            </w:r>
          </w:p>
        </w:tc>
        <w:tc>
          <w:tcPr>
            <w:tcW w:w="2552" w:type="dxa"/>
            <w:shd w:val="clear" w:color="auto" w:fill="D9E2F3" w:themeFill="accent1" w:themeFillTint="33"/>
            <w:vAlign w:val="center"/>
          </w:tcPr>
          <w:p>
            <w:pPr>
              <w:pStyle w:val="37"/>
              <w:spacing w:line="240" w:lineRule="auto"/>
            </w:pPr>
            <w:r>
              <w:rPr>
                <w:rFonts w:cs="Times New Roman"/>
              </w:rPr>
              <w:t>1</w:t>
            </w:r>
            <w:r>
              <w:rPr>
                <w:rFonts w:hint="eastAsia" w:cs="Times New Roman"/>
              </w:rPr>
              <w:t>-</w:t>
            </w:r>
            <w:r>
              <w:rPr>
                <w:rFonts w:cs="Times New Roman"/>
              </w:rPr>
              <w:t>20MPa</w:t>
            </w:r>
          </w:p>
        </w:tc>
        <w:tc>
          <w:tcPr>
            <w:tcW w:w="1842" w:type="dxa"/>
            <w:shd w:val="clear" w:color="auto" w:fill="D9E2F3" w:themeFill="accent1" w:themeFillTint="33"/>
            <w:vAlign w:val="center"/>
          </w:tcPr>
          <w:p>
            <w:pPr>
              <w:pStyle w:val="37"/>
              <w:spacing w:line="240" w:lineRule="auto"/>
            </w:pPr>
            <w:r>
              <w:rPr>
                <w:rFonts w:cs="Times New Roman"/>
              </w:rPr>
              <w:t>1MPa以下</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659" w:type="dxa"/>
            <w:vAlign w:val="center"/>
          </w:tcPr>
          <w:p>
            <w:pPr>
              <w:pStyle w:val="37"/>
              <w:spacing w:line="240" w:lineRule="auto"/>
              <w:rPr>
                <w:b w:val="0"/>
                <w:bCs/>
              </w:rPr>
            </w:pPr>
            <w:r>
              <w:rPr>
                <w:rFonts w:hint="eastAsia"/>
                <w:b/>
                <w:bCs w:val="0"/>
              </w:rPr>
              <w:t>操作</w:t>
            </w:r>
          </w:p>
        </w:tc>
        <w:tc>
          <w:tcPr>
            <w:tcW w:w="2305" w:type="dxa"/>
            <w:vAlign w:val="center"/>
          </w:tcPr>
          <w:p>
            <w:pPr>
              <w:pStyle w:val="37"/>
              <w:spacing w:line="240" w:lineRule="auto"/>
              <w:rPr>
                <w:rFonts w:cs="Times New Roman"/>
              </w:rPr>
            </w:pPr>
            <w:r>
              <w:rPr>
                <w:rFonts w:cs="Times New Roman"/>
              </w:rPr>
              <w:t>（1）临界放热和特别剧烈的放热反应操作；</w:t>
            </w:r>
          </w:p>
          <w:p>
            <w:pPr>
              <w:pStyle w:val="37"/>
              <w:spacing w:line="240" w:lineRule="auto"/>
            </w:pPr>
            <w:r>
              <w:rPr>
                <w:rFonts w:cs="Times New Roman"/>
              </w:rPr>
              <w:t>（2）在爆炸极限范围内或其附近的操作</w:t>
            </w:r>
            <w:r>
              <w:rPr>
                <w:rFonts w:hint="eastAsia" w:cs="Times New Roman"/>
              </w:rPr>
              <w:t>。</w:t>
            </w:r>
          </w:p>
        </w:tc>
        <w:tc>
          <w:tcPr>
            <w:tcW w:w="2410" w:type="dxa"/>
            <w:vAlign w:val="center"/>
          </w:tcPr>
          <w:p>
            <w:pPr>
              <w:pStyle w:val="37"/>
              <w:spacing w:line="240" w:lineRule="auto"/>
              <w:rPr>
                <w:rFonts w:cs="Times New Roman"/>
              </w:rPr>
            </w:pPr>
            <w:r>
              <w:rPr>
                <w:rFonts w:cs="Times New Roman"/>
              </w:rPr>
              <w:t>（1）中等放热反应（如烷基化、酯化、加成、氧化、聚合、缩合等反应）操作；（2）系统进入空气或不纯物质，可能发生危险操作；</w:t>
            </w:r>
          </w:p>
          <w:p>
            <w:pPr>
              <w:pStyle w:val="37"/>
              <w:spacing w:line="240" w:lineRule="auto"/>
              <w:rPr>
                <w:rFonts w:cs="Times New Roman"/>
              </w:rPr>
            </w:pPr>
            <w:r>
              <w:rPr>
                <w:rFonts w:cs="Times New Roman"/>
              </w:rPr>
              <w:t>（3）使用粉状或雾状物质，有可能发生粉尘爆炸的操作；</w:t>
            </w:r>
          </w:p>
          <w:p>
            <w:pPr>
              <w:pStyle w:val="37"/>
              <w:spacing w:line="240" w:lineRule="auto"/>
            </w:pPr>
            <w:r>
              <w:rPr>
                <w:rFonts w:cs="Times New Roman"/>
              </w:rPr>
              <w:t>（4）单批式操作</w:t>
            </w:r>
          </w:p>
        </w:tc>
        <w:tc>
          <w:tcPr>
            <w:tcW w:w="2552" w:type="dxa"/>
            <w:vAlign w:val="center"/>
          </w:tcPr>
          <w:p>
            <w:pPr>
              <w:pStyle w:val="37"/>
              <w:spacing w:line="240" w:lineRule="auto"/>
              <w:rPr>
                <w:rFonts w:cs="Times New Roman"/>
              </w:rPr>
            </w:pPr>
            <w:r>
              <w:rPr>
                <w:rFonts w:cs="Times New Roman"/>
              </w:rPr>
              <w:t>（1）轻微放热反应（如加氢、水和、异构化、烷基化、磺化、中和等反应）操作；</w:t>
            </w:r>
          </w:p>
          <w:p>
            <w:pPr>
              <w:pStyle w:val="37"/>
              <w:spacing w:line="240" w:lineRule="auto"/>
              <w:rPr>
                <w:rFonts w:cs="Times New Roman"/>
              </w:rPr>
            </w:pPr>
            <w:r>
              <w:rPr>
                <w:rFonts w:cs="Times New Roman"/>
              </w:rPr>
              <w:t>（2）在精制过程中伴有化学反应；</w:t>
            </w:r>
          </w:p>
          <w:p>
            <w:pPr>
              <w:pStyle w:val="37"/>
              <w:spacing w:line="240" w:lineRule="auto"/>
              <w:rPr>
                <w:rFonts w:cs="Times New Roman"/>
              </w:rPr>
            </w:pPr>
            <w:r>
              <w:rPr>
                <w:rFonts w:cs="Times New Roman"/>
              </w:rPr>
              <w:t>（3）单批式操作，但开始使用机械等手段进行程序操作；</w:t>
            </w:r>
          </w:p>
          <w:p>
            <w:pPr>
              <w:pStyle w:val="37"/>
              <w:spacing w:line="240" w:lineRule="auto"/>
            </w:pPr>
            <w:r>
              <w:rPr>
                <w:rFonts w:cs="Times New Roman"/>
              </w:rPr>
              <w:t>（4）有一定危险的操作。</w:t>
            </w:r>
          </w:p>
        </w:tc>
        <w:tc>
          <w:tcPr>
            <w:tcW w:w="1842" w:type="dxa"/>
            <w:vAlign w:val="center"/>
          </w:tcPr>
          <w:p>
            <w:pPr>
              <w:pStyle w:val="37"/>
              <w:spacing w:line="240" w:lineRule="auto"/>
            </w:pPr>
            <w:r>
              <w:rPr>
                <w:rFonts w:cs="Times New Roman"/>
              </w:rPr>
              <w:t>无危险的操作</w:t>
            </w:r>
          </w:p>
        </w:tc>
      </w:tr>
    </w:tbl>
    <w:p>
      <w:pPr>
        <w:pStyle w:val="39"/>
        <w:rPr>
          <w:rFonts w:ascii="宋体" w:hAnsi="宋体" w:eastAsia="宋体"/>
          <w:sz w:val="18"/>
          <w:szCs w:val="18"/>
        </w:rPr>
      </w:pPr>
      <w:r>
        <w:rPr>
          <w:rFonts w:hint="eastAsia" w:ascii="宋体" w:hAnsi="宋体" w:eastAsia="宋体"/>
          <w:sz w:val="18"/>
          <w:szCs w:val="18"/>
        </w:rPr>
        <w:t>表7-2 危险度</w:t>
      </w:r>
      <w:r>
        <w:rPr>
          <w:rFonts w:ascii="宋体" w:hAnsi="宋体" w:eastAsia="宋体"/>
          <w:sz w:val="18"/>
          <w:szCs w:val="18"/>
        </w:rPr>
        <w:t>分级表</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74"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危险程度</w:t>
            </w:r>
          </w:p>
        </w:tc>
        <w:tc>
          <w:tcPr>
            <w:tcW w:w="207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高度危险</w:t>
            </w:r>
          </w:p>
        </w:tc>
        <w:tc>
          <w:tcPr>
            <w:tcW w:w="207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中度危险</w:t>
            </w:r>
          </w:p>
        </w:tc>
        <w:tc>
          <w:tcPr>
            <w:tcW w:w="207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低度危险</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74" w:type="dxa"/>
            <w:shd w:val="clear" w:color="auto" w:fill="D9E2F3" w:themeFill="accent1" w:themeFillTint="33"/>
            <w:vAlign w:val="center"/>
          </w:tcPr>
          <w:p>
            <w:pPr>
              <w:pStyle w:val="37"/>
              <w:spacing w:line="240" w:lineRule="auto"/>
              <w:rPr>
                <w:b w:val="0"/>
                <w:bCs w:val="0"/>
              </w:rPr>
            </w:pPr>
            <w:r>
              <w:rPr>
                <w:b w:val="0"/>
                <w:bCs/>
              </w:rPr>
              <w:t>总分值</w:t>
            </w:r>
          </w:p>
        </w:tc>
        <w:tc>
          <w:tcPr>
            <w:tcW w:w="2074" w:type="dxa"/>
            <w:shd w:val="clear" w:color="auto" w:fill="D9E2F3" w:themeFill="accent1" w:themeFillTint="33"/>
            <w:vAlign w:val="center"/>
          </w:tcPr>
          <w:p>
            <w:pPr>
              <w:pStyle w:val="37"/>
              <w:spacing w:line="240" w:lineRule="auto"/>
            </w:pPr>
            <w:r>
              <w:t>≥16分</w:t>
            </w:r>
          </w:p>
        </w:tc>
        <w:tc>
          <w:tcPr>
            <w:tcW w:w="2074" w:type="dxa"/>
            <w:shd w:val="clear" w:color="auto" w:fill="D9E2F3" w:themeFill="accent1" w:themeFillTint="33"/>
            <w:vAlign w:val="center"/>
          </w:tcPr>
          <w:p>
            <w:pPr>
              <w:pStyle w:val="37"/>
              <w:spacing w:line="240" w:lineRule="auto"/>
            </w:pPr>
            <w:r>
              <w:t>11~15分</w:t>
            </w:r>
          </w:p>
        </w:tc>
        <w:tc>
          <w:tcPr>
            <w:tcW w:w="2074" w:type="dxa"/>
            <w:shd w:val="clear" w:color="auto" w:fill="D9E2F3" w:themeFill="accent1" w:themeFillTint="33"/>
            <w:vAlign w:val="center"/>
          </w:tcPr>
          <w:p>
            <w:pPr>
              <w:pStyle w:val="37"/>
              <w:spacing w:line="240" w:lineRule="auto"/>
            </w:pPr>
            <w:r>
              <w:t>≤10分</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074" w:type="dxa"/>
            <w:vAlign w:val="center"/>
          </w:tcPr>
          <w:p>
            <w:pPr>
              <w:pStyle w:val="37"/>
              <w:spacing w:line="240" w:lineRule="auto"/>
              <w:rPr>
                <w:b w:val="0"/>
                <w:bCs w:val="0"/>
              </w:rPr>
            </w:pPr>
            <w:r>
              <w:rPr>
                <w:b w:val="0"/>
                <w:bCs/>
              </w:rPr>
              <w:t>等级</w:t>
            </w:r>
          </w:p>
        </w:tc>
        <w:tc>
          <w:tcPr>
            <w:tcW w:w="2074" w:type="dxa"/>
            <w:vAlign w:val="center"/>
          </w:tcPr>
          <w:p>
            <w:pPr>
              <w:pStyle w:val="37"/>
              <w:spacing w:line="240" w:lineRule="auto"/>
            </w:pPr>
            <w:r>
              <w:rPr>
                <w:rFonts w:hint="eastAsia" w:ascii="宋体" w:hAnsi="宋体" w:cs="宋体"/>
              </w:rPr>
              <w:t>Ⅰ</w:t>
            </w:r>
          </w:p>
        </w:tc>
        <w:tc>
          <w:tcPr>
            <w:tcW w:w="2074" w:type="dxa"/>
            <w:vAlign w:val="center"/>
          </w:tcPr>
          <w:p>
            <w:pPr>
              <w:pStyle w:val="37"/>
              <w:spacing w:line="240" w:lineRule="auto"/>
            </w:pPr>
            <w:r>
              <w:rPr>
                <w:rFonts w:hint="eastAsia" w:ascii="宋体" w:hAnsi="宋体" w:cs="宋体"/>
              </w:rPr>
              <w:t>Ⅱ</w:t>
            </w:r>
          </w:p>
        </w:tc>
        <w:tc>
          <w:tcPr>
            <w:tcW w:w="2074" w:type="dxa"/>
            <w:vAlign w:val="center"/>
          </w:tcPr>
          <w:p>
            <w:pPr>
              <w:pStyle w:val="37"/>
              <w:spacing w:line="240" w:lineRule="auto"/>
            </w:pPr>
            <w:r>
              <w:rPr>
                <w:rFonts w:hint="eastAsia" w:ascii="宋体" w:hAnsi="宋体" w:cs="宋体"/>
              </w:rPr>
              <w:t>Ⅲ</w:t>
            </w:r>
          </w:p>
        </w:tc>
      </w:tr>
    </w:tbl>
    <w:p>
      <w:pPr>
        <w:spacing w:before="156" w:after="156"/>
        <w:ind w:firstLine="420"/>
      </w:pPr>
      <w:r>
        <w:rPr>
          <w:rFonts w:hint="eastAsia"/>
        </w:rPr>
        <w:t>以下</w:t>
      </w:r>
      <w:r>
        <w:t>对本工艺其中</w:t>
      </w:r>
      <w:r>
        <w:rPr>
          <w:rFonts w:hint="eastAsia"/>
        </w:rPr>
        <w:t>一</w:t>
      </w:r>
      <w:r>
        <w:t>个主要精馏塔进行危险度分析的结果：</w:t>
      </w:r>
    </w:p>
    <w:p>
      <w:pPr>
        <w:pStyle w:val="39"/>
        <w:rPr>
          <w:rFonts w:ascii="宋体" w:hAnsi="宋体" w:eastAsia="宋体"/>
          <w:sz w:val="18"/>
          <w:szCs w:val="18"/>
        </w:rPr>
      </w:pPr>
      <w:r>
        <w:rPr>
          <w:rFonts w:hint="eastAsia" w:ascii="宋体" w:hAnsi="宋体" w:eastAsia="宋体"/>
          <w:sz w:val="18"/>
          <w:szCs w:val="18"/>
        </w:rPr>
        <w:t>表7-3 各</w:t>
      </w:r>
      <w:r>
        <w:rPr>
          <w:rFonts w:ascii="宋体" w:hAnsi="宋体" w:eastAsia="宋体"/>
          <w:sz w:val="18"/>
          <w:szCs w:val="18"/>
        </w:rPr>
        <w:t>单元危险度评价</w:t>
      </w:r>
    </w:p>
    <w:tbl>
      <w:tblPr>
        <w:tblStyle w:val="44"/>
        <w:tblW w:w="10485"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562"/>
        <w:gridCol w:w="1985"/>
        <w:gridCol w:w="1984"/>
        <w:gridCol w:w="851"/>
        <w:gridCol w:w="850"/>
        <w:gridCol w:w="851"/>
        <w:gridCol w:w="850"/>
        <w:gridCol w:w="851"/>
        <w:gridCol w:w="850"/>
        <w:gridCol w:w="851"/>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562"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序号</w:t>
            </w:r>
          </w:p>
        </w:tc>
        <w:tc>
          <w:tcPr>
            <w:tcW w:w="198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项目</w:t>
            </w:r>
          </w:p>
        </w:tc>
        <w:tc>
          <w:tcPr>
            <w:tcW w:w="198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物质</w:t>
            </w:r>
          </w:p>
        </w:tc>
        <w:tc>
          <w:tcPr>
            <w:tcW w:w="85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物质评分</w:t>
            </w:r>
          </w:p>
        </w:tc>
        <w:tc>
          <w:tcPr>
            <w:tcW w:w="85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容量评分</w:t>
            </w:r>
          </w:p>
        </w:tc>
        <w:tc>
          <w:tcPr>
            <w:tcW w:w="85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温度评分</w:t>
            </w:r>
          </w:p>
        </w:tc>
        <w:tc>
          <w:tcPr>
            <w:tcW w:w="85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压力评分</w:t>
            </w:r>
          </w:p>
        </w:tc>
        <w:tc>
          <w:tcPr>
            <w:tcW w:w="85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操作评分</w:t>
            </w:r>
          </w:p>
        </w:tc>
        <w:tc>
          <w:tcPr>
            <w:tcW w:w="85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总分</w:t>
            </w:r>
          </w:p>
        </w:tc>
        <w:tc>
          <w:tcPr>
            <w:tcW w:w="851"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等级</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562" w:type="dxa"/>
            <w:shd w:val="clear" w:color="auto" w:fill="D9E2F3" w:themeFill="accent1" w:themeFillTint="33"/>
          </w:tcPr>
          <w:p>
            <w:pPr>
              <w:pStyle w:val="37"/>
              <w:spacing w:line="240" w:lineRule="auto"/>
              <w:rPr>
                <w:b w:val="0"/>
                <w:bCs w:val="0"/>
              </w:rPr>
            </w:pPr>
            <w:r>
              <w:rPr>
                <w:rFonts w:hint="eastAsia"/>
                <w:b/>
                <w:bCs/>
              </w:rPr>
              <w:t>1</w:t>
            </w:r>
          </w:p>
        </w:tc>
        <w:tc>
          <w:tcPr>
            <w:tcW w:w="1985" w:type="dxa"/>
            <w:shd w:val="clear" w:color="auto" w:fill="D9E2F3" w:themeFill="accent1" w:themeFillTint="33"/>
          </w:tcPr>
          <w:p>
            <w:pPr>
              <w:pStyle w:val="37"/>
              <w:spacing w:line="240" w:lineRule="auto"/>
            </w:pPr>
            <w:r>
              <w:rPr>
                <w:rFonts w:hint="eastAsia"/>
              </w:rPr>
              <w:t>提纯氨气分离塔</w:t>
            </w:r>
          </w:p>
        </w:tc>
        <w:tc>
          <w:tcPr>
            <w:tcW w:w="1984" w:type="dxa"/>
            <w:shd w:val="clear" w:color="auto" w:fill="D9E2F3" w:themeFill="accent1" w:themeFillTint="33"/>
          </w:tcPr>
          <w:p>
            <w:pPr>
              <w:pStyle w:val="37"/>
              <w:spacing w:line="240" w:lineRule="auto"/>
            </w:pPr>
            <w:r>
              <w:rPr>
                <w:rFonts w:hint="eastAsia"/>
              </w:rPr>
              <w:t>氨、水</w:t>
            </w:r>
          </w:p>
        </w:tc>
        <w:tc>
          <w:tcPr>
            <w:tcW w:w="851" w:type="dxa"/>
            <w:shd w:val="clear" w:color="auto" w:fill="D9E2F3" w:themeFill="accent1" w:themeFillTint="33"/>
          </w:tcPr>
          <w:p>
            <w:pPr>
              <w:pStyle w:val="37"/>
              <w:spacing w:line="240" w:lineRule="auto"/>
            </w:pPr>
            <w:r>
              <w:rPr>
                <w:rFonts w:hint="eastAsia"/>
              </w:rPr>
              <w:t>5</w:t>
            </w:r>
          </w:p>
        </w:tc>
        <w:tc>
          <w:tcPr>
            <w:tcW w:w="850" w:type="dxa"/>
            <w:shd w:val="clear" w:color="auto" w:fill="D9E2F3" w:themeFill="accent1" w:themeFillTint="33"/>
          </w:tcPr>
          <w:p>
            <w:pPr>
              <w:pStyle w:val="37"/>
              <w:spacing w:line="240" w:lineRule="auto"/>
            </w:pPr>
            <w:r>
              <w:rPr>
                <w:rFonts w:hint="eastAsia"/>
              </w:rPr>
              <w:t>1</w:t>
            </w:r>
            <w:r>
              <w:t>0</w:t>
            </w:r>
          </w:p>
        </w:tc>
        <w:tc>
          <w:tcPr>
            <w:tcW w:w="851" w:type="dxa"/>
            <w:shd w:val="clear" w:color="auto" w:fill="D9E2F3" w:themeFill="accent1" w:themeFillTint="33"/>
          </w:tcPr>
          <w:p>
            <w:pPr>
              <w:pStyle w:val="37"/>
              <w:spacing w:line="240" w:lineRule="auto"/>
            </w:pPr>
            <w:r>
              <w:rPr>
                <w:rFonts w:hint="eastAsia"/>
              </w:rPr>
              <w:t>0</w:t>
            </w:r>
          </w:p>
        </w:tc>
        <w:tc>
          <w:tcPr>
            <w:tcW w:w="850" w:type="dxa"/>
            <w:shd w:val="clear" w:color="auto" w:fill="D9E2F3" w:themeFill="accent1" w:themeFillTint="33"/>
          </w:tcPr>
          <w:p>
            <w:pPr>
              <w:pStyle w:val="37"/>
              <w:spacing w:line="240" w:lineRule="auto"/>
            </w:pPr>
            <w:r>
              <w:rPr>
                <w:rFonts w:hint="eastAsia"/>
              </w:rPr>
              <w:t>0</w:t>
            </w:r>
          </w:p>
        </w:tc>
        <w:tc>
          <w:tcPr>
            <w:tcW w:w="851" w:type="dxa"/>
            <w:shd w:val="clear" w:color="auto" w:fill="D9E2F3" w:themeFill="accent1" w:themeFillTint="33"/>
          </w:tcPr>
          <w:p>
            <w:pPr>
              <w:pStyle w:val="37"/>
              <w:spacing w:line="240" w:lineRule="auto"/>
            </w:pPr>
            <w:r>
              <w:rPr>
                <w:rFonts w:hint="eastAsia"/>
              </w:rPr>
              <w:t>0</w:t>
            </w:r>
          </w:p>
        </w:tc>
        <w:tc>
          <w:tcPr>
            <w:tcW w:w="850" w:type="dxa"/>
            <w:shd w:val="clear" w:color="auto" w:fill="D9E2F3" w:themeFill="accent1" w:themeFillTint="33"/>
          </w:tcPr>
          <w:p>
            <w:pPr>
              <w:pStyle w:val="37"/>
              <w:spacing w:line="240" w:lineRule="auto"/>
            </w:pPr>
            <w:r>
              <w:t>15</w:t>
            </w:r>
          </w:p>
        </w:tc>
        <w:tc>
          <w:tcPr>
            <w:tcW w:w="851" w:type="dxa"/>
            <w:shd w:val="clear" w:color="auto" w:fill="D9E2F3" w:themeFill="accent1" w:themeFillTint="33"/>
          </w:tcPr>
          <w:p>
            <w:pPr>
              <w:pStyle w:val="37"/>
              <w:spacing w:line="240" w:lineRule="auto"/>
            </w:pPr>
            <w:r>
              <w:rPr>
                <w:rFonts w:hint="eastAsia" w:ascii="宋体" w:hAnsi="宋体" w:cs="宋体"/>
              </w:rPr>
              <w:t>Ⅱ</w:t>
            </w:r>
          </w:p>
        </w:tc>
      </w:tr>
    </w:tbl>
    <w:p>
      <w:pPr>
        <w:spacing w:before="156" w:after="156"/>
        <w:ind w:firstLine="422"/>
        <w:rPr>
          <w:b/>
          <w:bCs/>
        </w:rPr>
      </w:pPr>
      <w:r>
        <w:rPr>
          <w:rFonts w:hint="eastAsia"/>
          <w:b/>
          <w:bCs/>
        </w:rPr>
        <w:t>总结：</w:t>
      </w:r>
    </w:p>
    <w:p>
      <w:pPr>
        <w:spacing w:before="156" w:after="156"/>
        <w:ind w:firstLine="420"/>
      </w:pPr>
      <w:r>
        <w:rPr>
          <w:rFonts w:hint="eastAsia"/>
        </w:rPr>
        <w:t>分析后可以确定精馏塔的危险等级一般，故而装置区内必须设置严格、有效的安全设施，设立严格的安全生产规章制度，建立完善的安全管理措施以达到预防事故的目的。</w:t>
      </w:r>
    </w:p>
    <w:p>
      <w:pPr>
        <w:widowControl/>
        <w:spacing w:before="156" w:after="156" w:line="240" w:lineRule="auto"/>
        <w:ind w:firstLine="420"/>
      </w:pPr>
      <w:r>
        <w:br w:type="page"/>
      </w:r>
    </w:p>
    <w:p>
      <w:pPr>
        <w:pStyle w:val="2"/>
        <w:spacing w:before="156" w:after="156"/>
        <w:ind w:firstLine="883"/>
      </w:pPr>
      <w:bookmarkStart w:id="197" w:name="_Toc108206553"/>
      <w:bookmarkStart w:id="198" w:name="_Toc141203962"/>
      <w:r>
        <w:rPr>
          <w:rFonts w:hint="eastAsia"/>
        </w:rPr>
        <w:t>第八章危险性与可操作性分析（HAZOP）</w:t>
      </w:r>
      <w:bookmarkEnd w:id="197"/>
      <w:bookmarkEnd w:id="198"/>
    </w:p>
    <w:p>
      <w:pPr>
        <w:pStyle w:val="3"/>
        <w:spacing w:before="156" w:after="156"/>
        <w:ind w:firstLine="562"/>
      </w:pPr>
      <w:bookmarkStart w:id="199" w:name="_Toc108206554"/>
      <w:bookmarkStart w:id="200" w:name="_Toc141203963"/>
      <w:r>
        <w:t xml:space="preserve">8.1 </w:t>
      </w:r>
      <w:r>
        <w:rPr>
          <w:rFonts w:hint="eastAsia"/>
        </w:rPr>
        <w:t>HAZOP分析概况</w:t>
      </w:r>
      <w:bookmarkEnd w:id="199"/>
      <w:bookmarkEnd w:id="200"/>
    </w:p>
    <w:p>
      <w:pPr>
        <w:spacing w:before="156" w:after="156"/>
        <w:ind w:firstLine="420"/>
      </w:pPr>
      <w:r>
        <w:t>危险与可操作性分析HAZOP是一种能系统地识别运行过程中潜在的安全问题的技术，它检查系统运行过程中所有设备项目可能的运行偏差，分析每种偏差对系统运行的影响并确定偏差后果，在此基础上进行分析，找出系统设计以及运行中潜在的薄弱环节，提出可能采取的预防改进措施，以提高系统运行的安全水平。</w:t>
      </w:r>
    </w:p>
    <w:p>
      <w:pPr>
        <w:spacing w:before="156" w:after="156"/>
        <w:ind w:firstLine="420"/>
      </w:pPr>
      <w:r>
        <w:t>20世纪60年代末，英国帝国化学工业公司（ICI）开发了可操作性研究，后发展成为危险与操作性研究，在许多化工厂实践后取得了明显效果，目前已广泛应用于各类工艺过程和项目的风险评估中。目前主要有 Process HAZOP、Human HAZOP、Procedure HAZOP、Software HAZOP。</w:t>
      </w:r>
    </w:p>
    <w:p>
      <w:pPr>
        <w:spacing w:before="156" w:after="156"/>
        <w:ind w:firstLine="420"/>
      </w:pPr>
      <w:r>
        <w:t>HAZOP 分析方法具有的特点：</w:t>
      </w:r>
    </w:p>
    <w:p>
      <w:pPr>
        <w:spacing w:before="156" w:after="156"/>
        <w:ind w:firstLine="420"/>
      </w:pPr>
      <w:r>
        <w:t>（1）可以探明所分析系统装置和工艺过程存在的潜在危险，并根据危险判断相应的后果；</w:t>
      </w:r>
    </w:p>
    <w:p>
      <w:pPr>
        <w:spacing w:before="156" w:after="156"/>
        <w:ind w:firstLine="420"/>
      </w:pPr>
      <w:r>
        <w:t>（2）辨识系统的主要危险源，有针对性的进行安全指导；</w:t>
      </w:r>
    </w:p>
    <w:p>
      <w:pPr>
        <w:spacing w:before="156" w:after="156"/>
        <w:ind w:firstLine="420"/>
      </w:pPr>
      <w:r>
        <w:t>（3）为后续进一步的定量分析做准备；</w:t>
      </w:r>
    </w:p>
    <w:p>
      <w:pPr>
        <w:spacing w:before="156" w:after="156"/>
        <w:ind w:firstLine="420"/>
      </w:pPr>
      <w:r>
        <w:t>（4）既适用于设计阶段，又可用于已有的系统装置；</w:t>
      </w:r>
    </w:p>
    <w:p>
      <w:pPr>
        <w:spacing w:before="156" w:after="156"/>
        <w:ind w:firstLine="420"/>
      </w:pPr>
      <w:r>
        <w:t>（5）对连续过程和间歇过程都比较适用；</w:t>
      </w:r>
    </w:p>
    <w:p>
      <w:pPr>
        <w:spacing w:before="156" w:after="156"/>
        <w:ind w:firstLine="420"/>
      </w:pPr>
      <w:r>
        <w:rPr>
          <w:rFonts w:hint="eastAsia"/>
        </w:rPr>
        <w:t>（6）</w:t>
      </w:r>
      <w:r>
        <w:t>适用于在新技术开发中危险的辨识。</w:t>
      </w:r>
    </w:p>
    <w:p>
      <w:pPr>
        <w:pStyle w:val="3"/>
        <w:spacing w:before="156" w:after="156"/>
        <w:ind w:firstLine="562"/>
      </w:pPr>
      <w:bookmarkStart w:id="201" w:name="_Toc108206555"/>
      <w:bookmarkStart w:id="202" w:name="_Toc141203964"/>
      <w:r>
        <w:t xml:space="preserve">8.2 </w:t>
      </w:r>
      <w:r>
        <w:rPr>
          <w:rFonts w:hint="eastAsia"/>
        </w:rPr>
        <w:t>HAZOP的基本原理</w:t>
      </w:r>
      <w:bookmarkEnd w:id="201"/>
      <w:bookmarkEnd w:id="202"/>
    </w:p>
    <w:p>
      <w:pPr>
        <w:spacing w:before="156" w:after="156"/>
        <w:ind w:firstLine="420"/>
      </w:pPr>
      <w:r>
        <w:t>如果一个设备在其预期的或者设计的状态范围内运行，就不会处于危险状态，导致不期望的事件或事故发生；反之，如果运行中某些状态指标超出了设计范围，系统很可能处于危险状态，导致危险事件或事故发生，造成设备和环境破坏、人员和财产损失。</w:t>
      </w:r>
    </w:p>
    <w:p>
      <w:pPr>
        <w:pStyle w:val="3"/>
        <w:spacing w:before="156" w:after="156"/>
        <w:ind w:firstLine="562"/>
      </w:pPr>
      <w:bookmarkStart w:id="203" w:name="_Toc141203965"/>
      <w:bookmarkStart w:id="204" w:name="_Toc108206556"/>
      <w:r>
        <w:t xml:space="preserve">8.3 </w:t>
      </w:r>
      <w:r>
        <w:rPr>
          <w:rFonts w:hint="eastAsia"/>
        </w:rPr>
        <w:t>HAZOP分析的过程</w:t>
      </w:r>
      <w:bookmarkEnd w:id="203"/>
      <w:bookmarkEnd w:id="204"/>
    </w:p>
    <w:p>
      <w:pPr>
        <w:spacing w:before="156" w:after="156"/>
        <w:ind w:firstLine="420"/>
      </w:pPr>
      <w:r>
        <w:t>HAZOP分析通过小组会议的形式完成。分析之前，分析小组建立系统的描述模型（如系统的P&amp;ID图），将系统分解成基本逻辑单元，选择一个或多个逻辑单元的组合作为分析的基本单元——设备项目。每一个设备项目有相关的设计要求，存在一个或多个有关的参数，每个参数对应着各自若干个引导词。在分析会议中，分析人员选定一个设备项目，对参数和引导词的组合（即偏差）进行检验，如果该运行偏差存在，则分析其原因和后果，并进行风险评价，提出措施建议，以消除和控制运行危险。一个设备条目的所有可能偏差分析完毕，则转入另一个设备项目，按上述步骤重新进行，直到所有设备项目分析完毕。HAZOP 的基本过程如图8-1所示。</w:t>
      </w:r>
    </w:p>
    <w:p>
      <w:pPr>
        <w:spacing w:before="156" w:after="156"/>
        <w:ind w:firstLine="420"/>
        <w:jc w:val="center"/>
      </w:pPr>
      <w:r>
        <w:drawing>
          <wp:inline distT="0" distB="0" distL="0" distR="0">
            <wp:extent cx="4572000" cy="2926080"/>
            <wp:effectExtent l="19050" t="19050" r="19050" b="266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572000" cy="2926080"/>
                    </a:xfrm>
                    <a:prstGeom prst="rect">
                      <a:avLst/>
                    </a:prstGeom>
                    <a:noFill/>
                    <a:ln w="6350" cmpd="sng">
                      <a:solidFill>
                        <a:schemeClr val="accent5">
                          <a:lumMod val="40000"/>
                          <a:lumOff val="60000"/>
                        </a:schemeClr>
                      </a:solidFill>
                      <a:miter lim="800000"/>
                      <a:headEnd/>
                      <a:tailEnd/>
                    </a:ln>
                    <a:effectLst/>
                  </pic:spPr>
                </pic:pic>
              </a:graphicData>
            </a:graphic>
          </wp:inline>
        </w:drawing>
      </w:r>
    </w:p>
    <w:p>
      <w:pPr>
        <w:pStyle w:val="39"/>
      </w:pPr>
      <w:r>
        <w:rPr>
          <w:rFonts w:hint="eastAsia"/>
        </w:rPr>
        <w:t>图8-1 HAZOP分析</w:t>
      </w:r>
      <w:r>
        <w:t>过程图</w:t>
      </w:r>
    </w:p>
    <w:p>
      <w:pPr>
        <w:pStyle w:val="3"/>
        <w:spacing w:before="156" w:after="156"/>
        <w:ind w:firstLine="562"/>
      </w:pPr>
      <w:bookmarkStart w:id="205" w:name="_Toc108206557"/>
      <w:bookmarkStart w:id="206" w:name="_Toc141203966"/>
      <w:r>
        <w:t xml:space="preserve">8.4 </w:t>
      </w:r>
      <w:r>
        <w:rPr>
          <w:rFonts w:hint="eastAsia"/>
        </w:rPr>
        <w:t>HAZOP分析的节点与划分</w:t>
      </w:r>
      <w:bookmarkEnd w:id="205"/>
      <w:bookmarkEnd w:id="206"/>
    </w:p>
    <w:p>
      <w:pPr>
        <w:spacing w:before="156" w:after="156"/>
        <w:ind w:firstLine="420"/>
      </w:pPr>
      <w:r>
        <w:t>分析节点或称工艺单元，指具有确定边界的设备（如量容器之间的管线）单元，对单元内工艺参数的偏差进行分析。在应用导则中“分析节点”即是“部分”，是指当前分析的对象，该对象是系统的一部分。</w:t>
      </w:r>
    </w:p>
    <w:p>
      <w:pPr>
        <w:spacing w:before="156" w:after="156"/>
        <w:ind w:firstLine="420"/>
      </w:pPr>
      <w:r>
        <w:t>对于连续的工艺操作过程，HAZOP分析节点为工艺单元。常见的工艺单元节点类型见表8-1。</w:t>
      </w:r>
    </w:p>
    <w:p>
      <w:pPr>
        <w:pStyle w:val="39"/>
        <w:rPr>
          <w:rFonts w:ascii="宋体" w:hAnsi="宋体" w:eastAsia="宋体"/>
          <w:sz w:val="18"/>
          <w:szCs w:val="18"/>
        </w:rPr>
      </w:pPr>
      <w:r>
        <w:rPr>
          <w:rFonts w:hint="eastAsia" w:ascii="宋体" w:hAnsi="宋体" w:eastAsia="宋体"/>
          <w:sz w:val="18"/>
          <w:szCs w:val="18"/>
        </w:rPr>
        <w:t>表8-1 HAZOP研究</w:t>
      </w:r>
      <w:r>
        <w:rPr>
          <w:rFonts w:ascii="宋体" w:hAnsi="宋体" w:eastAsia="宋体"/>
          <w:sz w:val="18"/>
          <w:szCs w:val="18"/>
        </w:rPr>
        <w:t>常见节点类型表</w:t>
      </w:r>
    </w:p>
    <w:tbl>
      <w:tblPr>
        <w:tblStyle w:val="44"/>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序号</w:t>
            </w:r>
          </w:p>
        </w:tc>
        <w:tc>
          <w:tcPr>
            <w:tcW w:w="207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节点</w:t>
            </w:r>
            <w:r>
              <w:rPr>
                <w:b/>
                <w:bCs/>
                <w:color w:val="FFFFFF" w:themeColor="background1"/>
                <w14:textFill>
                  <w14:solidFill>
                    <w14:schemeClr w14:val="bg1"/>
                  </w14:solidFill>
                </w14:textFill>
              </w:rPr>
              <w:t>类型</w:t>
            </w:r>
          </w:p>
        </w:tc>
        <w:tc>
          <w:tcPr>
            <w:tcW w:w="207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序号</w:t>
            </w:r>
          </w:p>
        </w:tc>
        <w:tc>
          <w:tcPr>
            <w:tcW w:w="207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节点类型</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shd w:val="clear" w:color="auto" w:fill="D9E2F3" w:themeFill="accent1" w:themeFillTint="33"/>
            <w:vAlign w:val="center"/>
          </w:tcPr>
          <w:p>
            <w:pPr>
              <w:pStyle w:val="37"/>
              <w:spacing w:line="240" w:lineRule="auto"/>
              <w:rPr>
                <w:b w:val="0"/>
                <w:bCs w:val="0"/>
              </w:rPr>
            </w:pPr>
            <w:r>
              <w:rPr>
                <w:rFonts w:hint="eastAsia"/>
                <w:b w:val="0"/>
                <w:bCs/>
              </w:rPr>
              <w:t>1</w:t>
            </w:r>
          </w:p>
        </w:tc>
        <w:tc>
          <w:tcPr>
            <w:tcW w:w="2074" w:type="dxa"/>
            <w:shd w:val="clear" w:color="auto" w:fill="D9E2F3" w:themeFill="accent1" w:themeFillTint="33"/>
            <w:vAlign w:val="center"/>
          </w:tcPr>
          <w:p>
            <w:pPr>
              <w:pStyle w:val="37"/>
              <w:spacing w:line="240" w:lineRule="auto"/>
            </w:pPr>
            <w:r>
              <w:rPr>
                <w:rFonts w:hint="eastAsia"/>
              </w:rPr>
              <w:t>管线</w:t>
            </w:r>
          </w:p>
        </w:tc>
        <w:tc>
          <w:tcPr>
            <w:tcW w:w="2074" w:type="dxa"/>
            <w:shd w:val="clear" w:color="auto" w:fill="D9E2F3" w:themeFill="accent1" w:themeFillTint="33"/>
            <w:vAlign w:val="center"/>
          </w:tcPr>
          <w:p>
            <w:pPr>
              <w:pStyle w:val="37"/>
              <w:spacing w:line="240" w:lineRule="auto"/>
            </w:pPr>
            <w:r>
              <w:rPr>
                <w:rFonts w:hint="eastAsia"/>
              </w:rPr>
              <w:t>8</w:t>
            </w:r>
          </w:p>
        </w:tc>
        <w:tc>
          <w:tcPr>
            <w:tcW w:w="2074" w:type="dxa"/>
            <w:shd w:val="clear" w:color="auto" w:fill="D9E2F3" w:themeFill="accent1" w:themeFillTint="33"/>
            <w:vAlign w:val="center"/>
          </w:tcPr>
          <w:p>
            <w:pPr>
              <w:pStyle w:val="37"/>
              <w:spacing w:line="240" w:lineRule="auto"/>
            </w:pPr>
            <w:r>
              <w:rPr>
                <w:rFonts w:hint="eastAsia"/>
              </w:rPr>
              <w:t>熔炉</w:t>
            </w:r>
            <w:r>
              <w:t>、炉子</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vAlign w:val="center"/>
          </w:tcPr>
          <w:p>
            <w:pPr>
              <w:pStyle w:val="37"/>
              <w:spacing w:line="240" w:lineRule="auto"/>
              <w:rPr>
                <w:b w:val="0"/>
                <w:bCs w:val="0"/>
              </w:rPr>
            </w:pPr>
            <w:r>
              <w:rPr>
                <w:rFonts w:hint="eastAsia"/>
                <w:b w:val="0"/>
                <w:bCs/>
              </w:rPr>
              <w:t>2</w:t>
            </w:r>
          </w:p>
        </w:tc>
        <w:tc>
          <w:tcPr>
            <w:tcW w:w="2074" w:type="dxa"/>
            <w:vAlign w:val="center"/>
          </w:tcPr>
          <w:p>
            <w:pPr>
              <w:pStyle w:val="37"/>
              <w:spacing w:line="240" w:lineRule="auto"/>
            </w:pPr>
            <w:r>
              <w:rPr>
                <w:rFonts w:hint="eastAsia"/>
              </w:rPr>
              <w:t>分批</w:t>
            </w:r>
            <w:r>
              <w:t>反应器</w:t>
            </w:r>
          </w:p>
        </w:tc>
        <w:tc>
          <w:tcPr>
            <w:tcW w:w="2074" w:type="dxa"/>
            <w:vAlign w:val="center"/>
          </w:tcPr>
          <w:p>
            <w:pPr>
              <w:pStyle w:val="37"/>
              <w:spacing w:line="240" w:lineRule="auto"/>
            </w:pPr>
            <w:r>
              <w:rPr>
                <w:rFonts w:hint="eastAsia"/>
              </w:rPr>
              <w:t>9</w:t>
            </w:r>
          </w:p>
        </w:tc>
        <w:tc>
          <w:tcPr>
            <w:tcW w:w="2074" w:type="dxa"/>
            <w:vAlign w:val="center"/>
          </w:tcPr>
          <w:p>
            <w:pPr>
              <w:pStyle w:val="37"/>
              <w:spacing w:line="240" w:lineRule="auto"/>
            </w:pPr>
            <w:r>
              <w:rPr>
                <w:rFonts w:hint="eastAsia"/>
              </w:rPr>
              <w:t>热交换器</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shd w:val="clear" w:color="auto" w:fill="D9E2F3" w:themeFill="accent1" w:themeFillTint="33"/>
            <w:vAlign w:val="center"/>
          </w:tcPr>
          <w:p>
            <w:pPr>
              <w:pStyle w:val="37"/>
              <w:spacing w:line="240" w:lineRule="auto"/>
              <w:rPr>
                <w:b w:val="0"/>
                <w:bCs w:val="0"/>
              </w:rPr>
            </w:pPr>
            <w:r>
              <w:rPr>
                <w:rFonts w:hint="eastAsia"/>
                <w:b w:val="0"/>
                <w:bCs/>
              </w:rPr>
              <w:t>3</w:t>
            </w:r>
          </w:p>
        </w:tc>
        <w:tc>
          <w:tcPr>
            <w:tcW w:w="2074" w:type="dxa"/>
            <w:shd w:val="clear" w:color="auto" w:fill="D9E2F3" w:themeFill="accent1" w:themeFillTint="33"/>
            <w:vAlign w:val="center"/>
          </w:tcPr>
          <w:p>
            <w:pPr>
              <w:pStyle w:val="37"/>
              <w:spacing w:line="240" w:lineRule="auto"/>
            </w:pPr>
            <w:r>
              <w:rPr>
                <w:rFonts w:hint="eastAsia"/>
              </w:rPr>
              <w:t>连续</w:t>
            </w:r>
            <w:r>
              <w:t>反应器</w:t>
            </w:r>
          </w:p>
        </w:tc>
        <w:tc>
          <w:tcPr>
            <w:tcW w:w="2074" w:type="dxa"/>
            <w:shd w:val="clear" w:color="auto" w:fill="D9E2F3" w:themeFill="accent1" w:themeFillTint="33"/>
            <w:vAlign w:val="center"/>
          </w:tcPr>
          <w:p>
            <w:pPr>
              <w:pStyle w:val="37"/>
              <w:spacing w:line="240" w:lineRule="auto"/>
            </w:pPr>
            <w:r>
              <w:rPr>
                <w:rFonts w:hint="eastAsia"/>
              </w:rPr>
              <w:t>10</w:t>
            </w:r>
          </w:p>
        </w:tc>
        <w:tc>
          <w:tcPr>
            <w:tcW w:w="2074" w:type="dxa"/>
            <w:shd w:val="clear" w:color="auto" w:fill="D9E2F3" w:themeFill="accent1" w:themeFillTint="33"/>
            <w:vAlign w:val="center"/>
          </w:tcPr>
          <w:p>
            <w:pPr>
              <w:pStyle w:val="37"/>
              <w:spacing w:line="240" w:lineRule="auto"/>
            </w:pPr>
            <w:r>
              <w:rPr>
                <w:rFonts w:hint="eastAsia"/>
              </w:rPr>
              <w:t>软管</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vAlign w:val="center"/>
          </w:tcPr>
          <w:p>
            <w:pPr>
              <w:pStyle w:val="37"/>
              <w:spacing w:line="240" w:lineRule="auto"/>
              <w:rPr>
                <w:b w:val="0"/>
                <w:bCs w:val="0"/>
              </w:rPr>
            </w:pPr>
            <w:r>
              <w:rPr>
                <w:rFonts w:hint="eastAsia"/>
                <w:b w:val="0"/>
                <w:bCs/>
              </w:rPr>
              <w:t>4</w:t>
            </w:r>
          </w:p>
        </w:tc>
        <w:tc>
          <w:tcPr>
            <w:tcW w:w="2074" w:type="dxa"/>
            <w:vAlign w:val="center"/>
          </w:tcPr>
          <w:p>
            <w:pPr>
              <w:pStyle w:val="37"/>
              <w:spacing w:line="240" w:lineRule="auto"/>
            </w:pPr>
            <w:r>
              <w:rPr>
                <w:rFonts w:hint="eastAsia"/>
              </w:rPr>
              <w:t>罐</w:t>
            </w:r>
            <w:r>
              <w:t>/</w:t>
            </w:r>
            <w:r>
              <w:rPr>
                <w:rFonts w:hint="eastAsia"/>
              </w:rPr>
              <w:t>槽/容器</w:t>
            </w:r>
          </w:p>
        </w:tc>
        <w:tc>
          <w:tcPr>
            <w:tcW w:w="2074" w:type="dxa"/>
            <w:vAlign w:val="center"/>
          </w:tcPr>
          <w:p>
            <w:pPr>
              <w:pStyle w:val="37"/>
              <w:spacing w:line="240" w:lineRule="auto"/>
            </w:pPr>
            <w:r>
              <w:rPr>
                <w:rFonts w:hint="eastAsia"/>
              </w:rPr>
              <w:t>11</w:t>
            </w:r>
          </w:p>
        </w:tc>
        <w:tc>
          <w:tcPr>
            <w:tcW w:w="2074" w:type="dxa"/>
            <w:vAlign w:val="center"/>
          </w:tcPr>
          <w:p>
            <w:pPr>
              <w:pStyle w:val="37"/>
              <w:spacing w:line="240" w:lineRule="auto"/>
            </w:pPr>
            <w:r>
              <w:rPr>
                <w:rFonts w:hint="eastAsia"/>
              </w:rPr>
              <w:t>公用工程</w:t>
            </w:r>
            <w:r>
              <w:t>与服务设施</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shd w:val="clear" w:color="auto" w:fill="D9E2F3" w:themeFill="accent1" w:themeFillTint="33"/>
            <w:vAlign w:val="center"/>
          </w:tcPr>
          <w:p>
            <w:pPr>
              <w:pStyle w:val="37"/>
              <w:spacing w:line="240" w:lineRule="auto"/>
              <w:rPr>
                <w:b w:val="0"/>
                <w:bCs w:val="0"/>
              </w:rPr>
            </w:pPr>
            <w:r>
              <w:rPr>
                <w:rFonts w:hint="eastAsia"/>
                <w:b w:val="0"/>
                <w:bCs/>
              </w:rPr>
              <w:t>5</w:t>
            </w:r>
          </w:p>
        </w:tc>
        <w:tc>
          <w:tcPr>
            <w:tcW w:w="2074" w:type="dxa"/>
            <w:shd w:val="clear" w:color="auto" w:fill="D9E2F3" w:themeFill="accent1" w:themeFillTint="33"/>
            <w:vAlign w:val="center"/>
          </w:tcPr>
          <w:p>
            <w:pPr>
              <w:pStyle w:val="37"/>
              <w:spacing w:line="240" w:lineRule="auto"/>
            </w:pPr>
            <w:r>
              <w:rPr>
                <w:rFonts w:hint="eastAsia"/>
              </w:rPr>
              <w:t>塔</w:t>
            </w:r>
          </w:p>
        </w:tc>
        <w:tc>
          <w:tcPr>
            <w:tcW w:w="2074" w:type="dxa"/>
            <w:shd w:val="clear" w:color="auto" w:fill="D9E2F3" w:themeFill="accent1" w:themeFillTint="33"/>
            <w:vAlign w:val="center"/>
          </w:tcPr>
          <w:p>
            <w:pPr>
              <w:pStyle w:val="37"/>
              <w:spacing w:line="240" w:lineRule="auto"/>
            </w:pPr>
            <w:r>
              <w:rPr>
                <w:rFonts w:hint="eastAsia"/>
              </w:rPr>
              <w:t>12</w:t>
            </w:r>
          </w:p>
        </w:tc>
        <w:tc>
          <w:tcPr>
            <w:tcW w:w="2074" w:type="dxa"/>
            <w:shd w:val="clear" w:color="auto" w:fill="D9E2F3" w:themeFill="accent1" w:themeFillTint="33"/>
            <w:vAlign w:val="center"/>
          </w:tcPr>
          <w:p>
            <w:pPr>
              <w:pStyle w:val="37"/>
              <w:spacing w:line="240" w:lineRule="auto"/>
            </w:pPr>
            <w:r>
              <w:rPr>
                <w:rFonts w:hint="eastAsia"/>
              </w:rPr>
              <w:t>其他</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vAlign w:val="center"/>
          </w:tcPr>
          <w:p>
            <w:pPr>
              <w:pStyle w:val="37"/>
              <w:spacing w:line="240" w:lineRule="auto"/>
              <w:rPr>
                <w:b w:val="0"/>
                <w:bCs w:val="0"/>
              </w:rPr>
            </w:pPr>
            <w:r>
              <w:rPr>
                <w:rFonts w:hint="eastAsia"/>
                <w:b w:val="0"/>
                <w:bCs/>
              </w:rPr>
              <w:t>6</w:t>
            </w:r>
          </w:p>
        </w:tc>
        <w:tc>
          <w:tcPr>
            <w:tcW w:w="2074" w:type="dxa"/>
            <w:vAlign w:val="center"/>
          </w:tcPr>
          <w:p>
            <w:pPr>
              <w:pStyle w:val="37"/>
              <w:spacing w:line="240" w:lineRule="auto"/>
            </w:pPr>
            <w:r>
              <w:rPr>
                <w:rFonts w:hint="eastAsia"/>
              </w:rPr>
              <w:t>压缩机</w:t>
            </w:r>
          </w:p>
        </w:tc>
        <w:tc>
          <w:tcPr>
            <w:tcW w:w="2074" w:type="dxa"/>
            <w:vAlign w:val="center"/>
          </w:tcPr>
          <w:p>
            <w:pPr>
              <w:pStyle w:val="37"/>
              <w:spacing w:line="240" w:lineRule="auto"/>
            </w:pPr>
            <w:r>
              <w:rPr>
                <w:rFonts w:hint="eastAsia"/>
              </w:rPr>
              <w:t>13</w:t>
            </w:r>
          </w:p>
        </w:tc>
        <w:tc>
          <w:tcPr>
            <w:tcW w:w="2074" w:type="dxa"/>
            <w:vAlign w:val="center"/>
          </w:tcPr>
          <w:p>
            <w:pPr>
              <w:pStyle w:val="37"/>
              <w:spacing w:line="240" w:lineRule="auto"/>
            </w:pPr>
            <w:r>
              <w:rPr>
                <w:rFonts w:hint="eastAsia"/>
              </w:rPr>
              <w:t>以上基本</w:t>
            </w:r>
            <w:r>
              <w:t>节点的合理组合</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2074" w:type="dxa"/>
            <w:shd w:val="clear" w:color="auto" w:fill="D9E2F3" w:themeFill="accent1" w:themeFillTint="33"/>
            <w:vAlign w:val="center"/>
          </w:tcPr>
          <w:p>
            <w:pPr>
              <w:pStyle w:val="37"/>
              <w:spacing w:line="240" w:lineRule="auto"/>
              <w:rPr>
                <w:b w:val="0"/>
                <w:bCs w:val="0"/>
              </w:rPr>
            </w:pPr>
            <w:r>
              <w:rPr>
                <w:b w:val="0"/>
                <w:bCs/>
              </w:rPr>
              <w:t>7</w:t>
            </w:r>
          </w:p>
        </w:tc>
        <w:tc>
          <w:tcPr>
            <w:tcW w:w="2074" w:type="dxa"/>
            <w:shd w:val="clear" w:color="auto" w:fill="D9E2F3" w:themeFill="accent1" w:themeFillTint="33"/>
            <w:vAlign w:val="center"/>
          </w:tcPr>
          <w:p>
            <w:pPr>
              <w:pStyle w:val="37"/>
              <w:spacing w:line="240" w:lineRule="auto"/>
            </w:pPr>
            <w:r>
              <w:rPr>
                <w:rFonts w:hint="eastAsia"/>
              </w:rPr>
              <w:t>鼓风机</w:t>
            </w:r>
          </w:p>
        </w:tc>
        <w:tc>
          <w:tcPr>
            <w:tcW w:w="2074" w:type="dxa"/>
            <w:shd w:val="clear" w:color="auto" w:fill="D9E2F3" w:themeFill="accent1" w:themeFillTint="33"/>
            <w:vAlign w:val="center"/>
          </w:tcPr>
          <w:p>
            <w:pPr>
              <w:pStyle w:val="37"/>
              <w:spacing w:line="240" w:lineRule="auto"/>
            </w:pPr>
          </w:p>
        </w:tc>
        <w:tc>
          <w:tcPr>
            <w:tcW w:w="2074" w:type="dxa"/>
            <w:shd w:val="clear" w:color="auto" w:fill="D9E2F3" w:themeFill="accent1" w:themeFillTint="33"/>
            <w:vAlign w:val="center"/>
          </w:tcPr>
          <w:p>
            <w:pPr>
              <w:pStyle w:val="37"/>
              <w:spacing w:line="240" w:lineRule="auto"/>
            </w:pPr>
          </w:p>
        </w:tc>
      </w:tr>
    </w:tbl>
    <w:p>
      <w:pPr>
        <w:pStyle w:val="3"/>
        <w:spacing w:before="156" w:after="156"/>
        <w:ind w:firstLine="562"/>
      </w:pPr>
      <w:bookmarkStart w:id="207" w:name="_Toc141203967"/>
      <w:bookmarkStart w:id="208" w:name="_Toc108206558"/>
      <w:r>
        <w:t xml:space="preserve">8.5 </w:t>
      </w:r>
      <w:r>
        <w:rPr>
          <w:rFonts w:hint="eastAsia"/>
        </w:rPr>
        <w:t>HAZOP分析的工艺引导词</w:t>
      </w:r>
      <w:bookmarkEnd w:id="207"/>
      <w:bookmarkEnd w:id="208"/>
    </w:p>
    <w:p>
      <w:pPr>
        <w:spacing w:before="156" w:after="156"/>
        <w:ind w:firstLine="420"/>
      </w:pPr>
      <w:r>
        <w:t>引导词是指用于定性或定量设计工艺指标的简单词语，引导识别工艺过程的危险。偏差是指分析组使用引导词系统地对每个分析节点的工艺参数（如流量、压力等）进行分析发现的系列偏离工艺指标的情况。偏差为引导词与工艺参数的组合，一般表示如下：</w:t>
      </w:r>
    </w:p>
    <w:p>
      <w:pPr>
        <w:spacing w:before="156" w:after="156"/>
        <w:ind w:firstLine="420"/>
      </w:pPr>
      <w:r>
        <w:t>偏差=引导词+工艺参数</w:t>
      </w:r>
    </w:p>
    <w:p>
      <w:pPr>
        <w:spacing w:before="156" w:after="156"/>
        <w:ind w:firstLine="420"/>
      </w:pPr>
      <w:r>
        <w:t>常见引导词的名称和含义见表8-2。</w:t>
      </w:r>
    </w:p>
    <w:p>
      <w:pPr>
        <w:pStyle w:val="39"/>
        <w:rPr>
          <w:rFonts w:ascii="宋体" w:hAnsi="宋体" w:eastAsia="宋体"/>
          <w:sz w:val="18"/>
          <w:szCs w:val="18"/>
        </w:rPr>
      </w:pPr>
      <w:r>
        <w:rPr>
          <w:rFonts w:hint="eastAsia" w:ascii="宋体" w:hAnsi="宋体" w:eastAsia="宋体"/>
          <w:sz w:val="18"/>
          <w:szCs w:val="18"/>
        </w:rPr>
        <w:t>表8-2 HAZOP分析</w:t>
      </w:r>
      <w:r>
        <w:rPr>
          <w:rFonts w:ascii="宋体" w:hAnsi="宋体" w:eastAsia="宋体"/>
          <w:sz w:val="18"/>
          <w:szCs w:val="18"/>
        </w:rPr>
        <w:t>的引导词</w:t>
      </w:r>
    </w:p>
    <w:tbl>
      <w:tblPr>
        <w:tblStyle w:val="44"/>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988"/>
        <w:gridCol w:w="1417"/>
        <w:gridCol w:w="992"/>
        <w:gridCol w:w="2127"/>
        <w:gridCol w:w="2772"/>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序号</w:t>
            </w:r>
          </w:p>
        </w:tc>
        <w:tc>
          <w:tcPr>
            <w:tcW w:w="141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引导词</w:t>
            </w:r>
          </w:p>
        </w:tc>
        <w:tc>
          <w:tcPr>
            <w:tcW w:w="99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偏差</w:t>
            </w:r>
          </w:p>
        </w:tc>
        <w:tc>
          <w:tcPr>
            <w:tcW w:w="212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含义</w:t>
            </w:r>
          </w:p>
        </w:tc>
        <w:tc>
          <w:tcPr>
            <w:tcW w:w="2772"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说明</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shd w:val="clear" w:color="auto" w:fill="D9E2F3" w:themeFill="accent1" w:themeFillTint="33"/>
            <w:vAlign w:val="center"/>
          </w:tcPr>
          <w:p>
            <w:pPr>
              <w:pStyle w:val="37"/>
              <w:spacing w:line="240" w:lineRule="auto"/>
              <w:rPr>
                <w:b w:val="0"/>
                <w:bCs w:val="0"/>
              </w:rPr>
            </w:pPr>
            <w:r>
              <w:rPr>
                <w:b w:val="0"/>
                <w:bCs/>
              </w:rPr>
              <w:t>1</w:t>
            </w:r>
          </w:p>
        </w:tc>
        <w:tc>
          <w:tcPr>
            <w:tcW w:w="1417" w:type="dxa"/>
            <w:shd w:val="clear" w:color="auto" w:fill="D9E2F3" w:themeFill="accent1" w:themeFillTint="33"/>
            <w:vAlign w:val="center"/>
          </w:tcPr>
          <w:p>
            <w:pPr>
              <w:pStyle w:val="37"/>
              <w:spacing w:line="240" w:lineRule="auto"/>
            </w:pPr>
            <w:r>
              <w:t>NO</w:t>
            </w:r>
          </w:p>
        </w:tc>
        <w:tc>
          <w:tcPr>
            <w:tcW w:w="992" w:type="dxa"/>
            <w:shd w:val="clear" w:color="auto" w:fill="D9E2F3" w:themeFill="accent1" w:themeFillTint="33"/>
            <w:vAlign w:val="center"/>
          </w:tcPr>
          <w:p>
            <w:pPr>
              <w:pStyle w:val="37"/>
              <w:spacing w:line="240" w:lineRule="auto"/>
            </w:pPr>
            <w:r>
              <w:t>否</w:t>
            </w:r>
          </w:p>
        </w:tc>
        <w:tc>
          <w:tcPr>
            <w:tcW w:w="2127" w:type="dxa"/>
            <w:shd w:val="clear" w:color="auto" w:fill="D9E2F3" w:themeFill="accent1" w:themeFillTint="33"/>
            <w:vAlign w:val="center"/>
          </w:tcPr>
          <w:p>
            <w:pPr>
              <w:pStyle w:val="37"/>
              <w:spacing w:line="240" w:lineRule="auto"/>
            </w:pPr>
            <w:r>
              <w:t>对设计意图的否定</w:t>
            </w:r>
          </w:p>
        </w:tc>
        <w:tc>
          <w:tcPr>
            <w:tcW w:w="2772" w:type="dxa"/>
            <w:shd w:val="clear" w:color="auto" w:fill="D9E2F3" w:themeFill="accent1" w:themeFillTint="33"/>
            <w:vAlign w:val="center"/>
          </w:tcPr>
          <w:p>
            <w:pPr>
              <w:pStyle w:val="37"/>
              <w:spacing w:line="240" w:lineRule="auto"/>
            </w:pPr>
            <w:r>
              <w:t>设计或操作要求的指标或事件完全不发生</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vAlign w:val="center"/>
          </w:tcPr>
          <w:p>
            <w:pPr>
              <w:pStyle w:val="37"/>
              <w:spacing w:line="240" w:lineRule="auto"/>
              <w:rPr>
                <w:b w:val="0"/>
                <w:bCs w:val="0"/>
              </w:rPr>
            </w:pPr>
            <w:r>
              <w:rPr>
                <w:b w:val="0"/>
                <w:bCs/>
              </w:rPr>
              <w:t>2</w:t>
            </w:r>
          </w:p>
        </w:tc>
        <w:tc>
          <w:tcPr>
            <w:tcW w:w="1417" w:type="dxa"/>
            <w:vAlign w:val="center"/>
          </w:tcPr>
          <w:p>
            <w:pPr>
              <w:pStyle w:val="37"/>
              <w:spacing w:line="240" w:lineRule="auto"/>
            </w:pPr>
            <w:r>
              <w:t>Less</w:t>
            </w:r>
          </w:p>
        </w:tc>
        <w:tc>
          <w:tcPr>
            <w:tcW w:w="992" w:type="dxa"/>
            <w:vAlign w:val="center"/>
          </w:tcPr>
          <w:p>
            <w:pPr>
              <w:pStyle w:val="37"/>
              <w:spacing w:line="240" w:lineRule="auto"/>
            </w:pPr>
            <w:r>
              <w:t>少</w:t>
            </w:r>
          </w:p>
        </w:tc>
        <w:tc>
          <w:tcPr>
            <w:tcW w:w="2127" w:type="dxa"/>
            <w:vAlign w:val="center"/>
          </w:tcPr>
          <w:p>
            <w:pPr>
              <w:pStyle w:val="37"/>
              <w:spacing w:line="240" w:lineRule="auto"/>
            </w:pPr>
            <w:r>
              <w:t>数量减少</w:t>
            </w:r>
          </w:p>
        </w:tc>
        <w:tc>
          <w:tcPr>
            <w:tcW w:w="2772" w:type="dxa"/>
            <w:vAlign w:val="center"/>
          </w:tcPr>
          <w:p>
            <w:pPr>
              <w:pStyle w:val="37"/>
              <w:spacing w:line="240" w:lineRule="auto"/>
            </w:pPr>
            <w:r>
              <w:t>同标准值比较数值偏小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shd w:val="clear" w:color="auto" w:fill="D9E2F3" w:themeFill="accent1" w:themeFillTint="33"/>
            <w:vAlign w:val="center"/>
          </w:tcPr>
          <w:p>
            <w:pPr>
              <w:pStyle w:val="37"/>
              <w:spacing w:line="240" w:lineRule="auto"/>
              <w:rPr>
                <w:b w:val="0"/>
                <w:bCs w:val="0"/>
              </w:rPr>
            </w:pPr>
            <w:r>
              <w:rPr>
                <w:b w:val="0"/>
                <w:bCs/>
              </w:rPr>
              <w:t>3</w:t>
            </w:r>
          </w:p>
        </w:tc>
        <w:tc>
          <w:tcPr>
            <w:tcW w:w="1417" w:type="dxa"/>
            <w:shd w:val="clear" w:color="auto" w:fill="D9E2F3" w:themeFill="accent1" w:themeFillTint="33"/>
            <w:vAlign w:val="center"/>
          </w:tcPr>
          <w:p>
            <w:pPr>
              <w:pStyle w:val="37"/>
              <w:spacing w:line="240" w:lineRule="auto"/>
            </w:pPr>
            <w:r>
              <w:t>More</w:t>
            </w:r>
          </w:p>
        </w:tc>
        <w:tc>
          <w:tcPr>
            <w:tcW w:w="992" w:type="dxa"/>
            <w:shd w:val="clear" w:color="auto" w:fill="D9E2F3" w:themeFill="accent1" w:themeFillTint="33"/>
            <w:vAlign w:val="center"/>
          </w:tcPr>
          <w:p>
            <w:pPr>
              <w:pStyle w:val="37"/>
              <w:spacing w:line="240" w:lineRule="auto"/>
            </w:pPr>
            <w:r>
              <w:t>多</w:t>
            </w:r>
          </w:p>
        </w:tc>
        <w:tc>
          <w:tcPr>
            <w:tcW w:w="2127" w:type="dxa"/>
            <w:shd w:val="clear" w:color="auto" w:fill="D9E2F3" w:themeFill="accent1" w:themeFillTint="33"/>
            <w:vAlign w:val="center"/>
          </w:tcPr>
          <w:p>
            <w:pPr>
              <w:pStyle w:val="37"/>
              <w:spacing w:line="240" w:lineRule="auto"/>
            </w:pPr>
            <w:r>
              <w:t>数量增加</w:t>
            </w:r>
          </w:p>
        </w:tc>
        <w:tc>
          <w:tcPr>
            <w:tcW w:w="2772" w:type="dxa"/>
            <w:shd w:val="clear" w:color="auto" w:fill="D9E2F3" w:themeFill="accent1" w:themeFillTint="33"/>
            <w:vAlign w:val="center"/>
          </w:tcPr>
          <w:p>
            <w:pPr>
              <w:pStyle w:val="37"/>
              <w:spacing w:line="240" w:lineRule="auto"/>
            </w:pPr>
            <w:r>
              <w:t>同标准值比较数值偏大</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vAlign w:val="center"/>
          </w:tcPr>
          <w:p>
            <w:pPr>
              <w:pStyle w:val="37"/>
              <w:spacing w:line="240" w:lineRule="auto"/>
              <w:rPr>
                <w:b w:val="0"/>
                <w:bCs w:val="0"/>
              </w:rPr>
            </w:pPr>
            <w:r>
              <w:rPr>
                <w:b w:val="0"/>
                <w:bCs/>
              </w:rPr>
              <w:t>4</w:t>
            </w:r>
          </w:p>
        </w:tc>
        <w:tc>
          <w:tcPr>
            <w:tcW w:w="1417" w:type="dxa"/>
            <w:vAlign w:val="center"/>
          </w:tcPr>
          <w:p>
            <w:pPr>
              <w:pStyle w:val="37"/>
              <w:spacing w:line="240" w:lineRule="auto"/>
            </w:pPr>
            <w:r>
              <w:t>Part of</w:t>
            </w:r>
          </w:p>
        </w:tc>
        <w:tc>
          <w:tcPr>
            <w:tcW w:w="992" w:type="dxa"/>
            <w:vAlign w:val="center"/>
          </w:tcPr>
          <w:p>
            <w:pPr>
              <w:pStyle w:val="37"/>
              <w:spacing w:line="240" w:lineRule="auto"/>
            </w:pPr>
            <w:r>
              <w:t>部分</w:t>
            </w:r>
          </w:p>
        </w:tc>
        <w:tc>
          <w:tcPr>
            <w:tcW w:w="2127" w:type="dxa"/>
            <w:vAlign w:val="center"/>
          </w:tcPr>
          <w:p>
            <w:pPr>
              <w:pStyle w:val="37"/>
              <w:spacing w:line="240" w:lineRule="auto"/>
            </w:pPr>
            <w:r>
              <w:t>质的减少</w:t>
            </w:r>
          </w:p>
        </w:tc>
        <w:tc>
          <w:tcPr>
            <w:tcW w:w="2772" w:type="dxa"/>
            <w:vAlign w:val="center"/>
          </w:tcPr>
          <w:p>
            <w:pPr>
              <w:pStyle w:val="37"/>
              <w:spacing w:line="240" w:lineRule="auto"/>
            </w:pPr>
            <w:r>
              <w:t>只完成既定功能</w:t>
            </w:r>
          </w:p>
          <w:p>
            <w:pPr>
              <w:pStyle w:val="37"/>
              <w:spacing w:line="240" w:lineRule="auto"/>
            </w:pPr>
            <w:r>
              <w:t>的一部分</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shd w:val="clear" w:color="auto" w:fill="D9E2F3" w:themeFill="accent1" w:themeFillTint="33"/>
            <w:vAlign w:val="center"/>
          </w:tcPr>
          <w:p>
            <w:pPr>
              <w:pStyle w:val="37"/>
              <w:spacing w:line="240" w:lineRule="auto"/>
              <w:rPr>
                <w:b w:val="0"/>
                <w:bCs w:val="0"/>
              </w:rPr>
            </w:pPr>
            <w:r>
              <w:rPr>
                <w:b w:val="0"/>
                <w:bCs/>
              </w:rPr>
              <w:t>5</w:t>
            </w:r>
          </w:p>
        </w:tc>
        <w:tc>
          <w:tcPr>
            <w:tcW w:w="1417" w:type="dxa"/>
            <w:shd w:val="clear" w:color="auto" w:fill="D9E2F3" w:themeFill="accent1" w:themeFillTint="33"/>
            <w:vAlign w:val="center"/>
          </w:tcPr>
          <w:p>
            <w:pPr>
              <w:pStyle w:val="37"/>
              <w:spacing w:line="240" w:lineRule="auto"/>
            </w:pPr>
            <w:r>
              <w:t>As Well As</w:t>
            </w:r>
          </w:p>
        </w:tc>
        <w:tc>
          <w:tcPr>
            <w:tcW w:w="992" w:type="dxa"/>
            <w:shd w:val="clear" w:color="auto" w:fill="D9E2F3" w:themeFill="accent1" w:themeFillTint="33"/>
            <w:vAlign w:val="center"/>
          </w:tcPr>
          <w:p>
            <w:pPr>
              <w:pStyle w:val="37"/>
              <w:spacing w:line="240" w:lineRule="auto"/>
            </w:pPr>
            <w:r>
              <w:t>伴随</w:t>
            </w:r>
          </w:p>
        </w:tc>
        <w:tc>
          <w:tcPr>
            <w:tcW w:w="2127" w:type="dxa"/>
            <w:shd w:val="clear" w:color="auto" w:fill="D9E2F3" w:themeFill="accent1" w:themeFillTint="33"/>
            <w:vAlign w:val="center"/>
          </w:tcPr>
          <w:p>
            <w:pPr>
              <w:pStyle w:val="37"/>
              <w:spacing w:line="240" w:lineRule="auto"/>
            </w:pPr>
            <w:r>
              <w:t>质的增加</w:t>
            </w:r>
          </w:p>
        </w:tc>
        <w:tc>
          <w:tcPr>
            <w:tcW w:w="2772" w:type="dxa"/>
            <w:shd w:val="clear" w:color="auto" w:fill="D9E2F3" w:themeFill="accent1" w:themeFillTint="33"/>
            <w:vAlign w:val="center"/>
          </w:tcPr>
          <w:p>
            <w:pPr>
              <w:pStyle w:val="37"/>
              <w:spacing w:line="240" w:lineRule="auto"/>
            </w:pPr>
            <w:r>
              <w:t>在完成既定功能的同时，伴随多余事件发生</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vAlign w:val="center"/>
          </w:tcPr>
          <w:p>
            <w:pPr>
              <w:pStyle w:val="37"/>
              <w:spacing w:line="240" w:lineRule="auto"/>
              <w:rPr>
                <w:b w:val="0"/>
                <w:bCs w:val="0"/>
              </w:rPr>
            </w:pPr>
            <w:r>
              <w:rPr>
                <w:b w:val="0"/>
                <w:bCs/>
              </w:rPr>
              <w:t>6</w:t>
            </w:r>
          </w:p>
        </w:tc>
        <w:tc>
          <w:tcPr>
            <w:tcW w:w="1417" w:type="dxa"/>
            <w:vAlign w:val="center"/>
          </w:tcPr>
          <w:p>
            <w:pPr>
              <w:pStyle w:val="37"/>
              <w:spacing w:line="240" w:lineRule="auto"/>
            </w:pPr>
            <w:r>
              <w:t>Reverse</w:t>
            </w:r>
          </w:p>
        </w:tc>
        <w:tc>
          <w:tcPr>
            <w:tcW w:w="992" w:type="dxa"/>
            <w:vAlign w:val="center"/>
          </w:tcPr>
          <w:p>
            <w:pPr>
              <w:pStyle w:val="37"/>
              <w:spacing w:line="240" w:lineRule="auto"/>
            </w:pPr>
            <w:r>
              <w:t>相逆</w:t>
            </w:r>
          </w:p>
        </w:tc>
        <w:tc>
          <w:tcPr>
            <w:tcW w:w="2127" w:type="dxa"/>
            <w:vAlign w:val="center"/>
          </w:tcPr>
          <w:p>
            <w:pPr>
              <w:pStyle w:val="37"/>
              <w:spacing w:line="240" w:lineRule="auto"/>
            </w:pPr>
            <w:r>
              <w:t>设计意图的逻辑反面</w:t>
            </w:r>
          </w:p>
        </w:tc>
        <w:tc>
          <w:tcPr>
            <w:tcW w:w="2772" w:type="dxa"/>
            <w:vAlign w:val="center"/>
          </w:tcPr>
          <w:p>
            <w:pPr>
              <w:pStyle w:val="37"/>
              <w:spacing w:line="240" w:lineRule="auto"/>
            </w:pPr>
            <w:r>
              <w:t>出现与设计要求完全</w:t>
            </w:r>
          </w:p>
          <w:p>
            <w:pPr>
              <w:pStyle w:val="37"/>
              <w:spacing w:line="240" w:lineRule="auto"/>
            </w:pPr>
            <w:r>
              <w:t>相反的事或物</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shd w:val="clear" w:color="auto" w:fill="D9E2F3" w:themeFill="accent1" w:themeFillTint="33"/>
            <w:vAlign w:val="center"/>
          </w:tcPr>
          <w:p>
            <w:pPr>
              <w:pStyle w:val="37"/>
              <w:spacing w:line="240" w:lineRule="auto"/>
              <w:rPr>
                <w:b w:val="0"/>
                <w:bCs w:val="0"/>
              </w:rPr>
            </w:pPr>
            <w:r>
              <w:rPr>
                <w:b w:val="0"/>
                <w:bCs/>
              </w:rPr>
              <w:t>7</w:t>
            </w:r>
          </w:p>
        </w:tc>
        <w:tc>
          <w:tcPr>
            <w:tcW w:w="1417" w:type="dxa"/>
            <w:shd w:val="clear" w:color="auto" w:fill="D9E2F3" w:themeFill="accent1" w:themeFillTint="33"/>
            <w:vAlign w:val="center"/>
          </w:tcPr>
          <w:p>
            <w:pPr>
              <w:pStyle w:val="37"/>
              <w:spacing w:line="240" w:lineRule="auto"/>
            </w:pPr>
            <w:r>
              <w:t>Other Than</w:t>
            </w:r>
          </w:p>
        </w:tc>
        <w:tc>
          <w:tcPr>
            <w:tcW w:w="992" w:type="dxa"/>
            <w:shd w:val="clear" w:color="auto" w:fill="D9E2F3" w:themeFill="accent1" w:themeFillTint="33"/>
            <w:vAlign w:val="center"/>
          </w:tcPr>
          <w:p>
            <w:pPr>
              <w:pStyle w:val="37"/>
              <w:spacing w:line="240" w:lineRule="auto"/>
            </w:pPr>
            <w:r>
              <w:t>异常</w:t>
            </w:r>
          </w:p>
        </w:tc>
        <w:tc>
          <w:tcPr>
            <w:tcW w:w="2127" w:type="dxa"/>
            <w:shd w:val="clear" w:color="auto" w:fill="D9E2F3" w:themeFill="accent1" w:themeFillTint="33"/>
            <w:vAlign w:val="center"/>
          </w:tcPr>
          <w:p>
            <w:pPr>
              <w:pStyle w:val="37"/>
              <w:spacing w:line="240" w:lineRule="auto"/>
            </w:pPr>
            <w:r>
              <w:t>完全代替</w:t>
            </w:r>
          </w:p>
        </w:tc>
        <w:tc>
          <w:tcPr>
            <w:tcW w:w="2772" w:type="dxa"/>
            <w:shd w:val="clear" w:color="auto" w:fill="D9E2F3" w:themeFill="accent1" w:themeFillTint="33"/>
            <w:vAlign w:val="center"/>
          </w:tcPr>
          <w:p>
            <w:pPr>
              <w:pStyle w:val="37"/>
              <w:spacing w:line="240" w:lineRule="auto"/>
            </w:pPr>
            <w:r>
              <w:t>出现与设计要求</w:t>
            </w:r>
          </w:p>
          <w:p>
            <w:pPr>
              <w:pStyle w:val="37"/>
              <w:spacing w:line="240" w:lineRule="auto"/>
            </w:pPr>
            <w:r>
              <w:t>不相同的事或物</w:t>
            </w:r>
          </w:p>
        </w:tc>
      </w:tr>
    </w:tbl>
    <w:p>
      <w:pPr>
        <w:pStyle w:val="3"/>
        <w:spacing w:before="156" w:after="156"/>
        <w:ind w:firstLine="562"/>
      </w:pPr>
      <w:bookmarkStart w:id="209" w:name="_Toc108206559"/>
      <w:bookmarkStart w:id="210" w:name="_Toc141203968"/>
      <w:r>
        <w:t>8.6</w:t>
      </w:r>
      <w:r>
        <w:rPr>
          <w:rFonts w:hint="eastAsia"/>
        </w:rPr>
        <w:t>HAZOP分析的结果报告</w:t>
      </w:r>
      <w:bookmarkEnd w:id="209"/>
      <w:bookmarkEnd w:id="210"/>
    </w:p>
    <w:p>
      <w:pPr>
        <w:spacing w:before="156" w:after="156"/>
        <w:ind w:firstLine="420"/>
      </w:pPr>
      <w:r>
        <w:t>HAZOP研究可分为四种方法：1、原因到原因分析法；2、偏差到偏差分析法；3、异常情况HAZOP</w:t>
      </w:r>
      <w:r>
        <w:rPr>
          <w:rFonts w:hint="eastAsia"/>
        </w:rPr>
        <w:t>分析情况</w:t>
      </w:r>
      <w:r>
        <w:t>一览表；4、建议措施HAZOP</w:t>
      </w:r>
      <w:r>
        <w:rPr>
          <w:rFonts w:hint="eastAsia"/>
        </w:rPr>
        <w:t>分析情况</w:t>
      </w:r>
      <w:r>
        <w:t>一览表。HAZOP研究过程的信息汇总，见表8-3所示。</w:t>
      </w:r>
    </w:p>
    <w:p>
      <w:pPr>
        <w:pStyle w:val="39"/>
        <w:rPr>
          <w:rFonts w:ascii="宋体" w:hAnsi="宋体" w:eastAsia="宋体"/>
          <w:sz w:val="18"/>
          <w:szCs w:val="18"/>
        </w:rPr>
      </w:pPr>
      <w:r>
        <w:rPr>
          <w:rFonts w:hint="eastAsia" w:ascii="宋体" w:hAnsi="宋体" w:eastAsia="宋体"/>
          <w:sz w:val="18"/>
          <w:szCs w:val="18"/>
        </w:rPr>
        <w:t>表8-3 HAZOP分析</w:t>
      </w:r>
      <w:r>
        <w:rPr>
          <w:rFonts w:ascii="宋体" w:hAnsi="宋体" w:eastAsia="宋体"/>
          <w:sz w:val="18"/>
          <w:szCs w:val="18"/>
        </w:rPr>
        <w:t>信息汇总表</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539"/>
        <w:gridCol w:w="1418"/>
        <w:gridCol w:w="1417"/>
        <w:gridCol w:w="1922"/>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539"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HAZOP所需</w:t>
            </w:r>
            <w:r>
              <w:rPr>
                <w:b/>
                <w:bCs/>
                <w:color w:val="FFFFFF" w:themeColor="background1"/>
                <w14:textFill>
                  <w14:solidFill>
                    <w14:schemeClr w14:val="bg1"/>
                  </w14:solidFill>
                </w14:textFill>
              </w:rPr>
              <w:t>信息和资料</w:t>
            </w:r>
          </w:p>
        </w:tc>
        <w:tc>
          <w:tcPr>
            <w:tcW w:w="141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研究</w:t>
            </w:r>
          </w:p>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范围</w:t>
            </w:r>
          </w:p>
        </w:tc>
        <w:tc>
          <w:tcPr>
            <w:tcW w:w="141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时间</w:t>
            </w:r>
          </w:p>
          <w:p>
            <w:pPr>
              <w:pStyle w:val="37"/>
              <w:spacing w:line="240" w:lineRule="auto"/>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安排</w:t>
            </w:r>
          </w:p>
        </w:tc>
        <w:tc>
          <w:tcPr>
            <w:tcW w:w="1922"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小组</w:t>
            </w:r>
            <w:r>
              <w:rPr>
                <w:b/>
                <w:bCs/>
                <w:color w:val="FFFFFF" w:themeColor="background1"/>
                <w14:textFill>
                  <w14:solidFill>
                    <w14:schemeClr w14:val="bg1"/>
                  </w14:solidFill>
                </w14:textFill>
              </w:rPr>
              <w:t>成员</w:t>
            </w:r>
          </w:p>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需求</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539" w:type="dxa"/>
            <w:shd w:val="clear" w:color="auto" w:fill="D9E2F3" w:themeFill="accent1" w:themeFillTint="33"/>
            <w:vAlign w:val="center"/>
          </w:tcPr>
          <w:p>
            <w:pPr>
              <w:pStyle w:val="37"/>
              <w:spacing w:line="240" w:lineRule="auto"/>
              <w:rPr>
                <w:b w:val="0"/>
                <w:bCs w:val="0"/>
              </w:rPr>
            </w:pPr>
            <w:r>
              <w:rPr>
                <w:b w:val="0"/>
                <w:bCs/>
              </w:rPr>
              <w:t>设计规定/工艺描述/设计基础</w:t>
            </w:r>
            <w:r>
              <w:rPr>
                <w:rFonts w:hint="eastAsia"/>
                <w:b w:val="0"/>
                <w:bCs/>
              </w:rPr>
              <w:t>；</w:t>
            </w:r>
            <w:r>
              <w:rPr>
                <w:b w:val="0"/>
                <w:bCs/>
              </w:rPr>
              <w:t>工艺工程物料流程图PFD/UFD</w:t>
            </w:r>
            <w:r>
              <w:rPr>
                <w:rFonts w:hint="eastAsia"/>
                <w:b w:val="0"/>
                <w:bCs/>
              </w:rPr>
              <w:t>；</w:t>
            </w:r>
            <w:r>
              <w:rPr>
                <w:b w:val="0"/>
                <w:bCs/>
              </w:rPr>
              <w:t>物料及能量平衡表/工艺数据表</w:t>
            </w:r>
            <w:r>
              <w:rPr>
                <w:rFonts w:hint="eastAsia"/>
                <w:b w:val="0"/>
                <w:bCs/>
              </w:rPr>
              <w:t>；</w:t>
            </w:r>
            <w:r>
              <w:rPr>
                <w:b w:val="0"/>
                <w:bCs/>
              </w:rPr>
              <w:t>公用工程消耗表/工艺危险性分析</w:t>
            </w:r>
            <w:r>
              <w:rPr>
                <w:rFonts w:hint="eastAsia"/>
                <w:b w:val="0"/>
                <w:bCs/>
              </w:rPr>
              <w:t>；</w:t>
            </w:r>
            <w:r>
              <w:rPr>
                <w:b w:val="0"/>
                <w:bCs/>
              </w:rPr>
              <w:t>化学物料安全资料及特性表</w:t>
            </w:r>
            <w:r>
              <w:rPr>
                <w:rFonts w:hint="eastAsia"/>
                <w:b w:val="0"/>
                <w:bCs/>
              </w:rPr>
              <w:t>；</w:t>
            </w:r>
            <w:r>
              <w:rPr>
                <w:b w:val="0"/>
                <w:bCs/>
              </w:rPr>
              <w:t>管道和仪表流程图PID/UID工艺管线一览表</w:t>
            </w:r>
            <w:r>
              <w:rPr>
                <w:rFonts w:hint="eastAsia"/>
                <w:b w:val="0"/>
                <w:bCs/>
              </w:rPr>
              <w:t>；</w:t>
            </w:r>
            <w:r>
              <w:rPr>
                <w:b w:val="0"/>
                <w:bCs/>
              </w:rPr>
              <w:t>仪表数据表/工艺因果图</w:t>
            </w:r>
            <w:r>
              <w:rPr>
                <w:rFonts w:hint="eastAsia"/>
                <w:b w:val="0"/>
                <w:bCs/>
              </w:rPr>
              <w:t>；</w:t>
            </w:r>
            <w:r>
              <w:rPr>
                <w:b w:val="0"/>
                <w:bCs/>
              </w:rPr>
              <w:t>ESD或SIS紧急停车方案</w:t>
            </w:r>
            <w:r>
              <w:rPr>
                <w:rFonts w:hint="eastAsia"/>
                <w:b w:val="0"/>
                <w:bCs/>
              </w:rPr>
              <w:t>；</w:t>
            </w:r>
            <w:r>
              <w:rPr>
                <w:b w:val="0"/>
                <w:bCs/>
              </w:rPr>
              <w:t>SIL安全整体水平评估/PSV安全阀</w:t>
            </w:r>
            <w:r>
              <w:rPr>
                <w:rFonts w:hint="eastAsia"/>
                <w:b w:val="0"/>
                <w:bCs/>
              </w:rPr>
              <w:t>；</w:t>
            </w:r>
            <w:r>
              <w:rPr>
                <w:b w:val="0"/>
                <w:bCs/>
              </w:rPr>
              <w:t>设备一览表/设备规格表</w:t>
            </w:r>
            <w:r>
              <w:rPr>
                <w:rFonts w:hint="eastAsia"/>
                <w:b w:val="0"/>
                <w:bCs/>
              </w:rPr>
              <w:t>；</w:t>
            </w:r>
            <w:r>
              <w:rPr>
                <w:b w:val="0"/>
                <w:bCs/>
              </w:rPr>
              <w:t>管线界区一览表/平面布置图</w:t>
            </w:r>
          </w:p>
        </w:tc>
        <w:tc>
          <w:tcPr>
            <w:tcW w:w="1418" w:type="dxa"/>
            <w:shd w:val="clear" w:color="auto" w:fill="D9E2F3" w:themeFill="accent1" w:themeFillTint="33"/>
            <w:vAlign w:val="center"/>
          </w:tcPr>
          <w:p>
            <w:pPr>
              <w:pStyle w:val="37"/>
              <w:spacing w:line="240" w:lineRule="auto"/>
            </w:pPr>
            <w:r>
              <w:t>对管道和仪表路程图PID进行全HAZOP审核</w:t>
            </w:r>
          </w:p>
        </w:tc>
        <w:tc>
          <w:tcPr>
            <w:tcW w:w="1417" w:type="dxa"/>
            <w:shd w:val="clear" w:color="auto" w:fill="D9E2F3" w:themeFill="accent1" w:themeFillTint="33"/>
            <w:vAlign w:val="center"/>
          </w:tcPr>
          <w:p>
            <w:pPr>
              <w:pStyle w:val="37"/>
              <w:spacing w:line="240" w:lineRule="auto"/>
            </w:pPr>
            <w:r>
              <w:t>在项目详细设计所需的工艺流程图定义阶段进行或在工艺流程图的全面审核、价值工程、成本降低工作完成之后开展HAZOP</w:t>
            </w:r>
          </w:p>
        </w:tc>
        <w:tc>
          <w:tcPr>
            <w:tcW w:w="1922" w:type="dxa"/>
            <w:shd w:val="clear" w:color="auto" w:fill="D9E2F3" w:themeFill="accent1" w:themeFillTint="33"/>
            <w:vAlign w:val="center"/>
          </w:tcPr>
          <w:p>
            <w:pPr>
              <w:pStyle w:val="37"/>
              <w:spacing w:line="240" w:lineRule="auto"/>
            </w:pPr>
            <w:r>
              <w:t>项目工程师</w:t>
            </w:r>
          </w:p>
          <w:p>
            <w:pPr>
              <w:pStyle w:val="37"/>
              <w:spacing w:line="240" w:lineRule="auto"/>
            </w:pPr>
            <w:r>
              <w:t>工艺工程师</w:t>
            </w:r>
          </w:p>
          <w:p>
            <w:pPr>
              <w:pStyle w:val="37"/>
              <w:spacing w:line="240" w:lineRule="auto"/>
            </w:pPr>
            <w:r>
              <w:t>仪表/电气工程师</w:t>
            </w:r>
          </w:p>
          <w:p>
            <w:pPr>
              <w:pStyle w:val="37"/>
              <w:spacing w:line="240" w:lineRule="auto"/>
            </w:pPr>
            <w:r>
              <w:t>机械工程师</w:t>
            </w:r>
          </w:p>
          <w:p>
            <w:pPr>
              <w:pStyle w:val="37"/>
              <w:spacing w:line="240" w:lineRule="auto"/>
            </w:pPr>
            <w:r>
              <w:t>HSE工程师</w:t>
            </w:r>
          </w:p>
          <w:p>
            <w:pPr>
              <w:pStyle w:val="37"/>
              <w:spacing w:line="240" w:lineRule="auto"/>
            </w:pPr>
            <w:r>
              <w:t>专利商工艺专家</w:t>
            </w:r>
          </w:p>
          <w:p>
            <w:pPr>
              <w:pStyle w:val="37"/>
              <w:spacing w:line="240" w:lineRule="auto"/>
            </w:pPr>
            <w:r>
              <w:t>操作专家</w:t>
            </w:r>
          </w:p>
          <w:p>
            <w:pPr>
              <w:pStyle w:val="37"/>
              <w:spacing w:line="240" w:lineRule="auto"/>
            </w:pPr>
            <w:r>
              <w:t>设备专家</w:t>
            </w:r>
          </w:p>
        </w:tc>
      </w:tr>
    </w:tbl>
    <w:p>
      <w:pPr>
        <w:pStyle w:val="3"/>
        <w:spacing w:before="156" w:after="156"/>
        <w:ind w:firstLine="562"/>
      </w:pPr>
      <w:bookmarkStart w:id="211" w:name="_Toc141203969"/>
      <w:bookmarkStart w:id="212" w:name="_Toc108206560"/>
      <w:r>
        <w:t xml:space="preserve">8.7 </w:t>
      </w:r>
      <w:r>
        <w:rPr>
          <w:rFonts w:hint="eastAsia"/>
        </w:rPr>
        <w:t>HAZOP分析的优缺点</w:t>
      </w:r>
      <w:bookmarkEnd w:id="211"/>
      <w:bookmarkEnd w:id="212"/>
    </w:p>
    <w:p>
      <w:pPr>
        <w:spacing w:before="156" w:after="156"/>
        <w:ind w:firstLine="420"/>
      </w:pPr>
      <w:r>
        <w:t>HAZOP</w:t>
      </w:r>
      <w:r>
        <w:rPr>
          <w:rFonts w:hint="eastAsia"/>
        </w:rPr>
        <w:t>分析</w:t>
      </w:r>
      <w:r>
        <w:t>的优点是利用引导词对工艺参数逐一分析可能的偏差，因此能够完整的识别危险，为设计改进运行控制提供很好的依据。HAZOP</w:t>
      </w:r>
      <w:r>
        <w:rPr>
          <w:rFonts w:hint="eastAsia"/>
        </w:rPr>
        <w:t>分析</w:t>
      </w:r>
      <w:r>
        <w:t>的缺点是过程繁琐、费时费力；尤其是复杂工艺装置的HAZOP研究和分析，在时间和人员安排上与正常工程设计有一定的冲突。</w:t>
      </w:r>
    </w:p>
    <w:p>
      <w:pPr>
        <w:pStyle w:val="3"/>
        <w:spacing w:before="156" w:after="156"/>
        <w:ind w:firstLine="562"/>
      </w:pPr>
      <w:bookmarkStart w:id="213" w:name="_Toc108206561"/>
      <w:bookmarkStart w:id="214" w:name="_Toc141203970"/>
      <w:r>
        <w:t xml:space="preserve">8.8 </w:t>
      </w:r>
      <w:r>
        <w:rPr>
          <w:rFonts w:hint="eastAsia"/>
        </w:rPr>
        <w:t>HAZOP分析与工艺装置开车的关系</w:t>
      </w:r>
      <w:bookmarkEnd w:id="213"/>
      <w:bookmarkEnd w:id="214"/>
    </w:p>
    <w:p>
      <w:pPr>
        <w:spacing w:before="156" w:after="156"/>
        <w:ind w:firstLine="420"/>
      </w:pPr>
      <w:r>
        <w:t>将化工、石油、石化的易燃易爆物料引入工艺生产装置之前，必须进行开车安全预审；审核的一部分就是确认HAZOP安全建议的内容和汇总情况。如果安全建议未能落实，在永久性措施实施之前应采取临时措施；必须对未完成的安全性建议进行仔细审查以确认和记录在建议措施未落实的情况下工艺的开车安全和操作安全不会受到影响。</w:t>
      </w:r>
    </w:p>
    <w:p>
      <w:pPr>
        <w:pStyle w:val="3"/>
        <w:spacing w:before="156" w:after="156"/>
        <w:ind w:firstLine="562"/>
      </w:pPr>
      <w:bookmarkStart w:id="215" w:name="_Toc108206562"/>
      <w:bookmarkStart w:id="216" w:name="_Toc141203971"/>
      <w:r>
        <w:t>8.9</w:t>
      </w:r>
      <w:r>
        <w:rPr>
          <w:rFonts w:hint="eastAsia"/>
        </w:rPr>
        <w:t>HAZOP分析的实际应用</w:t>
      </w:r>
      <w:bookmarkEnd w:id="215"/>
      <w:bookmarkEnd w:id="216"/>
    </w:p>
    <w:p>
      <w:pPr>
        <w:spacing w:before="156" w:after="156"/>
        <w:ind w:firstLine="422"/>
        <w:rPr>
          <w:b/>
          <w:bCs/>
        </w:rPr>
      </w:pPr>
      <w:r>
        <w:rPr>
          <w:rFonts w:hint="eastAsia"/>
          <w:b/>
          <w:bCs/>
        </w:rPr>
        <w:t>以精馏塔为分析节点</w:t>
      </w:r>
    </w:p>
    <w:p>
      <w:pPr>
        <w:pStyle w:val="39"/>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 xml:space="preserve">8-4 </w:t>
      </w:r>
      <w:r>
        <w:rPr>
          <w:rFonts w:hint="eastAsia" w:ascii="宋体" w:hAnsi="宋体" w:eastAsia="宋体"/>
          <w:sz w:val="18"/>
          <w:szCs w:val="18"/>
        </w:rPr>
        <w:t>精馏塔</w:t>
      </w:r>
      <w:r>
        <w:rPr>
          <w:rFonts w:ascii="宋体" w:hAnsi="宋体" w:eastAsia="宋体"/>
          <w:sz w:val="18"/>
          <w:szCs w:val="18"/>
        </w:rPr>
        <w:t>工艺参数偏差</w:t>
      </w:r>
    </w:p>
    <w:tbl>
      <w:tblPr>
        <w:tblStyle w:val="44"/>
        <w:tblW w:w="8642"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37"/>
        <w:gridCol w:w="1037"/>
        <w:gridCol w:w="1037"/>
        <w:gridCol w:w="1037"/>
        <w:gridCol w:w="1037"/>
        <w:gridCol w:w="1037"/>
        <w:gridCol w:w="1037"/>
        <w:gridCol w:w="1383"/>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37" w:type="dxa"/>
            <w:vMerge w:val="restar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工艺参数</w:t>
            </w:r>
          </w:p>
        </w:tc>
        <w:tc>
          <w:tcPr>
            <w:tcW w:w="7605" w:type="dxa"/>
            <w:gridSpan w:val="7"/>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引导词</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37" w:type="dxa"/>
            <w:vMerge w:val="continue"/>
            <w:shd w:val="clear" w:color="auto" w:fill="D9E2F3" w:themeFill="accent1" w:themeFillTint="33"/>
            <w:vAlign w:val="center"/>
          </w:tcPr>
          <w:p>
            <w:pPr>
              <w:pStyle w:val="37"/>
              <w:spacing w:line="240" w:lineRule="auto"/>
              <w:rPr>
                <w:b w:val="0"/>
                <w:bCs w:val="0"/>
              </w:rPr>
            </w:pPr>
          </w:p>
        </w:tc>
        <w:tc>
          <w:tcPr>
            <w:tcW w:w="1037" w:type="dxa"/>
            <w:shd w:val="clear" w:color="auto" w:fill="D9E2F3" w:themeFill="accent1" w:themeFillTint="33"/>
            <w:vAlign w:val="center"/>
          </w:tcPr>
          <w:p>
            <w:pPr>
              <w:pStyle w:val="37"/>
              <w:spacing w:line="240" w:lineRule="auto"/>
              <w:rPr>
                <w:b/>
                <w:bCs/>
              </w:rPr>
            </w:pPr>
            <w:r>
              <w:rPr>
                <w:rFonts w:hint="eastAsia"/>
              </w:rPr>
              <w:t>无</w:t>
            </w:r>
          </w:p>
        </w:tc>
        <w:tc>
          <w:tcPr>
            <w:tcW w:w="1037" w:type="dxa"/>
            <w:shd w:val="clear" w:color="auto" w:fill="D9E2F3" w:themeFill="accent1" w:themeFillTint="33"/>
            <w:vAlign w:val="center"/>
          </w:tcPr>
          <w:p>
            <w:pPr>
              <w:pStyle w:val="37"/>
              <w:spacing w:line="240" w:lineRule="auto"/>
              <w:rPr>
                <w:b/>
                <w:bCs/>
              </w:rPr>
            </w:pPr>
            <w:r>
              <w:rPr>
                <w:rFonts w:hint="eastAsia"/>
              </w:rPr>
              <w:t>过量</w:t>
            </w:r>
          </w:p>
        </w:tc>
        <w:tc>
          <w:tcPr>
            <w:tcW w:w="1037" w:type="dxa"/>
            <w:shd w:val="clear" w:color="auto" w:fill="D9E2F3" w:themeFill="accent1" w:themeFillTint="33"/>
            <w:vAlign w:val="center"/>
          </w:tcPr>
          <w:p>
            <w:pPr>
              <w:pStyle w:val="37"/>
              <w:spacing w:line="240" w:lineRule="auto"/>
              <w:rPr>
                <w:b/>
                <w:bCs/>
              </w:rPr>
            </w:pPr>
            <w:r>
              <w:rPr>
                <w:rFonts w:hint="eastAsia"/>
              </w:rPr>
              <w:t>减量</w:t>
            </w:r>
          </w:p>
        </w:tc>
        <w:tc>
          <w:tcPr>
            <w:tcW w:w="1037" w:type="dxa"/>
            <w:shd w:val="clear" w:color="auto" w:fill="D9E2F3" w:themeFill="accent1" w:themeFillTint="33"/>
            <w:vAlign w:val="center"/>
          </w:tcPr>
          <w:p>
            <w:pPr>
              <w:pStyle w:val="37"/>
              <w:spacing w:line="240" w:lineRule="auto"/>
              <w:rPr>
                <w:b/>
                <w:bCs/>
              </w:rPr>
            </w:pPr>
            <w:r>
              <w:rPr>
                <w:rFonts w:hint="eastAsia"/>
              </w:rPr>
              <w:t>伴随</w:t>
            </w:r>
          </w:p>
        </w:tc>
        <w:tc>
          <w:tcPr>
            <w:tcW w:w="1037" w:type="dxa"/>
            <w:shd w:val="clear" w:color="auto" w:fill="D9E2F3" w:themeFill="accent1" w:themeFillTint="33"/>
            <w:vAlign w:val="center"/>
          </w:tcPr>
          <w:p>
            <w:pPr>
              <w:pStyle w:val="37"/>
              <w:spacing w:line="240" w:lineRule="auto"/>
              <w:rPr>
                <w:b/>
                <w:bCs/>
              </w:rPr>
            </w:pPr>
            <w:r>
              <w:rPr>
                <w:rFonts w:hint="eastAsia"/>
              </w:rPr>
              <w:t>部分</w:t>
            </w:r>
          </w:p>
        </w:tc>
        <w:tc>
          <w:tcPr>
            <w:tcW w:w="1037" w:type="dxa"/>
            <w:shd w:val="clear" w:color="auto" w:fill="D9E2F3" w:themeFill="accent1" w:themeFillTint="33"/>
            <w:vAlign w:val="center"/>
          </w:tcPr>
          <w:p>
            <w:pPr>
              <w:pStyle w:val="37"/>
              <w:spacing w:line="240" w:lineRule="auto"/>
              <w:rPr>
                <w:b/>
                <w:bCs/>
              </w:rPr>
            </w:pPr>
            <w:r>
              <w:rPr>
                <w:rFonts w:hint="eastAsia"/>
              </w:rPr>
              <w:t>相</w:t>
            </w:r>
            <w:r>
              <w:t>逆</w:t>
            </w:r>
          </w:p>
        </w:tc>
        <w:tc>
          <w:tcPr>
            <w:tcW w:w="1383" w:type="dxa"/>
            <w:shd w:val="clear" w:color="auto" w:fill="D9E2F3" w:themeFill="accent1" w:themeFillTint="33"/>
            <w:vAlign w:val="center"/>
          </w:tcPr>
          <w:p>
            <w:pPr>
              <w:pStyle w:val="37"/>
              <w:spacing w:line="240" w:lineRule="auto"/>
              <w:rPr>
                <w:b/>
                <w:bCs/>
              </w:rPr>
            </w:pPr>
            <w:r>
              <w:rPr>
                <w:rFonts w:hint="eastAsia"/>
              </w:rPr>
              <w:t>异常</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37" w:type="dxa"/>
            <w:vAlign w:val="center"/>
          </w:tcPr>
          <w:p>
            <w:pPr>
              <w:pStyle w:val="37"/>
              <w:spacing w:line="240" w:lineRule="auto"/>
              <w:rPr>
                <w:b w:val="0"/>
                <w:bCs w:val="0"/>
              </w:rPr>
            </w:pPr>
            <w:r>
              <w:rPr>
                <w:rFonts w:hint="eastAsia"/>
                <w:b/>
                <w:bCs/>
              </w:rPr>
              <w:t>液面</w:t>
            </w: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r>
              <w:rPr>
                <w:rFonts w:hint="eastAsia"/>
              </w:rPr>
              <w:t>液面高</w:t>
            </w:r>
          </w:p>
        </w:tc>
        <w:tc>
          <w:tcPr>
            <w:tcW w:w="1037" w:type="dxa"/>
            <w:vAlign w:val="center"/>
          </w:tcPr>
          <w:p>
            <w:pPr>
              <w:pStyle w:val="37"/>
              <w:spacing w:line="240" w:lineRule="auto"/>
              <w:rPr>
                <w:b/>
                <w:bCs/>
              </w:rPr>
            </w:pPr>
            <w:r>
              <w:rPr>
                <w:rFonts w:hint="eastAsia"/>
              </w:rPr>
              <w:t>液面低</w:t>
            </w: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383" w:type="dxa"/>
            <w:vAlign w:val="center"/>
          </w:tcPr>
          <w:p>
            <w:pPr>
              <w:pStyle w:val="37"/>
              <w:spacing w:line="240" w:lineRule="auto"/>
              <w:rPr>
                <w:b/>
                <w:bCs/>
              </w:rPr>
            </w:pPr>
            <w:r>
              <w:rPr>
                <w:rFonts w:hint="eastAsia"/>
              </w:rPr>
              <w:t>液面波动</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37" w:type="dxa"/>
            <w:shd w:val="clear" w:color="auto" w:fill="D9E2F3" w:themeFill="accent1" w:themeFillTint="33"/>
            <w:vAlign w:val="center"/>
          </w:tcPr>
          <w:p>
            <w:pPr>
              <w:pStyle w:val="37"/>
              <w:spacing w:line="240" w:lineRule="auto"/>
              <w:rPr>
                <w:b w:val="0"/>
                <w:bCs w:val="0"/>
              </w:rPr>
            </w:pPr>
            <w:r>
              <w:rPr>
                <w:rFonts w:hint="eastAsia"/>
                <w:b/>
                <w:bCs/>
              </w:rPr>
              <w:t>温度</w:t>
            </w: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r>
              <w:rPr>
                <w:rFonts w:hint="eastAsia"/>
              </w:rPr>
              <w:t>温度高</w:t>
            </w:r>
          </w:p>
        </w:tc>
        <w:tc>
          <w:tcPr>
            <w:tcW w:w="1037" w:type="dxa"/>
            <w:shd w:val="clear" w:color="auto" w:fill="D9E2F3" w:themeFill="accent1" w:themeFillTint="33"/>
            <w:vAlign w:val="center"/>
          </w:tcPr>
          <w:p>
            <w:pPr>
              <w:pStyle w:val="37"/>
              <w:spacing w:line="240" w:lineRule="auto"/>
              <w:rPr>
                <w:b/>
                <w:bCs/>
              </w:rPr>
            </w:pPr>
            <w:r>
              <w:rPr>
                <w:rFonts w:hint="eastAsia"/>
              </w:rPr>
              <w:t>温度</w:t>
            </w:r>
            <w:r>
              <w:t>低</w:t>
            </w: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p>
        </w:tc>
        <w:tc>
          <w:tcPr>
            <w:tcW w:w="1383" w:type="dxa"/>
            <w:shd w:val="clear" w:color="auto" w:fill="D9E2F3" w:themeFill="accent1" w:themeFillTint="33"/>
            <w:vAlign w:val="center"/>
          </w:tcPr>
          <w:p>
            <w:pPr>
              <w:pStyle w:val="37"/>
              <w:spacing w:line="240" w:lineRule="auto"/>
              <w:rPr>
                <w:b/>
                <w:bCs/>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037" w:type="dxa"/>
            <w:vAlign w:val="center"/>
          </w:tcPr>
          <w:p>
            <w:pPr>
              <w:pStyle w:val="37"/>
              <w:spacing w:line="240" w:lineRule="auto"/>
              <w:rPr>
                <w:b w:val="0"/>
                <w:bCs w:val="0"/>
              </w:rPr>
            </w:pPr>
            <w:r>
              <w:rPr>
                <w:rFonts w:hint="eastAsia"/>
                <w:b/>
                <w:bCs/>
              </w:rPr>
              <w:t>压力</w:t>
            </w:r>
          </w:p>
        </w:tc>
        <w:tc>
          <w:tcPr>
            <w:tcW w:w="1037" w:type="dxa"/>
            <w:vAlign w:val="center"/>
          </w:tcPr>
          <w:p>
            <w:pPr>
              <w:pStyle w:val="37"/>
              <w:spacing w:line="240" w:lineRule="auto"/>
              <w:rPr>
                <w:b/>
                <w:bCs/>
              </w:rPr>
            </w:pPr>
            <w:r>
              <w:rPr>
                <w:rFonts w:hint="eastAsia"/>
              </w:rPr>
              <w:t>无压力</w:t>
            </w:r>
          </w:p>
        </w:tc>
        <w:tc>
          <w:tcPr>
            <w:tcW w:w="1037" w:type="dxa"/>
            <w:vAlign w:val="center"/>
          </w:tcPr>
          <w:p>
            <w:pPr>
              <w:pStyle w:val="37"/>
              <w:spacing w:line="240" w:lineRule="auto"/>
              <w:rPr>
                <w:b/>
                <w:bCs/>
              </w:rPr>
            </w:pPr>
            <w:r>
              <w:rPr>
                <w:rFonts w:hint="eastAsia"/>
              </w:rPr>
              <w:t>压力高</w:t>
            </w:r>
          </w:p>
        </w:tc>
        <w:tc>
          <w:tcPr>
            <w:tcW w:w="1037" w:type="dxa"/>
            <w:vAlign w:val="center"/>
          </w:tcPr>
          <w:p>
            <w:pPr>
              <w:pStyle w:val="37"/>
              <w:spacing w:line="240" w:lineRule="auto"/>
              <w:rPr>
                <w:b/>
                <w:bCs/>
              </w:rPr>
            </w:pPr>
            <w:r>
              <w:rPr>
                <w:rFonts w:hint="eastAsia"/>
              </w:rPr>
              <w:t>压力低</w:t>
            </w: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383" w:type="dxa"/>
            <w:vAlign w:val="center"/>
          </w:tcPr>
          <w:p>
            <w:pPr>
              <w:pStyle w:val="37"/>
              <w:spacing w:line="240" w:lineRule="auto"/>
              <w:rPr>
                <w:b/>
                <w:bCs/>
              </w:rPr>
            </w:pPr>
          </w:p>
        </w:tc>
      </w:tr>
    </w:tbl>
    <w:p>
      <w:pPr>
        <w:pStyle w:val="39"/>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 xml:space="preserve">8-5 </w:t>
      </w:r>
      <w:r>
        <w:rPr>
          <w:rFonts w:hint="eastAsia" w:ascii="宋体" w:hAnsi="宋体" w:eastAsia="宋体"/>
          <w:sz w:val="18"/>
          <w:szCs w:val="18"/>
        </w:rPr>
        <w:t>精馏塔HAZOP分析</w:t>
      </w:r>
      <w:r>
        <w:rPr>
          <w:rFonts w:ascii="宋体" w:hAnsi="宋体" w:eastAsia="宋体"/>
          <w:sz w:val="18"/>
          <w:szCs w:val="18"/>
        </w:rPr>
        <w:t>步骤</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704"/>
        <w:gridCol w:w="1276"/>
        <w:gridCol w:w="2997"/>
        <w:gridCol w:w="1659"/>
        <w:gridCol w:w="1660"/>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704"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序号</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偏差</w:t>
            </w:r>
          </w:p>
        </w:tc>
        <w:tc>
          <w:tcPr>
            <w:tcW w:w="299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原因</w:t>
            </w:r>
          </w:p>
        </w:tc>
        <w:tc>
          <w:tcPr>
            <w:tcW w:w="165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导致的后果</w:t>
            </w:r>
          </w:p>
        </w:tc>
        <w:tc>
          <w:tcPr>
            <w:tcW w:w="1660"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措施</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704" w:type="dxa"/>
            <w:shd w:val="clear" w:color="auto" w:fill="D9E2F3" w:themeFill="accent1" w:themeFillTint="33"/>
            <w:vAlign w:val="center"/>
          </w:tcPr>
          <w:p>
            <w:pPr>
              <w:pStyle w:val="37"/>
              <w:rPr>
                <w:b/>
                <w:bCs/>
              </w:rPr>
            </w:pPr>
            <w:r>
              <w:rPr>
                <w:rFonts w:hint="eastAsia"/>
                <w:b/>
                <w:bCs/>
              </w:rPr>
              <w:t>1</w:t>
            </w:r>
          </w:p>
        </w:tc>
        <w:tc>
          <w:tcPr>
            <w:tcW w:w="1276" w:type="dxa"/>
            <w:shd w:val="clear" w:color="auto" w:fill="D9E2F3" w:themeFill="accent1" w:themeFillTint="33"/>
            <w:vAlign w:val="center"/>
          </w:tcPr>
          <w:p>
            <w:pPr>
              <w:pStyle w:val="37"/>
            </w:pPr>
            <w:r>
              <w:rPr>
                <w:rFonts w:hint="eastAsia"/>
              </w:rPr>
              <w:t>液面</w:t>
            </w:r>
            <w:r>
              <w:t>低或液面波动</w:t>
            </w:r>
          </w:p>
        </w:tc>
        <w:tc>
          <w:tcPr>
            <w:tcW w:w="2997" w:type="dxa"/>
            <w:shd w:val="clear" w:color="auto" w:fill="D9E2F3" w:themeFill="accent1" w:themeFillTint="33"/>
            <w:vAlign w:val="center"/>
          </w:tcPr>
          <w:p>
            <w:pPr>
              <w:pStyle w:val="37"/>
            </w:pPr>
            <w:r>
              <w:rPr>
                <w:rFonts w:hint="eastAsia"/>
              </w:rPr>
              <w:t>蒸馏釜</w:t>
            </w:r>
            <w:r>
              <w:t>液位计</w:t>
            </w:r>
            <w:r>
              <w:rPr>
                <w:rFonts w:hint="eastAsia"/>
              </w:rPr>
              <w:t>指示</w:t>
            </w:r>
            <w:r>
              <w:t>不准，再沸器液面随着操作条件的改变而发生波动，误操作</w:t>
            </w:r>
          </w:p>
        </w:tc>
        <w:tc>
          <w:tcPr>
            <w:tcW w:w="1659" w:type="dxa"/>
            <w:shd w:val="clear" w:color="auto" w:fill="D9E2F3" w:themeFill="accent1" w:themeFillTint="33"/>
            <w:vAlign w:val="center"/>
          </w:tcPr>
          <w:p>
            <w:pPr>
              <w:pStyle w:val="37"/>
            </w:pPr>
            <w:r>
              <w:rPr>
                <w:rFonts w:hint="eastAsia"/>
              </w:rPr>
              <w:t>精馏塔内</w:t>
            </w:r>
            <w:r>
              <w:t>形成“</w:t>
            </w:r>
            <w:r>
              <w:rPr>
                <w:rFonts w:hint="eastAsia"/>
              </w:rPr>
              <w:t>干塔</w:t>
            </w:r>
            <w:r>
              <w:t>”</w:t>
            </w:r>
          </w:p>
        </w:tc>
        <w:tc>
          <w:tcPr>
            <w:tcW w:w="1660" w:type="dxa"/>
            <w:shd w:val="clear" w:color="auto" w:fill="D9E2F3" w:themeFill="accent1" w:themeFillTint="33"/>
            <w:vAlign w:val="center"/>
          </w:tcPr>
          <w:p>
            <w:pPr>
              <w:pStyle w:val="37"/>
            </w:pPr>
            <w:r>
              <w:rPr>
                <w:rFonts w:hint="eastAsia"/>
              </w:rPr>
              <w:t>确保</w:t>
            </w:r>
            <w:r>
              <w:t>精馏塔的液位</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704" w:type="dxa"/>
            <w:vAlign w:val="center"/>
          </w:tcPr>
          <w:p>
            <w:pPr>
              <w:pStyle w:val="37"/>
              <w:rPr>
                <w:b/>
                <w:bCs/>
              </w:rPr>
            </w:pPr>
            <w:r>
              <w:rPr>
                <w:rFonts w:hint="eastAsia"/>
                <w:b/>
                <w:bCs/>
              </w:rPr>
              <w:t>2</w:t>
            </w:r>
          </w:p>
        </w:tc>
        <w:tc>
          <w:tcPr>
            <w:tcW w:w="1276" w:type="dxa"/>
            <w:vAlign w:val="center"/>
          </w:tcPr>
          <w:p>
            <w:pPr>
              <w:pStyle w:val="37"/>
            </w:pPr>
            <w:r>
              <w:rPr>
                <w:rFonts w:hint="eastAsia"/>
              </w:rPr>
              <w:t>温度</w:t>
            </w:r>
            <w:r>
              <w:t>高</w:t>
            </w:r>
          </w:p>
        </w:tc>
        <w:tc>
          <w:tcPr>
            <w:tcW w:w="2997" w:type="dxa"/>
            <w:vAlign w:val="center"/>
          </w:tcPr>
          <w:p>
            <w:pPr>
              <w:pStyle w:val="37"/>
            </w:pPr>
            <w:r>
              <w:rPr>
                <w:rFonts w:hint="eastAsia"/>
              </w:rPr>
              <w:t>停车后仍处于</w:t>
            </w:r>
            <w:r>
              <w:t>加热状态</w:t>
            </w:r>
            <w:r>
              <w:rPr>
                <w:rFonts w:hint="eastAsia"/>
              </w:rPr>
              <w:t>，</w:t>
            </w:r>
            <w:r>
              <w:t>精馏塔加热</w:t>
            </w:r>
            <w:r>
              <w:rPr>
                <w:rFonts w:hint="eastAsia"/>
              </w:rPr>
              <w:t>方式</w:t>
            </w:r>
            <w:r>
              <w:t>不当，</w:t>
            </w:r>
            <w:r>
              <w:rPr>
                <w:rFonts w:hint="eastAsia"/>
              </w:rPr>
              <w:t>再沸器</w:t>
            </w:r>
            <w:r>
              <w:t>列管温度过高</w:t>
            </w:r>
          </w:p>
        </w:tc>
        <w:tc>
          <w:tcPr>
            <w:tcW w:w="1659" w:type="dxa"/>
            <w:vAlign w:val="center"/>
          </w:tcPr>
          <w:p>
            <w:pPr>
              <w:pStyle w:val="37"/>
            </w:pPr>
            <w:r>
              <w:rPr>
                <w:rFonts w:hint="eastAsia"/>
              </w:rPr>
              <w:t>引起</w:t>
            </w:r>
            <w:r>
              <w:t>塔内压力继续上升</w:t>
            </w:r>
            <w:r>
              <w:rPr>
                <w:rFonts w:hint="eastAsia"/>
              </w:rPr>
              <w:t>,甚至超压，</w:t>
            </w:r>
            <w:r>
              <w:t>物料泄露</w:t>
            </w:r>
            <w:r>
              <w:rPr>
                <w:rFonts w:hint="eastAsia"/>
              </w:rPr>
              <w:t>。</w:t>
            </w:r>
          </w:p>
        </w:tc>
        <w:tc>
          <w:tcPr>
            <w:tcW w:w="1660" w:type="dxa"/>
            <w:vAlign w:val="center"/>
          </w:tcPr>
          <w:p>
            <w:pPr>
              <w:pStyle w:val="37"/>
            </w:pPr>
            <w:r>
              <w:rPr>
                <w:rFonts w:hint="eastAsia"/>
              </w:rPr>
              <w:t>控制</w:t>
            </w:r>
            <w:r>
              <w:t>精馏塔再沸器加热温度，停车保证降温时间、控制再沸器加热器蒸汽流量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704" w:type="dxa"/>
            <w:shd w:val="clear" w:color="auto" w:fill="D9E2F3" w:themeFill="accent1" w:themeFillTint="33"/>
            <w:vAlign w:val="center"/>
          </w:tcPr>
          <w:p>
            <w:pPr>
              <w:pStyle w:val="37"/>
              <w:rPr>
                <w:b/>
                <w:bCs/>
              </w:rPr>
            </w:pPr>
            <w:r>
              <w:rPr>
                <w:rFonts w:hint="eastAsia"/>
                <w:b/>
                <w:bCs/>
              </w:rPr>
              <w:t>3</w:t>
            </w:r>
          </w:p>
        </w:tc>
        <w:tc>
          <w:tcPr>
            <w:tcW w:w="1276" w:type="dxa"/>
            <w:shd w:val="clear" w:color="auto" w:fill="D9E2F3" w:themeFill="accent1" w:themeFillTint="33"/>
            <w:vAlign w:val="center"/>
          </w:tcPr>
          <w:p>
            <w:pPr>
              <w:pStyle w:val="37"/>
            </w:pPr>
            <w:r>
              <w:rPr>
                <w:rFonts w:hint="eastAsia"/>
              </w:rPr>
              <w:t>压力高</w:t>
            </w:r>
          </w:p>
        </w:tc>
        <w:tc>
          <w:tcPr>
            <w:tcW w:w="2997" w:type="dxa"/>
            <w:shd w:val="clear" w:color="auto" w:fill="D9E2F3" w:themeFill="accent1" w:themeFillTint="33"/>
            <w:vAlign w:val="center"/>
          </w:tcPr>
          <w:p>
            <w:pPr>
              <w:pStyle w:val="37"/>
            </w:pPr>
            <w:r>
              <w:rPr>
                <w:rFonts w:hint="eastAsia"/>
              </w:rPr>
              <w:t>冷凝器</w:t>
            </w:r>
            <w:r>
              <w:t>冷凝效果不好</w:t>
            </w:r>
          </w:p>
        </w:tc>
        <w:tc>
          <w:tcPr>
            <w:tcW w:w="1659" w:type="dxa"/>
            <w:shd w:val="clear" w:color="auto" w:fill="D9E2F3" w:themeFill="accent1" w:themeFillTint="33"/>
            <w:vAlign w:val="center"/>
          </w:tcPr>
          <w:p>
            <w:pPr>
              <w:pStyle w:val="37"/>
            </w:pPr>
            <w:r>
              <w:rPr>
                <w:rFonts w:hint="eastAsia"/>
              </w:rPr>
              <w:t>塔顶气相</w:t>
            </w:r>
            <w:r>
              <w:t>未能及时冷凝引起泄漏或爆炸</w:t>
            </w:r>
          </w:p>
        </w:tc>
        <w:tc>
          <w:tcPr>
            <w:tcW w:w="1660" w:type="dxa"/>
            <w:shd w:val="clear" w:color="auto" w:fill="D9E2F3" w:themeFill="accent1" w:themeFillTint="33"/>
            <w:vAlign w:val="center"/>
          </w:tcPr>
          <w:p>
            <w:pPr>
              <w:pStyle w:val="37"/>
            </w:pPr>
            <w:r>
              <w:rPr>
                <w:rFonts w:hint="eastAsia"/>
              </w:rPr>
              <w:t>确保</w:t>
            </w:r>
            <w:r>
              <w:t>冷凝器换热效果满足工艺要求</w:t>
            </w:r>
          </w:p>
        </w:tc>
      </w:tr>
    </w:tbl>
    <w:p>
      <w:pPr>
        <w:spacing w:before="156" w:after="156"/>
        <w:ind w:firstLine="422"/>
        <w:rPr>
          <w:b/>
          <w:bCs/>
        </w:rPr>
      </w:pPr>
      <w:r>
        <w:rPr>
          <w:rFonts w:hint="eastAsia"/>
          <w:b/>
          <w:bCs/>
        </w:rPr>
        <w:t>以冷凝器作为分析节点</w:t>
      </w:r>
    </w:p>
    <w:p>
      <w:pPr>
        <w:pStyle w:val="39"/>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8-6</w:t>
      </w:r>
      <w:r>
        <w:rPr>
          <w:rFonts w:hint="eastAsia" w:ascii="宋体" w:hAnsi="宋体" w:eastAsia="宋体"/>
          <w:sz w:val="18"/>
          <w:szCs w:val="18"/>
        </w:rPr>
        <w:t xml:space="preserve"> 冷凝器</w:t>
      </w:r>
      <w:r>
        <w:rPr>
          <w:rFonts w:ascii="宋体" w:hAnsi="宋体" w:eastAsia="宋体"/>
          <w:sz w:val="18"/>
          <w:szCs w:val="18"/>
        </w:rPr>
        <w:t>工艺参数偏差</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037"/>
        <w:gridCol w:w="1037"/>
        <w:gridCol w:w="1037"/>
        <w:gridCol w:w="1037"/>
        <w:gridCol w:w="1037"/>
        <w:gridCol w:w="1037"/>
        <w:gridCol w:w="1037"/>
        <w:gridCol w:w="1037"/>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037" w:type="dxa"/>
            <w:vMerge w:val="restar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工艺参数</w:t>
            </w:r>
          </w:p>
        </w:tc>
        <w:tc>
          <w:tcPr>
            <w:tcW w:w="7259" w:type="dxa"/>
            <w:gridSpan w:val="7"/>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引导词</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037" w:type="dxa"/>
            <w:vMerge w:val="continue"/>
            <w:shd w:val="clear" w:color="auto" w:fill="D9E2F3" w:themeFill="accent1" w:themeFillTint="33"/>
            <w:vAlign w:val="center"/>
          </w:tcPr>
          <w:p>
            <w:pPr>
              <w:pStyle w:val="37"/>
              <w:spacing w:line="240" w:lineRule="auto"/>
              <w:rPr>
                <w:b w:val="0"/>
                <w:bCs w:val="0"/>
              </w:rPr>
            </w:pPr>
          </w:p>
        </w:tc>
        <w:tc>
          <w:tcPr>
            <w:tcW w:w="1037" w:type="dxa"/>
            <w:shd w:val="clear" w:color="auto" w:fill="D9E2F3" w:themeFill="accent1" w:themeFillTint="33"/>
            <w:vAlign w:val="center"/>
          </w:tcPr>
          <w:p>
            <w:pPr>
              <w:pStyle w:val="37"/>
              <w:spacing w:line="240" w:lineRule="auto"/>
              <w:rPr>
                <w:b/>
                <w:bCs/>
              </w:rPr>
            </w:pPr>
            <w:r>
              <w:rPr>
                <w:rFonts w:hint="eastAsia"/>
              </w:rPr>
              <w:t>无</w:t>
            </w:r>
          </w:p>
        </w:tc>
        <w:tc>
          <w:tcPr>
            <w:tcW w:w="1037" w:type="dxa"/>
            <w:shd w:val="clear" w:color="auto" w:fill="D9E2F3" w:themeFill="accent1" w:themeFillTint="33"/>
            <w:vAlign w:val="center"/>
          </w:tcPr>
          <w:p>
            <w:pPr>
              <w:pStyle w:val="37"/>
              <w:spacing w:line="240" w:lineRule="auto"/>
              <w:rPr>
                <w:b/>
                <w:bCs/>
              </w:rPr>
            </w:pPr>
            <w:r>
              <w:rPr>
                <w:rFonts w:hint="eastAsia"/>
              </w:rPr>
              <w:t>过量</w:t>
            </w:r>
          </w:p>
        </w:tc>
        <w:tc>
          <w:tcPr>
            <w:tcW w:w="1037" w:type="dxa"/>
            <w:shd w:val="clear" w:color="auto" w:fill="D9E2F3" w:themeFill="accent1" w:themeFillTint="33"/>
            <w:vAlign w:val="center"/>
          </w:tcPr>
          <w:p>
            <w:pPr>
              <w:pStyle w:val="37"/>
              <w:spacing w:line="240" w:lineRule="auto"/>
              <w:rPr>
                <w:b/>
                <w:bCs/>
              </w:rPr>
            </w:pPr>
            <w:r>
              <w:rPr>
                <w:rFonts w:hint="eastAsia"/>
              </w:rPr>
              <w:t>减量</w:t>
            </w:r>
          </w:p>
        </w:tc>
        <w:tc>
          <w:tcPr>
            <w:tcW w:w="1037" w:type="dxa"/>
            <w:shd w:val="clear" w:color="auto" w:fill="D9E2F3" w:themeFill="accent1" w:themeFillTint="33"/>
            <w:vAlign w:val="center"/>
          </w:tcPr>
          <w:p>
            <w:pPr>
              <w:pStyle w:val="37"/>
              <w:spacing w:line="240" w:lineRule="auto"/>
              <w:rPr>
                <w:b/>
                <w:bCs/>
              </w:rPr>
            </w:pPr>
            <w:r>
              <w:rPr>
                <w:rFonts w:hint="eastAsia"/>
              </w:rPr>
              <w:t>伴随</w:t>
            </w:r>
          </w:p>
        </w:tc>
        <w:tc>
          <w:tcPr>
            <w:tcW w:w="1037" w:type="dxa"/>
            <w:shd w:val="clear" w:color="auto" w:fill="D9E2F3" w:themeFill="accent1" w:themeFillTint="33"/>
            <w:vAlign w:val="center"/>
          </w:tcPr>
          <w:p>
            <w:pPr>
              <w:pStyle w:val="37"/>
              <w:spacing w:line="240" w:lineRule="auto"/>
              <w:rPr>
                <w:b/>
                <w:bCs/>
              </w:rPr>
            </w:pPr>
            <w:r>
              <w:rPr>
                <w:rFonts w:hint="eastAsia"/>
              </w:rPr>
              <w:t>部分</w:t>
            </w:r>
          </w:p>
        </w:tc>
        <w:tc>
          <w:tcPr>
            <w:tcW w:w="1037" w:type="dxa"/>
            <w:shd w:val="clear" w:color="auto" w:fill="D9E2F3" w:themeFill="accent1" w:themeFillTint="33"/>
            <w:vAlign w:val="center"/>
          </w:tcPr>
          <w:p>
            <w:pPr>
              <w:pStyle w:val="37"/>
              <w:spacing w:line="240" w:lineRule="auto"/>
              <w:rPr>
                <w:b/>
                <w:bCs/>
              </w:rPr>
            </w:pPr>
            <w:r>
              <w:rPr>
                <w:rFonts w:hint="eastAsia"/>
              </w:rPr>
              <w:t>相</w:t>
            </w:r>
            <w:r>
              <w:t>逆</w:t>
            </w:r>
          </w:p>
        </w:tc>
        <w:tc>
          <w:tcPr>
            <w:tcW w:w="1037" w:type="dxa"/>
            <w:shd w:val="clear" w:color="auto" w:fill="D9E2F3" w:themeFill="accent1" w:themeFillTint="33"/>
            <w:vAlign w:val="center"/>
          </w:tcPr>
          <w:p>
            <w:pPr>
              <w:pStyle w:val="37"/>
              <w:spacing w:line="240" w:lineRule="auto"/>
              <w:rPr>
                <w:b/>
                <w:bCs/>
              </w:rPr>
            </w:pPr>
            <w:r>
              <w:rPr>
                <w:rFonts w:hint="eastAsia"/>
              </w:rPr>
              <w:t>异常</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037" w:type="dxa"/>
            <w:vAlign w:val="center"/>
          </w:tcPr>
          <w:p>
            <w:pPr>
              <w:pStyle w:val="37"/>
              <w:spacing w:line="240" w:lineRule="auto"/>
              <w:rPr>
                <w:b w:val="0"/>
                <w:bCs w:val="0"/>
              </w:rPr>
            </w:pPr>
            <w:r>
              <w:rPr>
                <w:rFonts w:hint="eastAsia"/>
                <w:b/>
                <w:bCs/>
              </w:rPr>
              <w:t>液面</w:t>
            </w:r>
          </w:p>
        </w:tc>
        <w:tc>
          <w:tcPr>
            <w:tcW w:w="1037" w:type="dxa"/>
            <w:vAlign w:val="center"/>
          </w:tcPr>
          <w:p>
            <w:pPr>
              <w:pStyle w:val="37"/>
              <w:spacing w:line="240" w:lineRule="auto"/>
              <w:rPr>
                <w:b/>
                <w:bCs/>
              </w:rPr>
            </w:pPr>
            <w:r>
              <w:rPr>
                <w:rFonts w:hint="eastAsia"/>
              </w:rPr>
              <w:t>无液面</w:t>
            </w: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r>
              <w:rPr>
                <w:rFonts w:hint="eastAsia"/>
              </w:rPr>
              <w:t>液体</w:t>
            </w:r>
            <w:r>
              <w:t>含杂质</w:t>
            </w: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037" w:type="dxa"/>
            <w:shd w:val="clear" w:color="auto" w:fill="D9E2F3" w:themeFill="accent1" w:themeFillTint="33"/>
            <w:vAlign w:val="center"/>
          </w:tcPr>
          <w:p>
            <w:pPr>
              <w:pStyle w:val="37"/>
              <w:spacing w:line="240" w:lineRule="auto"/>
              <w:rPr>
                <w:b w:val="0"/>
                <w:bCs w:val="0"/>
              </w:rPr>
            </w:pPr>
            <w:r>
              <w:rPr>
                <w:rFonts w:hint="eastAsia"/>
                <w:b/>
                <w:bCs/>
              </w:rPr>
              <w:t>温度</w:t>
            </w: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r>
              <w:rPr>
                <w:rFonts w:hint="eastAsia"/>
              </w:rPr>
              <w:t>温度高</w:t>
            </w:r>
          </w:p>
        </w:tc>
        <w:tc>
          <w:tcPr>
            <w:tcW w:w="1037" w:type="dxa"/>
            <w:shd w:val="clear" w:color="auto" w:fill="D9E2F3" w:themeFill="accent1" w:themeFillTint="33"/>
            <w:vAlign w:val="center"/>
          </w:tcPr>
          <w:p>
            <w:pPr>
              <w:pStyle w:val="37"/>
              <w:spacing w:line="240" w:lineRule="auto"/>
              <w:rPr>
                <w:b/>
                <w:bCs/>
              </w:rPr>
            </w:pPr>
            <w:r>
              <w:rPr>
                <w:rFonts w:hint="eastAsia"/>
              </w:rPr>
              <w:t>温度</w:t>
            </w:r>
            <w:r>
              <w:t>低</w:t>
            </w: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037" w:type="dxa"/>
            <w:vAlign w:val="center"/>
          </w:tcPr>
          <w:p>
            <w:pPr>
              <w:pStyle w:val="37"/>
              <w:spacing w:line="240" w:lineRule="auto"/>
              <w:rPr>
                <w:b w:val="0"/>
                <w:bCs w:val="0"/>
              </w:rPr>
            </w:pPr>
            <w:r>
              <w:rPr>
                <w:rFonts w:hint="eastAsia"/>
                <w:b/>
                <w:bCs/>
              </w:rPr>
              <w:t>压力</w:t>
            </w: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r>
              <w:rPr>
                <w:rFonts w:hint="eastAsia"/>
              </w:rPr>
              <w:t>压力高</w:t>
            </w:r>
          </w:p>
        </w:tc>
        <w:tc>
          <w:tcPr>
            <w:tcW w:w="1037" w:type="dxa"/>
            <w:vAlign w:val="center"/>
          </w:tcPr>
          <w:p>
            <w:pPr>
              <w:pStyle w:val="37"/>
              <w:spacing w:line="240" w:lineRule="auto"/>
              <w:rPr>
                <w:b/>
                <w:bCs/>
              </w:rPr>
            </w:pPr>
            <w:r>
              <w:rPr>
                <w:rFonts w:hint="eastAsia"/>
              </w:rPr>
              <w:t>压力低</w:t>
            </w: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037" w:type="dxa"/>
            <w:shd w:val="clear" w:color="auto" w:fill="D9E2F3" w:themeFill="accent1" w:themeFillTint="33"/>
            <w:vAlign w:val="center"/>
          </w:tcPr>
          <w:p>
            <w:pPr>
              <w:pStyle w:val="37"/>
              <w:spacing w:line="240" w:lineRule="auto"/>
              <w:rPr>
                <w:b w:val="0"/>
                <w:bCs w:val="0"/>
              </w:rPr>
            </w:pPr>
            <w:r>
              <w:rPr>
                <w:rFonts w:hint="eastAsia"/>
                <w:b/>
                <w:bCs/>
              </w:rPr>
              <w:t>流量</w:t>
            </w:r>
          </w:p>
        </w:tc>
        <w:tc>
          <w:tcPr>
            <w:tcW w:w="1037" w:type="dxa"/>
            <w:shd w:val="clear" w:color="auto" w:fill="D9E2F3" w:themeFill="accent1" w:themeFillTint="33"/>
            <w:vAlign w:val="center"/>
          </w:tcPr>
          <w:p>
            <w:pPr>
              <w:pStyle w:val="37"/>
              <w:spacing w:line="240" w:lineRule="auto"/>
              <w:rPr>
                <w:b/>
                <w:bCs/>
              </w:rPr>
            </w:pPr>
            <w:r>
              <w:rPr>
                <w:rFonts w:hint="eastAsia"/>
              </w:rPr>
              <w:t>无冷剂</w:t>
            </w: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r>
              <w:rPr>
                <w:rFonts w:hint="eastAsia"/>
              </w:rPr>
              <w:t>冷剂</w:t>
            </w:r>
            <w:r>
              <w:t>量少</w:t>
            </w: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037" w:type="dxa"/>
            <w:vAlign w:val="center"/>
          </w:tcPr>
          <w:p>
            <w:pPr>
              <w:pStyle w:val="37"/>
              <w:spacing w:line="240" w:lineRule="auto"/>
              <w:rPr>
                <w:b w:val="0"/>
                <w:bCs w:val="0"/>
              </w:rPr>
            </w:pPr>
            <w:r>
              <w:rPr>
                <w:rFonts w:hint="eastAsia"/>
                <w:b/>
                <w:bCs/>
              </w:rPr>
              <w:t>浓度</w:t>
            </w: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r>
              <w:rPr>
                <w:rFonts w:hint="eastAsia"/>
              </w:rPr>
              <w:t>浓度低</w:t>
            </w: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r>
    </w:tbl>
    <w:p>
      <w:pPr>
        <w:widowControl/>
        <w:spacing w:before="156" w:after="156" w:line="240" w:lineRule="auto"/>
        <w:ind w:firstLine="0" w:firstLineChars="0"/>
        <w:rPr>
          <w:rFonts w:eastAsia="仿宋"/>
          <w:b/>
          <w:sz w:val="22"/>
        </w:rPr>
      </w:pPr>
    </w:p>
    <w:p>
      <w:pPr>
        <w:pStyle w:val="39"/>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8-7</w:t>
      </w:r>
      <w:r>
        <w:rPr>
          <w:rFonts w:hint="eastAsia" w:ascii="宋体" w:hAnsi="宋体" w:eastAsia="宋体"/>
          <w:sz w:val="18"/>
          <w:szCs w:val="18"/>
        </w:rPr>
        <w:t xml:space="preserve"> 冷凝器HAZOP分析</w:t>
      </w:r>
      <w:r>
        <w:rPr>
          <w:rFonts w:ascii="宋体" w:hAnsi="宋体" w:eastAsia="宋体"/>
          <w:sz w:val="18"/>
          <w:szCs w:val="18"/>
        </w:rPr>
        <w:t>步骤</w:t>
      </w:r>
    </w:p>
    <w:tbl>
      <w:tblPr>
        <w:tblStyle w:val="44"/>
        <w:tblW w:w="10915"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846"/>
        <w:gridCol w:w="992"/>
        <w:gridCol w:w="2835"/>
        <w:gridCol w:w="3102"/>
        <w:gridCol w:w="3140"/>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序号</w:t>
            </w:r>
          </w:p>
        </w:tc>
        <w:tc>
          <w:tcPr>
            <w:tcW w:w="99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偏差</w:t>
            </w:r>
          </w:p>
        </w:tc>
        <w:tc>
          <w:tcPr>
            <w:tcW w:w="283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原因</w:t>
            </w:r>
          </w:p>
        </w:tc>
        <w:tc>
          <w:tcPr>
            <w:tcW w:w="310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导致的后果</w:t>
            </w:r>
          </w:p>
        </w:tc>
        <w:tc>
          <w:tcPr>
            <w:tcW w:w="3140"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措施</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vAlign w:val="center"/>
          </w:tcPr>
          <w:p>
            <w:pPr>
              <w:pStyle w:val="37"/>
              <w:spacing w:line="240" w:lineRule="auto"/>
              <w:rPr>
                <w:b/>
                <w:bCs/>
              </w:rPr>
            </w:pPr>
            <w:r>
              <w:rPr>
                <w:rFonts w:hint="eastAsia"/>
                <w:b/>
                <w:bCs/>
              </w:rPr>
              <w:t>1</w:t>
            </w:r>
          </w:p>
        </w:tc>
        <w:tc>
          <w:tcPr>
            <w:tcW w:w="992" w:type="dxa"/>
            <w:shd w:val="clear" w:color="auto" w:fill="D9E2F3" w:themeFill="accent1" w:themeFillTint="33"/>
            <w:vAlign w:val="center"/>
          </w:tcPr>
          <w:p>
            <w:pPr>
              <w:pStyle w:val="37"/>
              <w:spacing w:line="240" w:lineRule="auto"/>
            </w:pPr>
            <w:r>
              <w:rPr>
                <w:rFonts w:hint="eastAsia"/>
              </w:rPr>
              <w:t>无液面</w:t>
            </w:r>
          </w:p>
        </w:tc>
        <w:tc>
          <w:tcPr>
            <w:tcW w:w="2835" w:type="dxa"/>
            <w:shd w:val="clear" w:color="auto" w:fill="D9E2F3" w:themeFill="accent1" w:themeFillTint="33"/>
            <w:vAlign w:val="center"/>
          </w:tcPr>
          <w:p>
            <w:pPr>
              <w:pStyle w:val="37"/>
              <w:spacing w:line="240" w:lineRule="auto"/>
            </w:pPr>
            <w:r>
              <w:rPr>
                <w:rFonts w:hint="eastAsia"/>
              </w:rPr>
              <w:t>1. 法兰</w:t>
            </w:r>
            <w:r>
              <w:t>处盲板未抽出</w:t>
            </w:r>
          </w:p>
          <w:p>
            <w:pPr>
              <w:pStyle w:val="37"/>
              <w:spacing w:line="240" w:lineRule="auto"/>
            </w:pPr>
            <w:r>
              <w:rPr>
                <w:rFonts w:hint="eastAsia"/>
              </w:rPr>
              <w:t>2.冷凝液</w:t>
            </w:r>
            <w:r>
              <w:t>下</w:t>
            </w:r>
            <w:r>
              <w:rPr>
                <w:rFonts w:hint="eastAsia"/>
              </w:rPr>
              <w:t>液旁通阀</w:t>
            </w:r>
            <w:r>
              <w:t>为全开</w:t>
            </w:r>
          </w:p>
        </w:tc>
        <w:tc>
          <w:tcPr>
            <w:tcW w:w="3102" w:type="dxa"/>
            <w:shd w:val="clear" w:color="auto" w:fill="D9E2F3" w:themeFill="accent1" w:themeFillTint="33"/>
            <w:vAlign w:val="center"/>
          </w:tcPr>
          <w:p>
            <w:pPr>
              <w:pStyle w:val="37"/>
              <w:spacing w:line="240" w:lineRule="auto"/>
            </w:pPr>
            <w:r>
              <w:rPr>
                <w:rFonts w:hint="eastAsia"/>
              </w:rPr>
              <w:t>1</w:t>
            </w:r>
            <w:r>
              <w:t>.</w:t>
            </w:r>
            <w:r>
              <w:rPr>
                <w:rFonts w:hint="eastAsia"/>
              </w:rPr>
              <w:t>塔内</w:t>
            </w:r>
            <w:r>
              <w:t>压力升高，导致爆炸</w:t>
            </w:r>
          </w:p>
          <w:p>
            <w:pPr>
              <w:pStyle w:val="37"/>
              <w:spacing w:line="240" w:lineRule="auto"/>
            </w:pPr>
            <w:r>
              <w:t>2.</w:t>
            </w:r>
            <w:r>
              <w:rPr>
                <w:rFonts w:hint="eastAsia"/>
              </w:rPr>
              <w:t>塔顶出料未</w:t>
            </w:r>
            <w:r>
              <w:t>得</w:t>
            </w:r>
            <w:r>
              <w:rPr>
                <w:rFonts w:hint="eastAsia"/>
              </w:rPr>
              <w:t>充分</w:t>
            </w:r>
            <w:r>
              <w:t>冷凝</w:t>
            </w:r>
          </w:p>
        </w:tc>
        <w:tc>
          <w:tcPr>
            <w:tcW w:w="3140" w:type="dxa"/>
            <w:shd w:val="clear" w:color="auto" w:fill="D9E2F3" w:themeFill="accent1" w:themeFillTint="33"/>
            <w:vAlign w:val="center"/>
          </w:tcPr>
          <w:p>
            <w:pPr>
              <w:pStyle w:val="37"/>
              <w:spacing w:line="240" w:lineRule="auto"/>
            </w:pPr>
            <w:r>
              <w:rPr>
                <w:rFonts w:hint="eastAsia"/>
              </w:rPr>
              <w:t>1</w:t>
            </w:r>
            <w:r>
              <w:t>.</w:t>
            </w:r>
            <w:r>
              <w:rPr>
                <w:rFonts w:hint="eastAsia"/>
              </w:rPr>
              <w:t>检查</w:t>
            </w:r>
            <w:r>
              <w:t>各法兰处盲板抽</w:t>
            </w:r>
            <w:r>
              <w:rPr>
                <w:rFonts w:hint="eastAsia"/>
              </w:rPr>
              <w:t>堵情况</w:t>
            </w:r>
          </w:p>
          <w:p>
            <w:pPr>
              <w:pStyle w:val="37"/>
              <w:spacing w:line="240" w:lineRule="auto"/>
            </w:pPr>
            <w:r>
              <w:t>2.</w:t>
            </w:r>
            <w:r>
              <w:rPr>
                <w:rFonts w:hint="eastAsia"/>
              </w:rPr>
              <w:t>关闭</w:t>
            </w:r>
            <w:r>
              <w:t>冷凝液下</w:t>
            </w:r>
            <w:r>
              <w:rPr>
                <w:rFonts w:hint="eastAsia"/>
              </w:rPr>
              <w:t>液旁通阀</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vAlign w:val="center"/>
          </w:tcPr>
          <w:p>
            <w:pPr>
              <w:pStyle w:val="37"/>
              <w:spacing w:line="240" w:lineRule="auto"/>
              <w:rPr>
                <w:b/>
                <w:bCs/>
              </w:rPr>
            </w:pPr>
            <w:r>
              <w:rPr>
                <w:b/>
                <w:bCs w:val="0"/>
                <w:kern w:val="0"/>
              </w:rPr>
              <w:t>2</w:t>
            </w:r>
          </w:p>
        </w:tc>
        <w:tc>
          <w:tcPr>
            <w:tcW w:w="992" w:type="dxa"/>
            <w:vAlign w:val="center"/>
          </w:tcPr>
          <w:p>
            <w:pPr>
              <w:pStyle w:val="37"/>
              <w:spacing w:line="240" w:lineRule="auto"/>
            </w:pPr>
            <w:r>
              <w:rPr>
                <w:rFonts w:hAnsi="宋体"/>
                <w:kern w:val="0"/>
              </w:rPr>
              <w:t>温度高</w:t>
            </w:r>
          </w:p>
        </w:tc>
        <w:tc>
          <w:tcPr>
            <w:tcW w:w="2835" w:type="dxa"/>
            <w:vAlign w:val="center"/>
          </w:tcPr>
          <w:p>
            <w:pPr>
              <w:pStyle w:val="37"/>
              <w:spacing w:line="240" w:lineRule="auto"/>
              <w:rPr>
                <w:kern w:val="0"/>
              </w:rPr>
            </w:pPr>
            <w:r>
              <w:rPr>
                <w:kern w:val="0"/>
              </w:rPr>
              <w:t>1.</w:t>
            </w:r>
            <w:r>
              <w:rPr>
                <w:rFonts w:hAnsi="宋体"/>
                <w:kern w:val="0"/>
              </w:rPr>
              <w:t>冷剂量不足；</w:t>
            </w:r>
          </w:p>
          <w:p>
            <w:pPr>
              <w:pStyle w:val="37"/>
              <w:spacing w:line="240" w:lineRule="auto"/>
              <w:rPr>
                <w:kern w:val="0"/>
              </w:rPr>
            </w:pPr>
            <w:r>
              <w:rPr>
                <w:kern w:val="0"/>
              </w:rPr>
              <w:t>2.</w:t>
            </w:r>
            <w:r>
              <w:rPr>
                <w:rFonts w:hAnsi="宋体"/>
                <w:kern w:val="0"/>
              </w:rPr>
              <w:t>冷凝器列管有污垢</w:t>
            </w:r>
            <w:r>
              <w:rPr>
                <w:kern w:val="0"/>
              </w:rPr>
              <w:t>,</w:t>
            </w:r>
            <w:r>
              <w:rPr>
                <w:rFonts w:hAnsi="宋体"/>
                <w:kern w:val="0"/>
              </w:rPr>
              <w:t>传热效果差；</w:t>
            </w:r>
          </w:p>
          <w:p>
            <w:pPr>
              <w:pStyle w:val="37"/>
              <w:spacing w:line="240" w:lineRule="auto"/>
            </w:pPr>
            <w:r>
              <w:rPr>
                <w:kern w:val="0"/>
              </w:rPr>
              <w:t>3.</w:t>
            </w:r>
            <w:r>
              <w:rPr>
                <w:rFonts w:hAnsi="宋体"/>
                <w:kern w:val="0"/>
              </w:rPr>
              <w:t>测温设备损坏。</w:t>
            </w:r>
          </w:p>
        </w:tc>
        <w:tc>
          <w:tcPr>
            <w:tcW w:w="3102" w:type="dxa"/>
            <w:vAlign w:val="center"/>
          </w:tcPr>
          <w:p>
            <w:pPr>
              <w:pStyle w:val="37"/>
              <w:spacing w:line="240" w:lineRule="auto"/>
              <w:rPr>
                <w:kern w:val="0"/>
              </w:rPr>
            </w:pPr>
            <w:r>
              <w:rPr>
                <w:kern w:val="0"/>
              </w:rPr>
              <w:t>1.</w:t>
            </w:r>
            <w:r>
              <w:rPr>
                <w:rFonts w:hAnsi="宋体"/>
                <w:kern w:val="0"/>
              </w:rPr>
              <w:t>引起塔内压力上升，导致垫片处泄露或爆炸；</w:t>
            </w:r>
          </w:p>
          <w:p>
            <w:pPr>
              <w:pStyle w:val="37"/>
              <w:spacing w:line="240" w:lineRule="auto"/>
            </w:pPr>
            <w:r>
              <w:rPr>
                <w:kern w:val="0"/>
              </w:rPr>
              <w:t>2.</w:t>
            </w:r>
            <w:r>
              <w:rPr>
                <w:rFonts w:hAnsi="宋体"/>
                <w:kern w:val="0"/>
              </w:rPr>
              <w:t>工艺控制不准确。</w:t>
            </w:r>
          </w:p>
        </w:tc>
        <w:tc>
          <w:tcPr>
            <w:tcW w:w="3140" w:type="dxa"/>
            <w:vAlign w:val="center"/>
          </w:tcPr>
          <w:p>
            <w:pPr>
              <w:pStyle w:val="37"/>
              <w:spacing w:line="240" w:lineRule="auto"/>
              <w:rPr>
                <w:kern w:val="0"/>
              </w:rPr>
            </w:pPr>
            <w:r>
              <w:rPr>
                <w:kern w:val="0"/>
              </w:rPr>
              <w:t>1.</w:t>
            </w:r>
            <w:r>
              <w:rPr>
                <w:rFonts w:hAnsi="宋体"/>
                <w:kern w:val="0"/>
              </w:rPr>
              <w:t>开大冷剂阀开度；</w:t>
            </w:r>
          </w:p>
          <w:p>
            <w:pPr>
              <w:pStyle w:val="37"/>
              <w:spacing w:line="240" w:lineRule="auto"/>
              <w:rPr>
                <w:kern w:val="0"/>
              </w:rPr>
            </w:pPr>
            <w:r>
              <w:rPr>
                <w:kern w:val="0"/>
              </w:rPr>
              <w:t>2.</w:t>
            </w:r>
            <w:r>
              <w:rPr>
                <w:rFonts w:hAnsi="宋体"/>
                <w:kern w:val="0"/>
              </w:rPr>
              <w:t>定期清洗列管污垢；</w:t>
            </w:r>
          </w:p>
          <w:p>
            <w:pPr>
              <w:pStyle w:val="37"/>
              <w:spacing w:line="240" w:lineRule="auto"/>
            </w:pPr>
            <w:r>
              <w:rPr>
                <w:kern w:val="0"/>
              </w:rPr>
              <w:t>3.</w:t>
            </w:r>
            <w:r>
              <w:rPr>
                <w:rFonts w:hAnsi="宋体"/>
                <w:kern w:val="0"/>
              </w:rPr>
              <w:t>维修或更换测温设备。</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vAlign w:val="center"/>
          </w:tcPr>
          <w:p>
            <w:pPr>
              <w:pStyle w:val="37"/>
              <w:spacing w:line="240" w:lineRule="auto"/>
              <w:rPr>
                <w:b/>
                <w:bCs/>
              </w:rPr>
            </w:pPr>
            <w:r>
              <w:rPr>
                <w:b/>
                <w:bCs w:val="0"/>
                <w:kern w:val="0"/>
              </w:rPr>
              <w:t>3</w:t>
            </w:r>
          </w:p>
        </w:tc>
        <w:tc>
          <w:tcPr>
            <w:tcW w:w="992" w:type="dxa"/>
            <w:shd w:val="clear" w:color="auto" w:fill="D9E2F3" w:themeFill="accent1" w:themeFillTint="33"/>
            <w:vAlign w:val="center"/>
          </w:tcPr>
          <w:p>
            <w:pPr>
              <w:pStyle w:val="37"/>
              <w:spacing w:line="240" w:lineRule="auto"/>
            </w:pPr>
            <w:r>
              <w:rPr>
                <w:rFonts w:hAnsi="宋体"/>
                <w:kern w:val="0"/>
              </w:rPr>
              <w:t>压力高</w:t>
            </w:r>
          </w:p>
        </w:tc>
        <w:tc>
          <w:tcPr>
            <w:tcW w:w="2835" w:type="dxa"/>
            <w:shd w:val="clear" w:color="auto" w:fill="D9E2F3" w:themeFill="accent1" w:themeFillTint="33"/>
            <w:vAlign w:val="center"/>
          </w:tcPr>
          <w:p>
            <w:pPr>
              <w:pStyle w:val="37"/>
              <w:spacing w:line="240" w:lineRule="auto"/>
            </w:pPr>
            <w:r>
              <w:rPr>
                <w:kern w:val="0"/>
              </w:rPr>
              <w:t>1.</w:t>
            </w:r>
            <w:r>
              <w:rPr>
                <w:rFonts w:hAnsi="宋体"/>
                <w:kern w:val="0"/>
              </w:rPr>
              <w:t>压力表坏；</w:t>
            </w:r>
            <w:r>
              <w:rPr>
                <w:kern w:val="0"/>
              </w:rPr>
              <w:t>2.</w:t>
            </w:r>
            <w:r>
              <w:rPr>
                <w:rFonts w:hAnsi="宋体"/>
                <w:kern w:val="0"/>
              </w:rPr>
              <w:t>冷凝器冷凝效果不好。</w:t>
            </w:r>
          </w:p>
        </w:tc>
        <w:tc>
          <w:tcPr>
            <w:tcW w:w="3102" w:type="dxa"/>
            <w:shd w:val="clear" w:color="auto" w:fill="D9E2F3" w:themeFill="accent1" w:themeFillTint="33"/>
            <w:vAlign w:val="center"/>
          </w:tcPr>
          <w:p>
            <w:pPr>
              <w:pStyle w:val="37"/>
              <w:spacing w:line="240" w:lineRule="auto"/>
              <w:rPr>
                <w:kern w:val="0"/>
              </w:rPr>
            </w:pPr>
            <w:r>
              <w:rPr>
                <w:kern w:val="0"/>
              </w:rPr>
              <w:t>1.</w:t>
            </w:r>
            <w:r>
              <w:rPr>
                <w:rFonts w:hAnsi="宋体"/>
                <w:kern w:val="0"/>
              </w:rPr>
              <w:t>工艺控制不准确；</w:t>
            </w:r>
          </w:p>
          <w:p>
            <w:pPr>
              <w:pStyle w:val="37"/>
              <w:spacing w:line="240" w:lineRule="auto"/>
            </w:pPr>
            <w:r>
              <w:rPr>
                <w:kern w:val="0"/>
              </w:rPr>
              <w:t>2.</w:t>
            </w:r>
            <w:r>
              <w:rPr>
                <w:rFonts w:hAnsi="宋体"/>
                <w:kern w:val="0"/>
              </w:rPr>
              <w:t>引起爆炸。</w:t>
            </w:r>
          </w:p>
        </w:tc>
        <w:tc>
          <w:tcPr>
            <w:tcW w:w="3140" w:type="dxa"/>
            <w:shd w:val="clear" w:color="auto" w:fill="D9E2F3" w:themeFill="accent1" w:themeFillTint="33"/>
            <w:vAlign w:val="center"/>
          </w:tcPr>
          <w:p>
            <w:pPr>
              <w:pStyle w:val="37"/>
              <w:spacing w:line="240" w:lineRule="auto"/>
              <w:rPr>
                <w:kern w:val="0"/>
              </w:rPr>
            </w:pPr>
            <w:r>
              <w:rPr>
                <w:kern w:val="0"/>
              </w:rPr>
              <w:t>1.</w:t>
            </w:r>
            <w:r>
              <w:rPr>
                <w:rFonts w:hAnsi="宋体"/>
                <w:kern w:val="0"/>
              </w:rPr>
              <w:t>维修或更换压力表；</w:t>
            </w:r>
          </w:p>
          <w:p>
            <w:pPr>
              <w:pStyle w:val="37"/>
              <w:spacing w:line="240" w:lineRule="auto"/>
            </w:pPr>
            <w:r>
              <w:rPr>
                <w:kern w:val="0"/>
              </w:rPr>
              <w:t>2.</w:t>
            </w:r>
            <w:r>
              <w:rPr>
                <w:rFonts w:hAnsi="宋体"/>
                <w:kern w:val="0"/>
              </w:rPr>
              <w:t>增加冷凝面积或更换冷凝器。</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vAlign w:val="center"/>
          </w:tcPr>
          <w:p>
            <w:pPr>
              <w:pStyle w:val="37"/>
              <w:spacing w:line="240" w:lineRule="auto"/>
              <w:rPr>
                <w:b/>
                <w:bCs/>
              </w:rPr>
            </w:pPr>
            <w:r>
              <w:rPr>
                <w:b/>
                <w:bCs w:val="0"/>
                <w:kern w:val="0"/>
              </w:rPr>
              <w:t>4</w:t>
            </w:r>
          </w:p>
        </w:tc>
        <w:tc>
          <w:tcPr>
            <w:tcW w:w="992" w:type="dxa"/>
            <w:vAlign w:val="center"/>
          </w:tcPr>
          <w:p>
            <w:pPr>
              <w:pStyle w:val="37"/>
              <w:spacing w:line="240" w:lineRule="auto"/>
            </w:pPr>
            <w:r>
              <w:rPr>
                <w:rFonts w:hAnsi="宋体"/>
                <w:kern w:val="0"/>
              </w:rPr>
              <w:t>无冷剂</w:t>
            </w:r>
          </w:p>
        </w:tc>
        <w:tc>
          <w:tcPr>
            <w:tcW w:w="2835" w:type="dxa"/>
            <w:vAlign w:val="center"/>
          </w:tcPr>
          <w:p>
            <w:pPr>
              <w:pStyle w:val="37"/>
              <w:spacing w:line="240" w:lineRule="auto"/>
              <w:rPr>
                <w:kern w:val="0"/>
              </w:rPr>
            </w:pPr>
            <w:r>
              <w:rPr>
                <w:kern w:val="0"/>
              </w:rPr>
              <w:t>1.</w:t>
            </w:r>
            <w:r>
              <w:rPr>
                <w:rFonts w:hAnsi="宋体"/>
                <w:kern w:val="0"/>
              </w:rPr>
              <w:t>冷剂源头未送；</w:t>
            </w:r>
          </w:p>
          <w:p>
            <w:pPr>
              <w:pStyle w:val="37"/>
              <w:spacing w:line="240" w:lineRule="auto"/>
              <w:rPr>
                <w:kern w:val="0"/>
              </w:rPr>
            </w:pPr>
            <w:r>
              <w:rPr>
                <w:kern w:val="0"/>
              </w:rPr>
              <w:t>2.</w:t>
            </w:r>
            <w:r>
              <w:rPr>
                <w:rFonts w:hAnsi="宋体"/>
                <w:kern w:val="0"/>
              </w:rPr>
              <w:t>冷剂管道阀门未开；</w:t>
            </w:r>
          </w:p>
          <w:p>
            <w:pPr>
              <w:pStyle w:val="37"/>
              <w:spacing w:line="240" w:lineRule="auto"/>
            </w:pPr>
            <w:r>
              <w:rPr>
                <w:kern w:val="0"/>
              </w:rPr>
              <w:t xml:space="preserve">3. </w:t>
            </w:r>
            <w:r>
              <w:rPr>
                <w:rFonts w:hAnsi="宋体"/>
                <w:kern w:val="0"/>
              </w:rPr>
              <w:t>法兰处盲板未抽出。</w:t>
            </w:r>
          </w:p>
        </w:tc>
        <w:tc>
          <w:tcPr>
            <w:tcW w:w="3102" w:type="dxa"/>
            <w:vAlign w:val="center"/>
          </w:tcPr>
          <w:p>
            <w:pPr>
              <w:pStyle w:val="37"/>
              <w:spacing w:line="240" w:lineRule="auto"/>
            </w:pPr>
            <w:r>
              <w:rPr>
                <w:rFonts w:hAnsi="宋体"/>
                <w:kern w:val="0"/>
              </w:rPr>
              <w:t>引起塔内压力上升，导致垫片处泄露或爆炸。</w:t>
            </w:r>
          </w:p>
        </w:tc>
        <w:tc>
          <w:tcPr>
            <w:tcW w:w="3140" w:type="dxa"/>
            <w:vAlign w:val="center"/>
          </w:tcPr>
          <w:p>
            <w:pPr>
              <w:pStyle w:val="37"/>
              <w:spacing w:line="240" w:lineRule="auto"/>
              <w:rPr>
                <w:kern w:val="0"/>
              </w:rPr>
            </w:pPr>
            <w:r>
              <w:rPr>
                <w:kern w:val="0"/>
              </w:rPr>
              <w:t>1.</w:t>
            </w:r>
            <w:r>
              <w:rPr>
                <w:rFonts w:hAnsi="宋体"/>
                <w:kern w:val="0"/>
              </w:rPr>
              <w:t>通知冷剂站送水；</w:t>
            </w:r>
          </w:p>
          <w:p>
            <w:pPr>
              <w:pStyle w:val="37"/>
              <w:spacing w:line="240" w:lineRule="auto"/>
              <w:rPr>
                <w:kern w:val="0"/>
              </w:rPr>
            </w:pPr>
            <w:r>
              <w:rPr>
                <w:kern w:val="0"/>
              </w:rPr>
              <w:t>2.</w:t>
            </w:r>
            <w:r>
              <w:rPr>
                <w:rFonts w:hAnsi="宋体"/>
                <w:kern w:val="0"/>
              </w:rPr>
              <w:t>检查管道阀门开关情况；</w:t>
            </w:r>
          </w:p>
          <w:p>
            <w:pPr>
              <w:pStyle w:val="37"/>
              <w:spacing w:line="240" w:lineRule="auto"/>
            </w:pPr>
            <w:r>
              <w:rPr>
                <w:kern w:val="0"/>
              </w:rPr>
              <w:t>3..</w:t>
            </w:r>
            <w:r>
              <w:rPr>
                <w:rFonts w:hAnsi="宋体"/>
                <w:kern w:val="0"/>
              </w:rPr>
              <w:t>检查各法兰处盲板抽堵情况。</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vAlign w:val="center"/>
          </w:tcPr>
          <w:p>
            <w:pPr>
              <w:pStyle w:val="37"/>
              <w:spacing w:line="240" w:lineRule="auto"/>
              <w:rPr>
                <w:b/>
                <w:bCs/>
              </w:rPr>
            </w:pPr>
            <w:r>
              <w:rPr>
                <w:b/>
                <w:bCs w:val="0"/>
                <w:kern w:val="0"/>
              </w:rPr>
              <w:t>5</w:t>
            </w:r>
          </w:p>
        </w:tc>
        <w:tc>
          <w:tcPr>
            <w:tcW w:w="992" w:type="dxa"/>
            <w:shd w:val="clear" w:color="auto" w:fill="D9E2F3" w:themeFill="accent1" w:themeFillTint="33"/>
            <w:vAlign w:val="center"/>
          </w:tcPr>
          <w:p>
            <w:pPr>
              <w:pStyle w:val="37"/>
              <w:spacing w:line="240" w:lineRule="auto"/>
            </w:pPr>
            <w:r>
              <w:rPr>
                <w:rFonts w:hAnsi="宋体"/>
                <w:kern w:val="0"/>
              </w:rPr>
              <w:t>冷剂量少</w:t>
            </w:r>
          </w:p>
        </w:tc>
        <w:tc>
          <w:tcPr>
            <w:tcW w:w="2835" w:type="dxa"/>
            <w:shd w:val="clear" w:color="auto" w:fill="D9E2F3" w:themeFill="accent1" w:themeFillTint="33"/>
            <w:vAlign w:val="center"/>
          </w:tcPr>
          <w:p>
            <w:pPr>
              <w:pStyle w:val="37"/>
              <w:spacing w:line="240" w:lineRule="auto"/>
              <w:rPr>
                <w:kern w:val="0"/>
              </w:rPr>
            </w:pPr>
            <w:r>
              <w:rPr>
                <w:kern w:val="0"/>
              </w:rPr>
              <w:t>1.</w:t>
            </w:r>
            <w:r>
              <w:rPr>
                <w:rFonts w:hAnsi="宋体"/>
                <w:kern w:val="0"/>
              </w:rPr>
              <w:t>冷剂进口压力低；</w:t>
            </w:r>
          </w:p>
          <w:p>
            <w:pPr>
              <w:pStyle w:val="37"/>
              <w:spacing w:line="240" w:lineRule="auto"/>
              <w:rPr>
                <w:kern w:val="0"/>
              </w:rPr>
            </w:pPr>
            <w:r>
              <w:rPr>
                <w:kern w:val="0"/>
              </w:rPr>
              <w:t>2.</w:t>
            </w:r>
            <w:r>
              <w:rPr>
                <w:rFonts w:hAnsi="宋体"/>
                <w:kern w:val="0"/>
              </w:rPr>
              <w:t>冷剂源头流量小；</w:t>
            </w:r>
          </w:p>
          <w:p>
            <w:pPr>
              <w:pStyle w:val="37"/>
              <w:spacing w:line="240" w:lineRule="auto"/>
              <w:rPr>
                <w:kern w:val="0"/>
              </w:rPr>
            </w:pPr>
            <w:r>
              <w:rPr>
                <w:spacing w:val="-14"/>
                <w:kern w:val="0"/>
              </w:rPr>
              <w:t>3.</w:t>
            </w:r>
            <w:r>
              <w:rPr>
                <w:rFonts w:hAnsi="宋体"/>
                <w:spacing w:val="-14"/>
                <w:kern w:val="0"/>
              </w:rPr>
              <w:t>冷剂出口压力高</w:t>
            </w:r>
            <w:r>
              <w:rPr>
                <w:spacing w:val="-14"/>
                <w:kern w:val="0"/>
              </w:rPr>
              <w:t xml:space="preserve"> </w:t>
            </w:r>
            <w:r>
              <w:rPr>
                <w:rFonts w:hAnsi="宋体"/>
                <w:kern w:val="0"/>
              </w:rPr>
              <w:t>；</w:t>
            </w:r>
          </w:p>
          <w:p>
            <w:pPr>
              <w:pStyle w:val="37"/>
              <w:spacing w:line="240" w:lineRule="auto"/>
            </w:pPr>
            <w:r>
              <w:rPr>
                <w:kern w:val="0"/>
              </w:rPr>
              <w:t>4.</w:t>
            </w:r>
            <w:r>
              <w:rPr>
                <w:rFonts w:hAnsi="宋体"/>
                <w:kern w:val="0"/>
              </w:rPr>
              <w:t>调节阀开度小。</w:t>
            </w:r>
          </w:p>
        </w:tc>
        <w:tc>
          <w:tcPr>
            <w:tcW w:w="3102" w:type="dxa"/>
            <w:shd w:val="clear" w:color="auto" w:fill="D9E2F3" w:themeFill="accent1" w:themeFillTint="33"/>
            <w:vAlign w:val="center"/>
          </w:tcPr>
          <w:p>
            <w:pPr>
              <w:pStyle w:val="37"/>
              <w:spacing w:line="240" w:lineRule="auto"/>
            </w:pPr>
            <w:r>
              <w:rPr>
                <w:rFonts w:hAnsi="宋体"/>
                <w:kern w:val="0"/>
              </w:rPr>
              <w:t>引起塔内压力上升。</w:t>
            </w:r>
          </w:p>
        </w:tc>
        <w:tc>
          <w:tcPr>
            <w:tcW w:w="3140" w:type="dxa"/>
            <w:shd w:val="clear" w:color="auto" w:fill="D9E2F3" w:themeFill="accent1" w:themeFillTint="33"/>
            <w:vAlign w:val="center"/>
          </w:tcPr>
          <w:p>
            <w:pPr>
              <w:pStyle w:val="37"/>
              <w:spacing w:line="240" w:lineRule="auto"/>
              <w:rPr>
                <w:kern w:val="0"/>
              </w:rPr>
            </w:pPr>
            <w:r>
              <w:rPr>
                <w:kern w:val="0"/>
              </w:rPr>
              <w:t>1.</w:t>
            </w:r>
            <w:r>
              <w:rPr>
                <w:rFonts w:hAnsi="宋体"/>
                <w:kern w:val="0"/>
              </w:rPr>
              <w:t>通知冷剂站提高进口压力；</w:t>
            </w:r>
          </w:p>
          <w:p>
            <w:pPr>
              <w:pStyle w:val="37"/>
              <w:spacing w:line="240" w:lineRule="auto"/>
              <w:rPr>
                <w:kern w:val="0"/>
              </w:rPr>
            </w:pPr>
            <w:r>
              <w:rPr>
                <w:kern w:val="0"/>
              </w:rPr>
              <w:t xml:space="preserve">2. </w:t>
            </w:r>
            <w:r>
              <w:rPr>
                <w:rFonts w:hAnsi="宋体"/>
                <w:kern w:val="0"/>
              </w:rPr>
              <w:t>通知冷剂站加大送出量；</w:t>
            </w:r>
          </w:p>
          <w:p>
            <w:pPr>
              <w:pStyle w:val="37"/>
              <w:spacing w:line="240" w:lineRule="auto"/>
              <w:rPr>
                <w:kern w:val="0"/>
              </w:rPr>
            </w:pPr>
            <w:r>
              <w:rPr>
                <w:kern w:val="0"/>
              </w:rPr>
              <w:t>3.</w:t>
            </w:r>
            <w:r>
              <w:rPr>
                <w:rFonts w:hAnsi="宋体"/>
                <w:kern w:val="0"/>
              </w:rPr>
              <w:t>查找出口管道有无堵塞，解决出口压力高的问题；</w:t>
            </w:r>
          </w:p>
          <w:p>
            <w:pPr>
              <w:pStyle w:val="37"/>
              <w:spacing w:line="240" w:lineRule="auto"/>
            </w:pPr>
            <w:r>
              <w:rPr>
                <w:kern w:val="0"/>
              </w:rPr>
              <w:t>4.</w:t>
            </w:r>
            <w:r>
              <w:rPr>
                <w:rFonts w:hAnsi="宋体"/>
                <w:kern w:val="0"/>
              </w:rPr>
              <w:t>调节阀门开度。</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vAlign w:val="center"/>
          </w:tcPr>
          <w:p>
            <w:pPr>
              <w:pStyle w:val="37"/>
              <w:spacing w:line="240" w:lineRule="auto"/>
              <w:rPr>
                <w:b/>
                <w:bCs/>
              </w:rPr>
            </w:pPr>
            <w:r>
              <w:rPr>
                <w:b/>
                <w:bCs w:val="0"/>
                <w:kern w:val="0"/>
              </w:rPr>
              <w:t>6</w:t>
            </w:r>
          </w:p>
        </w:tc>
        <w:tc>
          <w:tcPr>
            <w:tcW w:w="992" w:type="dxa"/>
            <w:vAlign w:val="center"/>
          </w:tcPr>
          <w:p>
            <w:pPr>
              <w:pStyle w:val="37"/>
              <w:spacing w:line="240" w:lineRule="auto"/>
            </w:pPr>
            <w:r>
              <w:rPr>
                <w:rFonts w:hAnsi="宋体"/>
                <w:kern w:val="0"/>
              </w:rPr>
              <w:t>浓度低</w:t>
            </w:r>
          </w:p>
        </w:tc>
        <w:tc>
          <w:tcPr>
            <w:tcW w:w="2835" w:type="dxa"/>
            <w:vAlign w:val="center"/>
          </w:tcPr>
          <w:p>
            <w:pPr>
              <w:pStyle w:val="37"/>
              <w:spacing w:line="240" w:lineRule="auto"/>
              <w:rPr>
                <w:kern w:val="0"/>
              </w:rPr>
            </w:pPr>
            <w:r>
              <w:rPr>
                <w:kern w:val="0"/>
              </w:rPr>
              <w:t>1.</w:t>
            </w:r>
            <w:r>
              <w:rPr>
                <w:rFonts w:hAnsi="宋体"/>
                <w:kern w:val="0"/>
              </w:rPr>
              <w:t>工艺控制不稳定；</w:t>
            </w:r>
          </w:p>
          <w:p>
            <w:pPr>
              <w:pStyle w:val="37"/>
              <w:spacing w:line="240" w:lineRule="auto"/>
            </w:pPr>
            <w:r>
              <w:rPr>
                <w:kern w:val="0"/>
              </w:rPr>
              <w:t>2.</w:t>
            </w:r>
            <w:r>
              <w:rPr>
                <w:rFonts w:hAnsi="宋体"/>
                <w:kern w:val="0"/>
              </w:rPr>
              <w:t>顶温设置不合理。</w:t>
            </w:r>
          </w:p>
        </w:tc>
        <w:tc>
          <w:tcPr>
            <w:tcW w:w="3102" w:type="dxa"/>
            <w:vAlign w:val="center"/>
          </w:tcPr>
          <w:p>
            <w:pPr>
              <w:pStyle w:val="37"/>
              <w:spacing w:line="240" w:lineRule="auto"/>
            </w:pPr>
            <w:r>
              <w:rPr>
                <w:rFonts w:hAnsi="宋体"/>
                <w:kern w:val="0"/>
              </w:rPr>
              <w:t>产品质量不合格</w:t>
            </w:r>
          </w:p>
        </w:tc>
        <w:tc>
          <w:tcPr>
            <w:tcW w:w="3140" w:type="dxa"/>
            <w:vAlign w:val="center"/>
          </w:tcPr>
          <w:p>
            <w:pPr>
              <w:pStyle w:val="37"/>
              <w:spacing w:line="240" w:lineRule="auto"/>
              <w:rPr>
                <w:kern w:val="0"/>
              </w:rPr>
            </w:pPr>
            <w:r>
              <w:rPr>
                <w:kern w:val="0"/>
              </w:rPr>
              <w:t>1.</w:t>
            </w:r>
            <w:r>
              <w:rPr>
                <w:rFonts w:hAnsi="宋体"/>
                <w:kern w:val="0"/>
              </w:rPr>
              <w:t>缓慢调节温度、压力、回流量等参数；</w:t>
            </w:r>
          </w:p>
          <w:p>
            <w:pPr>
              <w:pStyle w:val="37"/>
              <w:spacing w:line="240" w:lineRule="auto"/>
            </w:pPr>
            <w:r>
              <w:rPr>
                <w:kern w:val="0"/>
              </w:rPr>
              <w:t>2.</w:t>
            </w:r>
            <w:r>
              <w:rPr>
                <w:rFonts w:hAnsi="宋体"/>
                <w:kern w:val="0"/>
              </w:rPr>
              <w:t>适当提高顶温。</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vAlign w:val="center"/>
          </w:tcPr>
          <w:p>
            <w:pPr>
              <w:pStyle w:val="37"/>
              <w:spacing w:line="240" w:lineRule="auto"/>
              <w:rPr>
                <w:b/>
                <w:bCs/>
              </w:rPr>
            </w:pPr>
            <w:r>
              <w:rPr>
                <w:b/>
                <w:bCs w:val="0"/>
                <w:kern w:val="0"/>
              </w:rPr>
              <w:t>7</w:t>
            </w:r>
          </w:p>
        </w:tc>
        <w:tc>
          <w:tcPr>
            <w:tcW w:w="992" w:type="dxa"/>
            <w:shd w:val="clear" w:color="auto" w:fill="D9E2F3" w:themeFill="accent1" w:themeFillTint="33"/>
            <w:vAlign w:val="center"/>
          </w:tcPr>
          <w:p>
            <w:pPr>
              <w:pStyle w:val="37"/>
              <w:spacing w:line="240" w:lineRule="auto"/>
            </w:pPr>
            <w:r>
              <w:rPr>
                <w:rFonts w:hAnsi="宋体"/>
                <w:spacing w:val="-20"/>
                <w:kern w:val="0"/>
              </w:rPr>
              <w:t>液体含杂质</w:t>
            </w:r>
          </w:p>
        </w:tc>
        <w:tc>
          <w:tcPr>
            <w:tcW w:w="2835" w:type="dxa"/>
            <w:shd w:val="clear" w:color="auto" w:fill="D9E2F3" w:themeFill="accent1" w:themeFillTint="33"/>
            <w:vAlign w:val="center"/>
          </w:tcPr>
          <w:p>
            <w:pPr>
              <w:pStyle w:val="37"/>
              <w:spacing w:line="240" w:lineRule="auto"/>
            </w:pPr>
            <w:r>
              <w:rPr>
                <w:rFonts w:hAnsi="宋体"/>
                <w:spacing w:val="-10"/>
                <w:kern w:val="0"/>
              </w:rPr>
              <w:t>冷凝器列管穿孔</w:t>
            </w:r>
          </w:p>
        </w:tc>
        <w:tc>
          <w:tcPr>
            <w:tcW w:w="3102" w:type="dxa"/>
            <w:shd w:val="clear" w:color="auto" w:fill="D9E2F3" w:themeFill="accent1" w:themeFillTint="33"/>
            <w:vAlign w:val="center"/>
          </w:tcPr>
          <w:p>
            <w:pPr>
              <w:pStyle w:val="37"/>
              <w:spacing w:line="240" w:lineRule="auto"/>
            </w:pPr>
            <w:r>
              <w:rPr>
                <w:rFonts w:hAnsi="宋体"/>
                <w:spacing w:val="-10"/>
                <w:kern w:val="0"/>
              </w:rPr>
              <w:t>产品质量不合格</w:t>
            </w:r>
          </w:p>
        </w:tc>
        <w:tc>
          <w:tcPr>
            <w:tcW w:w="3140" w:type="dxa"/>
            <w:shd w:val="clear" w:color="auto" w:fill="D9E2F3" w:themeFill="accent1" w:themeFillTint="33"/>
            <w:vAlign w:val="center"/>
          </w:tcPr>
          <w:p>
            <w:pPr>
              <w:pStyle w:val="37"/>
              <w:spacing w:line="240" w:lineRule="auto"/>
            </w:pPr>
            <w:r>
              <w:rPr>
                <w:rFonts w:hAnsi="宋体"/>
                <w:spacing w:val="-10"/>
                <w:kern w:val="0"/>
              </w:rPr>
              <w:t>更换或封堵穿孔的列管</w:t>
            </w:r>
          </w:p>
        </w:tc>
      </w:tr>
    </w:tbl>
    <w:p>
      <w:pPr>
        <w:spacing w:before="156" w:after="156"/>
        <w:ind w:firstLine="422"/>
        <w:rPr>
          <w:b/>
          <w:bCs/>
        </w:rPr>
      </w:pPr>
      <w:r>
        <w:rPr>
          <w:rFonts w:hint="eastAsia"/>
          <w:b/>
          <w:bCs/>
        </w:rPr>
        <w:t>以回流罐作为分析节点</w:t>
      </w:r>
    </w:p>
    <w:p>
      <w:pPr>
        <w:pStyle w:val="39"/>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 xml:space="preserve">8-8 </w:t>
      </w:r>
      <w:r>
        <w:rPr>
          <w:rFonts w:hint="eastAsia" w:ascii="宋体" w:hAnsi="宋体" w:eastAsia="宋体"/>
          <w:sz w:val="18"/>
          <w:szCs w:val="18"/>
        </w:rPr>
        <w:t>回流罐</w:t>
      </w:r>
      <w:r>
        <w:rPr>
          <w:rFonts w:ascii="宋体" w:hAnsi="宋体" w:eastAsia="宋体"/>
          <w:sz w:val="18"/>
          <w:szCs w:val="18"/>
        </w:rPr>
        <w:t>工艺参数偏差</w:t>
      </w:r>
    </w:p>
    <w:tbl>
      <w:tblPr>
        <w:tblStyle w:val="44"/>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129"/>
        <w:gridCol w:w="945"/>
        <w:gridCol w:w="1037"/>
        <w:gridCol w:w="1037"/>
        <w:gridCol w:w="1037"/>
        <w:gridCol w:w="1037"/>
        <w:gridCol w:w="1037"/>
        <w:gridCol w:w="1037"/>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129" w:type="dxa"/>
            <w:vMerge w:val="restar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工艺参数</w:t>
            </w:r>
          </w:p>
        </w:tc>
        <w:tc>
          <w:tcPr>
            <w:tcW w:w="7167" w:type="dxa"/>
            <w:gridSpan w:val="7"/>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val="0"/>
                <w:bCs w:val="0"/>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引导词</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129" w:type="dxa"/>
            <w:vMerge w:val="continue"/>
            <w:shd w:val="clear" w:color="auto" w:fill="D9E2F3" w:themeFill="accent1" w:themeFillTint="33"/>
            <w:vAlign w:val="center"/>
          </w:tcPr>
          <w:p>
            <w:pPr>
              <w:pStyle w:val="37"/>
              <w:spacing w:line="240" w:lineRule="auto"/>
              <w:rPr>
                <w:b w:val="0"/>
                <w:bCs w:val="0"/>
              </w:rPr>
            </w:pPr>
          </w:p>
        </w:tc>
        <w:tc>
          <w:tcPr>
            <w:tcW w:w="945" w:type="dxa"/>
            <w:shd w:val="clear" w:color="auto" w:fill="D9E2F3" w:themeFill="accent1" w:themeFillTint="33"/>
            <w:vAlign w:val="center"/>
          </w:tcPr>
          <w:p>
            <w:pPr>
              <w:pStyle w:val="37"/>
              <w:spacing w:line="240" w:lineRule="auto"/>
              <w:rPr>
                <w:b/>
                <w:bCs/>
              </w:rPr>
            </w:pPr>
            <w:r>
              <w:rPr>
                <w:rFonts w:hint="eastAsia"/>
              </w:rPr>
              <w:t>无</w:t>
            </w:r>
          </w:p>
        </w:tc>
        <w:tc>
          <w:tcPr>
            <w:tcW w:w="1037" w:type="dxa"/>
            <w:shd w:val="clear" w:color="auto" w:fill="D9E2F3" w:themeFill="accent1" w:themeFillTint="33"/>
            <w:vAlign w:val="center"/>
          </w:tcPr>
          <w:p>
            <w:pPr>
              <w:pStyle w:val="37"/>
              <w:spacing w:line="240" w:lineRule="auto"/>
              <w:rPr>
                <w:b/>
                <w:bCs/>
              </w:rPr>
            </w:pPr>
            <w:r>
              <w:rPr>
                <w:rFonts w:hint="eastAsia"/>
              </w:rPr>
              <w:t>过量</w:t>
            </w:r>
          </w:p>
        </w:tc>
        <w:tc>
          <w:tcPr>
            <w:tcW w:w="1037" w:type="dxa"/>
            <w:shd w:val="clear" w:color="auto" w:fill="D9E2F3" w:themeFill="accent1" w:themeFillTint="33"/>
            <w:vAlign w:val="center"/>
          </w:tcPr>
          <w:p>
            <w:pPr>
              <w:pStyle w:val="37"/>
              <w:spacing w:line="240" w:lineRule="auto"/>
              <w:rPr>
                <w:b/>
                <w:bCs/>
              </w:rPr>
            </w:pPr>
            <w:r>
              <w:rPr>
                <w:rFonts w:hint="eastAsia"/>
              </w:rPr>
              <w:t>减量</w:t>
            </w:r>
          </w:p>
        </w:tc>
        <w:tc>
          <w:tcPr>
            <w:tcW w:w="1037" w:type="dxa"/>
            <w:shd w:val="clear" w:color="auto" w:fill="D9E2F3" w:themeFill="accent1" w:themeFillTint="33"/>
            <w:vAlign w:val="center"/>
          </w:tcPr>
          <w:p>
            <w:pPr>
              <w:pStyle w:val="37"/>
              <w:spacing w:line="240" w:lineRule="auto"/>
              <w:rPr>
                <w:b/>
                <w:bCs/>
              </w:rPr>
            </w:pPr>
            <w:r>
              <w:rPr>
                <w:rFonts w:hint="eastAsia"/>
              </w:rPr>
              <w:t>伴随</w:t>
            </w:r>
          </w:p>
        </w:tc>
        <w:tc>
          <w:tcPr>
            <w:tcW w:w="1037" w:type="dxa"/>
            <w:shd w:val="clear" w:color="auto" w:fill="D9E2F3" w:themeFill="accent1" w:themeFillTint="33"/>
            <w:vAlign w:val="center"/>
          </w:tcPr>
          <w:p>
            <w:pPr>
              <w:pStyle w:val="37"/>
              <w:spacing w:line="240" w:lineRule="auto"/>
              <w:rPr>
                <w:b/>
                <w:bCs/>
              </w:rPr>
            </w:pPr>
            <w:r>
              <w:rPr>
                <w:rFonts w:hint="eastAsia"/>
              </w:rPr>
              <w:t>部分</w:t>
            </w:r>
          </w:p>
        </w:tc>
        <w:tc>
          <w:tcPr>
            <w:tcW w:w="1037" w:type="dxa"/>
            <w:shd w:val="clear" w:color="auto" w:fill="D9E2F3" w:themeFill="accent1" w:themeFillTint="33"/>
            <w:vAlign w:val="center"/>
          </w:tcPr>
          <w:p>
            <w:pPr>
              <w:pStyle w:val="37"/>
              <w:spacing w:line="240" w:lineRule="auto"/>
              <w:rPr>
                <w:b/>
                <w:bCs/>
              </w:rPr>
            </w:pPr>
            <w:r>
              <w:rPr>
                <w:rFonts w:hint="eastAsia"/>
              </w:rPr>
              <w:t>相</w:t>
            </w:r>
            <w:r>
              <w:t>逆</w:t>
            </w:r>
          </w:p>
        </w:tc>
        <w:tc>
          <w:tcPr>
            <w:tcW w:w="1037" w:type="dxa"/>
            <w:shd w:val="clear" w:color="auto" w:fill="D9E2F3" w:themeFill="accent1" w:themeFillTint="33"/>
            <w:vAlign w:val="center"/>
          </w:tcPr>
          <w:p>
            <w:pPr>
              <w:pStyle w:val="37"/>
              <w:spacing w:line="240" w:lineRule="auto"/>
              <w:rPr>
                <w:b/>
                <w:bCs/>
              </w:rPr>
            </w:pPr>
            <w:r>
              <w:rPr>
                <w:rFonts w:hint="eastAsia"/>
              </w:rPr>
              <w:t>异常</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129" w:type="dxa"/>
            <w:vAlign w:val="center"/>
          </w:tcPr>
          <w:p>
            <w:pPr>
              <w:pStyle w:val="37"/>
              <w:spacing w:line="240" w:lineRule="auto"/>
              <w:rPr>
                <w:b w:val="0"/>
                <w:bCs w:val="0"/>
              </w:rPr>
            </w:pPr>
            <w:r>
              <w:rPr>
                <w:rFonts w:hint="eastAsia"/>
                <w:b/>
                <w:bCs/>
              </w:rPr>
              <w:t>液面</w:t>
            </w:r>
          </w:p>
        </w:tc>
        <w:tc>
          <w:tcPr>
            <w:tcW w:w="945" w:type="dxa"/>
            <w:vAlign w:val="center"/>
          </w:tcPr>
          <w:p>
            <w:pPr>
              <w:pStyle w:val="37"/>
              <w:spacing w:line="240" w:lineRule="auto"/>
              <w:rPr>
                <w:b/>
                <w:bCs/>
              </w:rPr>
            </w:pPr>
            <w:r>
              <w:rPr>
                <w:rFonts w:hint="eastAsia"/>
              </w:rPr>
              <w:t>无液面</w:t>
            </w:r>
          </w:p>
        </w:tc>
        <w:tc>
          <w:tcPr>
            <w:tcW w:w="1037" w:type="dxa"/>
            <w:vAlign w:val="center"/>
          </w:tcPr>
          <w:p>
            <w:pPr>
              <w:pStyle w:val="37"/>
              <w:spacing w:line="240" w:lineRule="auto"/>
              <w:rPr>
                <w:b/>
                <w:bCs/>
              </w:rPr>
            </w:pPr>
            <w:r>
              <w:rPr>
                <w:rFonts w:hint="eastAsia"/>
              </w:rPr>
              <w:t>液面</w:t>
            </w:r>
            <w:r>
              <w:t>高</w:t>
            </w:r>
          </w:p>
        </w:tc>
        <w:tc>
          <w:tcPr>
            <w:tcW w:w="1037" w:type="dxa"/>
            <w:vAlign w:val="center"/>
          </w:tcPr>
          <w:p>
            <w:pPr>
              <w:pStyle w:val="37"/>
              <w:spacing w:line="240" w:lineRule="auto"/>
              <w:rPr>
                <w:b/>
                <w:bCs/>
              </w:rPr>
            </w:pPr>
            <w:r>
              <w:rPr>
                <w:rFonts w:hint="eastAsia"/>
              </w:rPr>
              <w:t>液面低</w:t>
            </w: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129" w:type="dxa"/>
            <w:shd w:val="clear" w:color="auto" w:fill="D9E2F3" w:themeFill="accent1" w:themeFillTint="33"/>
            <w:vAlign w:val="center"/>
          </w:tcPr>
          <w:p>
            <w:pPr>
              <w:pStyle w:val="37"/>
              <w:spacing w:line="240" w:lineRule="auto"/>
              <w:rPr>
                <w:b w:val="0"/>
                <w:bCs w:val="0"/>
              </w:rPr>
            </w:pPr>
            <w:r>
              <w:rPr>
                <w:rFonts w:hint="eastAsia"/>
                <w:b/>
                <w:bCs/>
              </w:rPr>
              <w:t>温度</w:t>
            </w:r>
          </w:p>
        </w:tc>
        <w:tc>
          <w:tcPr>
            <w:tcW w:w="945"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r>
              <w:rPr>
                <w:rFonts w:hint="eastAsia"/>
              </w:rPr>
              <w:t>温度高</w:t>
            </w:r>
          </w:p>
        </w:tc>
        <w:tc>
          <w:tcPr>
            <w:tcW w:w="1037" w:type="dxa"/>
            <w:shd w:val="clear" w:color="auto" w:fill="D9E2F3" w:themeFill="accent1" w:themeFillTint="33"/>
            <w:vAlign w:val="center"/>
          </w:tcPr>
          <w:p>
            <w:pPr>
              <w:pStyle w:val="37"/>
              <w:spacing w:line="240" w:lineRule="auto"/>
              <w:rPr>
                <w:b/>
                <w:bCs/>
              </w:rPr>
            </w:pPr>
            <w:r>
              <w:rPr>
                <w:rFonts w:hint="eastAsia"/>
              </w:rPr>
              <w:t>温度</w:t>
            </w:r>
            <w:r>
              <w:t>低</w:t>
            </w: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p>
        </w:tc>
        <w:tc>
          <w:tcPr>
            <w:tcW w:w="1037" w:type="dxa"/>
            <w:shd w:val="clear" w:color="auto" w:fill="D9E2F3" w:themeFill="accent1" w:themeFillTint="33"/>
            <w:vAlign w:val="center"/>
          </w:tcPr>
          <w:p>
            <w:pPr>
              <w:pStyle w:val="37"/>
              <w:spacing w:line="240" w:lineRule="auto"/>
              <w:rPr>
                <w:b/>
                <w:bCs/>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129" w:type="dxa"/>
            <w:vAlign w:val="center"/>
          </w:tcPr>
          <w:p>
            <w:pPr>
              <w:pStyle w:val="37"/>
              <w:spacing w:line="240" w:lineRule="auto"/>
              <w:rPr>
                <w:b w:val="0"/>
                <w:bCs w:val="0"/>
              </w:rPr>
            </w:pPr>
            <w:r>
              <w:rPr>
                <w:rFonts w:hint="eastAsia"/>
                <w:b/>
                <w:bCs/>
              </w:rPr>
              <w:t>压力</w:t>
            </w:r>
          </w:p>
        </w:tc>
        <w:tc>
          <w:tcPr>
            <w:tcW w:w="945" w:type="dxa"/>
            <w:vAlign w:val="center"/>
          </w:tcPr>
          <w:p>
            <w:pPr>
              <w:pStyle w:val="37"/>
              <w:spacing w:line="240" w:lineRule="auto"/>
              <w:rPr>
                <w:b/>
                <w:bCs/>
              </w:rPr>
            </w:pPr>
          </w:p>
        </w:tc>
        <w:tc>
          <w:tcPr>
            <w:tcW w:w="1037" w:type="dxa"/>
            <w:vAlign w:val="center"/>
          </w:tcPr>
          <w:p>
            <w:pPr>
              <w:pStyle w:val="37"/>
              <w:spacing w:line="240" w:lineRule="auto"/>
              <w:rPr>
                <w:b/>
                <w:bCs/>
              </w:rPr>
            </w:pPr>
            <w:r>
              <w:rPr>
                <w:rFonts w:hint="eastAsia"/>
              </w:rPr>
              <w:t>压力高</w:t>
            </w:r>
          </w:p>
        </w:tc>
        <w:tc>
          <w:tcPr>
            <w:tcW w:w="1037" w:type="dxa"/>
            <w:vAlign w:val="center"/>
          </w:tcPr>
          <w:p>
            <w:pPr>
              <w:pStyle w:val="37"/>
              <w:spacing w:line="240" w:lineRule="auto"/>
              <w:rPr>
                <w:b/>
                <w:bCs/>
              </w:rPr>
            </w:pPr>
            <w:r>
              <w:rPr>
                <w:rFonts w:hint="eastAsia"/>
              </w:rPr>
              <w:t>压力低</w:t>
            </w: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c>
          <w:tcPr>
            <w:tcW w:w="1037" w:type="dxa"/>
            <w:vAlign w:val="center"/>
          </w:tcPr>
          <w:p>
            <w:pPr>
              <w:pStyle w:val="37"/>
              <w:spacing w:line="240" w:lineRule="auto"/>
              <w:rPr>
                <w:b/>
                <w:bCs/>
              </w:rPr>
            </w:pPr>
          </w:p>
        </w:tc>
      </w:tr>
    </w:tbl>
    <w:p>
      <w:pPr>
        <w:pStyle w:val="39"/>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8-9</w:t>
      </w:r>
      <w:r>
        <w:rPr>
          <w:rFonts w:hint="eastAsia" w:ascii="宋体" w:hAnsi="宋体" w:eastAsia="宋体"/>
          <w:sz w:val="18"/>
          <w:szCs w:val="18"/>
        </w:rPr>
        <w:t xml:space="preserve"> 回流罐HAZOP分析</w:t>
      </w:r>
      <w:r>
        <w:rPr>
          <w:rFonts w:ascii="宋体" w:hAnsi="宋体" w:eastAsia="宋体"/>
          <w:sz w:val="18"/>
          <w:szCs w:val="18"/>
        </w:rPr>
        <w:t>步骤</w:t>
      </w:r>
    </w:p>
    <w:tbl>
      <w:tblPr>
        <w:tblStyle w:val="44"/>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704"/>
        <w:gridCol w:w="992"/>
        <w:gridCol w:w="2268"/>
        <w:gridCol w:w="1985"/>
        <w:gridCol w:w="2347"/>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序号</w:t>
            </w:r>
          </w:p>
        </w:tc>
        <w:tc>
          <w:tcPr>
            <w:tcW w:w="99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偏差</w:t>
            </w:r>
          </w:p>
        </w:tc>
        <w:tc>
          <w:tcPr>
            <w:tcW w:w="226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原因</w:t>
            </w:r>
          </w:p>
        </w:tc>
        <w:tc>
          <w:tcPr>
            <w:tcW w:w="198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导致的后果</w:t>
            </w:r>
          </w:p>
        </w:tc>
        <w:tc>
          <w:tcPr>
            <w:tcW w:w="2347"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措施</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shd w:val="clear" w:color="auto" w:fill="D9E2F3" w:themeFill="accent1" w:themeFillTint="33"/>
            <w:vAlign w:val="center"/>
          </w:tcPr>
          <w:p>
            <w:pPr>
              <w:pStyle w:val="37"/>
              <w:spacing w:line="240" w:lineRule="auto"/>
              <w:rPr>
                <w:b/>
                <w:bCs/>
              </w:rPr>
            </w:pPr>
            <w:r>
              <w:rPr>
                <w:b/>
                <w:bCs/>
              </w:rPr>
              <w:t>1</w:t>
            </w:r>
          </w:p>
        </w:tc>
        <w:tc>
          <w:tcPr>
            <w:tcW w:w="992" w:type="dxa"/>
            <w:shd w:val="clear" w:color="auto" w:fill="D9E2F3" w:themeFill="accent1" w:themeFillTint="33"/>
            <w:vAlign w:val="center"/>
          </w:tcPr>
          <w:p>
            <w:pPr>
              <w:pStyle w:val="37"/>
              <w:spacing w:line="240" w:lineRule="auto"/>
            </w:pPr>
            <w:r>
              <w:rPr>
                <w:rFonts w:hAnsi="宋体"/>
              </w:rPr>
              <w:t>无液面</w:t>
            </w:r>
          </w:p>
        </w:tc>
        <w:tc>
          <w:tcPr>
            <w:tcW w:w="2268" w:type="dxa"/>
            <w:shd w:val="clear" w:color="auto" w:fill="D9E2F3" w:themeFill="accent1" w:themeFillTint="33"/>
            <w:vAlign w:val="center"/>
          </w:tcPr>
          <w:p>
            <w:pPr>
              <w:pStyle w:val="37"/>
              <w:spacing w:line="240" w:lineRule="auto"/>
            </w:pPr>
            <w:r>
              <w:t>1.</w:t>
            </w:r>
            <w:r>
              <w:rPr>
                <w:rFonts w:hAnsi="宋体"/>
              </w:rPr>
              <w:t>液位计损坏；</w:t>
            </w:r>
          </w:p>
          <w:p>
            <w:pPr>
              <w:pStyle w:val="37"/>
              <w:spacing w:line="240" w:lineRule="auto"/>
            </w:pPr>
            <w:r>
              <w:t>2.</w:t>
            </w:r>
            <w:r>
              <w:rPr>
                <w:rFonts w:hAnsi="宋体"/>
              </w:rPr>
              <w:t>进口管堵塞；</w:t>
            </w:r>
          </w:p>
          <w:p>
            <w:pPr>
              <w:pStyle w:val="37"/>
              <w:spacing w:line="240" w:lineRule="auto"/>
            </w:pPr>
            <w:r>
              <w:t>3.</w:t>
            </w:r>
            <w:r>
              <w:rPr>
                <w:rFonts w:hAnsi="宋体"/>
              </w:rPr>
              <w:t>出口管管径过大。</w:t>
            </w:r>
          </w:p>
        </w:tc>
        <w:tc>
          <w:tcPr>
            <w:tcW w:w="1985" w:type="dxa"/>
            <w:shd w:val="clear" w:color="auto" w:fill="D9E2F3" w:themeFill="accent1" w:themeFillTint="33"/>
            <w:vAlign w:val="center"/>
          </w:tcPr>
          <w:p>
            <w:pPr>
              <w:pStyle w:val="37"/>
              <w:spacing w:line="240" w:lineRule="auto"/>
            </w:pPr>
            <w:r>
              <w:t>1.</w:t>
            </w:r>
            <w:r>
              <w:rPr>
                <w:rFonts w:hAnsi="宋体"/>
              </w:rPr>
              <w:t>工艺操作失误；</w:t>
            </w:r>
          </w:p>
          <w:p>
            <w:pPr>
              <w:pStyle w:val="37"/>
              <w:spacing w:line="240" w:lineRule="auto"/>
            </w:pPr>
            <w:r>
              <w:t>2.</w:t>
            </w:r>
            <w:r>
              <w:rPr>
                <w:rFonts w:hAnsi="宋体"/>
              </w:rPr>
              <w:t>空槽。</w:t>
            </w:r>
          </w:p>
        </w:tc>
        <w:tc>
          <w:tcPr>
            <w:tcW w:w="2347" w:type="dxa"/>
            <w:shd w:val="clear" w:color="auto" w:fill="D9E2F3" w:themeFill="accent1" w:themeFillTint="33"/>
            <w:vAlign w:val="center"/>
          </w:tcPr>
          <w:p>
            <w:pPr>
              <w:pStyle w:val="37"/>
              <w:spacing w:line="240" w:lineRule="auto"/>
            </w:pPr>
            <w:r>
              <w:t>1.</w:t>
            </w:r>
            <w:r>
              <w:rPr>
                <w:rFonts w:hAnsi="宋体"/>
              </w:rPr>
              <w:t>维修或更换液位计</w:t>
            </w:r>
          </w:p>
          <w:p>
            <w:pPr>
              <w:pStyle w:val="37"/>
              <w:spacing w:line="240" w:lineRule="auto"/>
            </w:pPr>
            <w:r>
              <w:t>2.</w:t>
            </w:r>
            <w:r>
              <w:rPr>
                <w:rFonts w:hAnsi="宋体"/>
              </w:rPr>
              <w:t>疏通进口管道</w:t>
            </w:r>
          </w:p>
          <w:p>
            <w:pPr>
              <w:pStyle w:val="37"/>
              <w:spacing w:line="240" w:lineRule="auto"/>
            </w:pPr>
            <w:r>
              <w:t>3.</w:t>
            </w:r>
            <w:r>
              <w:rPr>
                <w:rFonts w:hAnsi="宋体"/>
              </w:rPr>
              <w:t>更换出口管道或安装阀门</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vAlign w:val="center"/>
          </w:tcPr>
          <w:p>
            <w:pPr>
              <w:pStyle w:val="37"/>
              <w:spacing w:line="240" w:lineRule="auto"/>
              <w:rPr>
                <w:b/>
                <w:bCs/>
              </w:rPr>
            </w:pPr>
            <w:r>
              <w:rPr>
                <w:b/>
                <w:bCs/>
              </w:rPr>
              <w:t>2</w:t>
            </w:r>
          </w:p>
        </w:tc>
        <w:tc>
          <w:tcPr>
            <w:tcW w:w="992" w:type="dxa"/>
            <w:vAlign w:val="center"/>
          </w:tcPr>
          <w:p>
            <w:pPr>
              <w:pStyle w:val="37"/>
              <w:spacing w:line="240" w:lineRule="auto"/>
            </w:pPr>
            <w:r>
              <w:rPr>
                <w:rFonts w:hAnsi="宋体"/>
              </w:rPr>
              <w:t>液位高</w:t>
            </w:r>
          </w:p>
        </w:tc>
        <w:tc>
          <w:tcPr>
            <w:tcW w:w="2268" w:type="dxa"/>
            <w:vAlign w:val="center"/>
          </w:tcPr>
          <w:p>
            <w:pPr>
              <w:pStyle w:val="37"/>
              <w:spacing w:line="240" w:lineRule="auto"/>
            </w:pPr>
            <w:r>
              <w:t>1.</w:t>
            </w:r>
            <w:r>
              <w:rPr>
                <w:rFonts w:hAnsi="宋体"/>
              </w:rPr>
              <w:t>液位计损坏；</w:t>
            </w:r>
          </w:p>
          <w:p>
            <w:pPr>
              <w:pStyle w:val="37"/>
              <w:spacing w:line="240" w:lineRule="auto"/>
            </w:pPr>
            <w:r>
              <w:t>2.</w:t>
            </w:r>
            <w:r>
              <w:rPr>
                <w:rFonts w:hAnsi="宋体"/>
              </w:rPr>
              <w:t>出口管管径小。</w:t>
            </w:r>
          </w:p>
        </w:tc>
        <w:tc>
          <w:tcPr>
            <w:tcW w:w="1985" w:type="dxa"/>
            <w:vAlign w:val="center"/>
          </w:tcPr>
          <w:p>
            <w:pPr>
              <w:pStyle w:val="37"/>
              <w:spacing w:line="240" w:lineRule="auto"/>
            </w:pPr>
            <w:r>
              <w:rPr>
                <w:rFonts w:hAnsi="宋体"/>
              </w:rPr>
              <w:t>导致</w:t>
            </w:r>
            <w:r>
              <w:rPr>
                <w:rFonts w:hint="eastAsia" w:hAnsi="宋体"/>
              </w:rPr>
              <w:t>产品</w:t>
            </w:r>
            <w:r>
              <w:rPr>
                <w:rFonts w:hAnsi="宋体"/>
              </w:rPr>
              <w:t>溢出，引起着火或爆炸。</w:t>
            </w:r>
          </w:p>
        </w:tc>
        <w:tc>
          <w:tcPr>
            <w:tcW w:w="2347" w:type="dxa"/>
            <w:vAlign w:val="center"/>
          </w:tcPr>
          <w:p>
            <w:pPr>
              <w:pStyle w:val="37"/>
              <w:spacing w:line="240" w:lineRule="auto"/>
            </w:pPr>
            <w:r>
              <w:t>1.</w:t>
            </w:r>
            <w:r>
              <w:rPr>
                <w:rFonts w:hAnsi="宋体"/>
              </w:rPr>
              <w:t>维修或更换液位计</w:t>
            </w:r>
          </w:p>
          <w:p>
            <w:pPr>
              <w:pStyle w:val="37"/>
              <w:spacing w:line="240" w:lineRule="auto"/>
            </w:pPr>
            <w:r>
              <w:t>2.</w:t>
            </w:r>
            <w:r>
              <w:rPr>
                <w:rFonts w:hAnsi="宋体"/>
              </w:rPr>
              <w:t>更换大口径出口管</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shd w:val="clear" w:color="auto" w:fill="D9E2F3" w:themeFill="accent1" w:themeFillTint="33"/>
            <w:vAlign w:val="center"/>
          </w:tcPr>
          <w:p>
            <w:pPr>
              <w:pStyle w:val="37"/>
              <w:spacing w:line="240" w:lineRule="auto"/>
              <w:rPr>
                <w:b/>
                <w:bCs/>
              </w:rPr>
            </w:pPr>
            <w:r>
              <w:rPr>
                <w:b/>
                <w:bCs/>
              </w:rPr>
              <w:t>3</w:t>
            </w:r>
          </w:p>
        </w:tc>
        <w:tc>
          <w:tcPr>
            <w:tcW w:w="992" w:type="dxa"/>
            <w:shd w:val="clear" w:color="auto" w:fill="D9E2F3" w:themeFill="accent1" w:themeFillTint="33"/>
            <w:vAlign w:val="center"/>
          </w:tcPr>
          <w:p>
            <w:pPr>
              <w:pStyle w:val="37"/>
              <w:spacing w:line="240" w:lineRule="auto"/>
            </w:pPr>
            <w:r>
              <w:rPr>
                <w:rFonts w:hAnsi="宋体"/>
              </w:rPr>
              <w:t>温度高</w:t>
            </w:r>
          </w:p>
        </w:tc>
        <w:tc>
          <w:tcPr>
            <w:tcW w:w="2268" w:type="dxa"/>
            <w:shd w:val="clear" w:color="auto" w:fill="D9E2F3" w:themeFill="accent1" w:themeFillTint="33"/>
            <w:vAlign w:val="center"/>
          </w:tcPr>
          <w:p>
            <w:pPr>
              <w:pStyle w:val="37"/>
              <w:spacing w:line="240" w:lineRule="auto"/>
            </w:pPr>
            <w:r>
              <w:t>1.</w:t>
            </w:r>
            <w:r>
              <w:rPr>
                <w:rFonts w:hAnsi="宋体"/>
              </w:rPr>
              <w:t>冷凝器冷却效果差；</w:t>
            </w:r>
          </w:p>
          <w:p>
            <w:pPr>
              <w:pStyle w:val="37"/>
              <w:spacing w:line="240" w:lineRule="auto"/>
            </w:pPr>
            <w:r>
              <w:t>2.</w:t>
            </w:r>
            <w:r>
              <w:rPr>
                <w:rFonts w:hAnsi="宋体"/>
              </w:rPr>
              <w:t>测温设备损坏。</w:t>
            </w:r>
          </w:p>
        </w:tc>
        <w:tc>
          <w:tcPr>
            <w:tcW w:w="1985" w:type="dxa"/>
            <w:shd w:val="clear" w:color="auto" w:fill="D9E2F3" w:themeFill="accent1" w:themeFillTint="33"/>
            <w:vAlign w:val="center"/>
          </w:tcPr>
          <w:p>
            <w:pPr>
              <w:pStyle w:val="37"/>
              <w:spacing w:line="240" w:lineRule="auto"/>
            </w:pPr>
            <w:r>
              <w:t>1</w:t>
            </w:r>
            <w:r>
              <w:rPr>
                <w:rFonts w:hAnsi="宋体"/>
              </w:rPr>
              <w:t>，进入</w:t>
            </w:r>
            <w:r>
              <w:rPr>
                <w:rFonts w:hint="eastAsia" w:hAnsi="宋体"/>
              </w:rPr>
              <w:t>精制</w:t>
            </w:r>
            <w:r>
              <w:rPr>
                <w:rFonts w:hAnsi="宋体"/>
              </w:rPr>
              <w:t>塔的气量过大，影响产品质量；</w:t>
            </w:r>
          </w:p>
          <w:p>
            <w:pPr>
              <w:pStyle w:val="37"/>
              <w:spacing w:line="240" w:lineRule="auto"/>
            </w:pPr>
            <w:r>
              <w:t>2</w:t>
            </w:r>
            <w:r>
              <w:rPr>
                <w:rFonts w:hAnsi="宋体"/>
              </w:rPr>
              <w:t>，引起爆炸。</w:t>
            </w:r>
          </w:p>
        </w:tc>
        <w:tc>
          <w:tcPr>
            <w:tcW w:w="2347" w:type="dxa"/>
            <w:shd w:val="clear" w:color="auto" w:fill="D9E2F3" w:themeFill="accent1" w:themeFillTint="33"/>
            <w:vAlign w:val="center"/>
          </w:tcPr>
          <w:p>
            <w:pPr>
              <w:pStyle w:val="37"/>
              <w:spacing w:line="240" w:lineRule="auto"/>
            </w:pPr>
            <w:r>
              <w:t>1.</w:t>
            </w:r>
            <w:r>
              <w:rPr>
                <w:rFonts w:hAnsi="宋体"/>
              </w:rPr>
              <w:t>增加冷凝器冷却面积或更换冷凝器；</w:t>
            </w:r>
          </w:p>
          <w:p>
            <w:pPr>
              <w:pStyle w:val="37"/>
              <w:spacing w:line="240" w:lineRule="auto"/>
            </w:pPr>
            <w:r>
              <w:t>2.</w:t>
            </w:r>
            <w:r>
              <w:rPr>
                <w:rFonts w:hAnsi="宋体"/>
              </w:rPr>
              <w:t>维修或更换测温设备。</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vAlign w:val="center"/>
          </w:tcPr>
          <w:p>
            <w:pPr>
              <w:pStyle w:val="37"/>
              <w:spacing w:line="240" w:lineRule="auto"/>
              <w:rPr>
                <w:b/>
                <w:bCs/>
              </w:rPr>
            </w:pPr>
            <w:r>
              <w:rPr>
                <w:b/>
                <w:bCs/>
              </w:rPr>
              <w:t>4</w:t>
            </w:r>
          </w:p>
        </w:tc>
        <w:tc>
          <w:tcPr>
            <w:tcW w:w="992" w:type="dxa"/>
            <w:vAlign w:val="center"/>
          </w:tcPr>
          <w:p>
            <w:pPr>
              <w:pStyle w:val="37"/>
              <w:spacing w:line="240" w:lineRule="auto"/>
            </w:pPr>
            <w:r>
              <w:rPr>
                <w:rFonts w:hAnsi="宋体"/>
              </w:rPr>
              <w:t>压力高</w:t>
            </w:r>
          </w:p>
        </w:tc>
        <w:tc>
          <w:tcPr>
            <w:tcW w:w="2268" w:type="dxa"/>
            <w:vAlign w:val="center"/>
          </w:tcPr>
          <w:p>
            <w:pPr>
              <w:pStyle w:val="37"/>
              <w:spacing w:line="240" w:lineRule="auto"/>
            </w:pPr>
            <w:r>
              <w:t>1.</w:t>
            </w:r>
            <w:r>
              <w:rPr>
                <w:rFonts w:hAnsi="宋体"/>
              </w:rPr>
              <w:t>压力表坏；</w:t>
            </w:r>
          </w:p>
          <w:p>
            <w:pPr>
              <w:pStyle w:val="37"/>
              <w:spacing w:line="240" w:lineRule="auto"/>
            </w:pPr>
            <w:r>
              <w:t>2.</w:t>
            </w:r>
            <w:r>
              <w:rPr>
                <w:rFonts w:hAnsi="宋体"/>
              </w:rPr>
              <w:t>尾气管小；</w:t>
            </w:r>
          </w:p>
          <w:p>
            <w:pPr>
              <w:pStyle w:val="37"/>
              <w:spacing w:line="240" w:lineRule="auto"/>
            </w:pPr>
            <w:r>
              <w:t>3.</w:t>
            </w:r>
            <w:r>
              <w:rPr>
                <w:rFonts w:hAnsi="宋体"/>
              </w:rPr>
              <w:t>尾气管堵塞；</w:t>
            </w:r>
          </w:p>
          <w:p>
            <w:pPr>
              <w:pStyle w:val="37"/>
              <w:spacing w:line="240" w:lineRule="auto"/>
            </w:pPr>
            <w:r>
              <w:t>4.</w:t>
            </w:r>
            <w:r>
              <w:rPr>
                <w:rFonts w:hAnsi="宋体"/>
              </w:rPr>
              <w:t>尾气管阀门未打开。</w:t>
            </w:r>
          </w:p>
        </w:tc>
        <w:tc>
          <w:tcPr>
            <w:tcW w:w="1985" w:type="dxa"/>
            <w:vAlign w:val="center"/>
          </w:tcPr>
          <w:p>
            <w:pPr>
              <w:pStyle w:val="37"/>
              <w:spacing w:line="240" w:lineRule="auto"/>
            </w:pPr>
            <w:r>
              <w:rPr>
                <w:rFonts w:hAnsi="宋体"/>
              </w:rPr>
              <w:t>槽体爆炸</w:t>
            </w:r>
          </w:p>
        </w:tc>
        <w:tc>
          <w:tcPr>
            <w:tcW w:w="2347" w:type="dxa"/>
            <w:vAlign w:val="center"/>
          </w:tcPr>
          <w:p>
            <w:pPr>
              <w:pStyle w:val="37"/>
              <w:spacing w:line="240" w:lineRule="auto"/>
            </w:pPr>
            <w:r>
              <w:t>1.</w:t>
            </w:r>
            <w:r>
              <w:rPr>
                <w:rFonts w:hAnsi="宋体"/>
              </w:rPr>
              <w:t>维修或更换压力表；</w:t>
            </w:r>
          </w:p>
          <w:p>
            <w:pPr>
              <w:pStyle w:val="37"/>
              <w:spacing w:line="240" w:lineRule="auto"/>
            </w:pPr>
            <w:r>
              <w:t>2.</w:t>
            </w:r>
            <w:r>
              <w:rPr>
                <w:rFonts w:hAnsi="宋体"/>
              </w:rPr>
              <w:t>更换大口径尾气管；</w:t>
            </w:r>
          </w:p>
          <w:p>
            <w:pPr>
              <w:pStyle w:val="37"/>
              <w:spacing w:line="240" w:lineRule="auto"/>
            </w:pPr>
            <w:r>
              <w:t>3.</w:t>
            </w:r>
            <w:r>
              <w:rPr>
                <w:rFonts w:hAnsi="宋体"/>
              </w:rPr>
              <w:t>疏通尾气管道；</w:t>
            </w:r>
          </w:p>
          <w:p>
            <w:pPr>
              <w:pStyle w:val="37"/>
              <w:spacing w:line="240" w:lineRule="auto"/>
            </w:pPr>
            <w:r>
              <w:t xml:space="preserve">4. </w:t>
            </w:r>
            <w:r>
              <w:rPr>
                <w:rFonts w:hAnsi="宋体"/>
              </w:rPr>
              <w:t>打开尾气管阀门。</w:t>
            </w:r>
          </w:p>
        </w:tc>
      </w:tr>
    </w:tbl>
    <w:p>
      <w:pPr>
        <w:spacing w:before="156" w:after="156"/>
        <w:ind w:firstLine="422"/>
        <w:rPr>
          <w:b/>
          <w:bCs/>
        </w:rPr>
      </w:pPr>
      <w:r>
        <w:rPr>
          <w:rFonts w:hint="eastAsia"/>
          <w:b/>
          <w:bCs/>
        </w:rPr>
        <w:t>部分典型设备的</w:t>
      </w:r>
      <w:r>
        <w:rPr>
          <w:b/>
          <w:bCs/>
        </w:rPr>
        <w:t>HAZOP</w:t>
      </w:r>
      <w:r>
        <w:rPr>
          <w:rFonts w:hint="eastAsia"/>
          <w:b/>
          <w:bCs/>
        </w:rPr>
        <w:t>分析如下：</w:t>
      </w:r>
    </w:p>
    <w:p>
      <w:pPr>
        <w:spacing w:before="156" w:after="156"/>
        <w:ind w:firstLine="361"/>
        <w:rPr>
          <w:b/>
          <w:sz w:val="18"/>
          <w:szCs w:val="18"/>
        </w:rPr>
      </w:pPr>
      <w:r>
        <w:rPr>
          <w:b/>
          <w:sz w:val="18"/>
          <w:szCs w:val="18"/>
        </w:rPr>
        <w:drawing>
          <wp:inline distT="0" distB="0" distL="0" distR="0">
            <wp:extent cx="5274310" cy="2797175"/>
            <wp:effectExtent l="0" t="0" r="2540" b="3175"/>
            <wp:docPr id="3" name="图片 3" descr="C:\Users\ADMINI~1\AppData\Local\Temp\WeChat Files\c088d643f0d5566b9453fe118def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WeChat Files\c088d643f0d5566b9453fe118defe17.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2797328"/>
                    </a:xfrm>
                    <a:prstGeom prst="rect">
                      <a:avLst/>
                    </a:prstGeom>
                    <a:noFill/>
                    <a:ln>
                      <a:noFill/>
                    </a:ln>
                  </pic:spPr>
                </pic:pic>
              </a:graphicData>
            </a:graphic>
          </wp:inline>
        </w:drawing>
      </w:r>
    </w:p>
    <w:p>
      <w:pPr>
        <w:spacing w:before="156" w:after="156"/>
        <w:ind w:firstLine="361"/>
        <w:rPr>
          <w:rFonts w:hint="eastAsia"/>
          <w:b/>
          <w:sz w:val="18"/>
          <w:szCs w:val="18"/>
        </w:rPr>
      </w:pPr>
      <w:r>
        <w:rPr>
          <w:b/>
          <w:sz w:val="18"/>
          <w:szCs w:val="18"/>
        </w:rPr>
        <w:drawing>
          <wp:inline distT="0" distB="0" distL="0" distR="0">
            <wp:extent cx="5274310" cy="2753995"/>
            <wp:effectExtent l="0" t="0" r="2540" b="8255"/>
            <wp:docPr id="4" name="图片 4" descr="C:\Users\ADMINI~1\AppData\Local\Temp\WeChat Files\9d7f12bae435947624023ee73ccec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1\AppData\Local\Temp\WeChat Files\9d7f12bae435947624023ee73ccec3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2754275"/>
                    </a:xfrm>
                    <a:prstGeom prst="rect">
                      <a:avLst/>
                    </a:prstGeom>
                    <a:noFill/>
                    <a:ln>
                      <a:noFill/>
                    </a:ln>
                  </pic:spPr>
                </pic:pic>
              </a:graphicData>
            </a:graphic>
          </wp:inline>
        </w:drawing>
      </w:r>
    </w:p>
    <w:p>
      <w:pPr>
        <w:spacing w:before="156" w:after="156"/>
        <w:ind w:firstLine="422"/>
        <w:jc w:val="center"/>
        <w:rPr>
          <w:rFonts w:ascii="宋体" w:hAnsi="宋体"/>
          <w:b/>
          <w:bCs/>
          <w:szCs w:val="21"/>
        </w:rPr>
      </w:pPr>
      <w:r>
        <w:rPr>
          <w:rFonts w:hint="eastAsia" w:ascii="宋体" w:hAnsi="宋体"/>
          <w:b/>
          <w:bCs/>
          <w:szCs w:val="21"/>
        </w:rPr>
        <w:t>部分装置</w:t>
      </w:r>
      <w:r>
        <w:rPr>
          <w:rFonts w:ascii="宋体" w:hAnsi="宋体"/>
          <w:b/>
          <w:bCs/>
          <w:szCs w:val="21"/>
        </w:rPr>
        <w:t>HAZOP</w:t>
      </w:r>
      <w:r>
        <w:rPr>
          <w:rFonts w:hint="eastAsia" w:ascii="宋体" w:hAnsi="宋体"/>
          <w:b/>
          <w:bCs/>
          <w:szCs w:val="21"/>
        </w:rPr>
        <w:t>分析</w:t>
      </w:r>
    </w:p>
    <w:p>
      <w:pPr>
        <w:pStyle w:val="39"/>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8-10</w:t>
      </w:r>
      <w:r>
        <w:rPr>
          <w:rFonts w:hint="eastAsia" w:ascii="宋体" w:hAnsi="宋体" w:eastAsia="宋体"/>
          <w:sz w:val="18"/>
          <w:szCs w:val="18"/>
        </w:rPr>
        <w:t xml:space="preserve"> 储罐</w:t>
      </w:r>
      <w:r>
        <w:rPr>
          <w:rFonts w:ascii="宋体" w:hAnsi="宋体" w:eastAsia="宋体"/>
          <w:sz w:val="18"/>
          <w:szCs w:val="18"/>
        </w:rPr>
        <w:t>的</w:t>
      </w:r>
      <w:r>
        <w:rPr>
          <w:rFonts w:hint="eastAsia" w:ascii="宋体" w:hAnsi="宋体" w:eastAsia="宋体"/>
          <w:sz w:val="18"/>
          <w:szCs w:val="18"/>
        </w:rPr>
        <w:t>HAZOP分析</w:t>
      </w:r>
    </w:p>
    <w:tbl>
      <w:tblPr>
        <w:tblStyle w:val="44"/>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194"/>
        <w:gridCol w:w="1636"/>
        <w:gridCol w:w="1985"/>
        <w:gridCol w:w="1835"/>
        <w:gridCol w:w="1646"/>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194"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引导词</w:t>
            </w:r>
          </w:p>
        </w:tc>
        <w:tc>
          <w:tcPr>
            <w:tcW w:w="163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偏差</w:t>
            </w:r>
          </w:p>
        </w:tc>
        <w:tc>
          <w:tcPr>
            <w:tcW w:w="198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的原因</w:t>
            </w:r>
          </w:p>
        </w:tc>
        <w:tc>
          <w:tcPr>
            <w:tcW w:w="183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的后果</w:t>
            </w:r>
          </w:p>
        </w:tc>
        <w:tc>
          <w:tcPr>
            <w:tcW w:w="1646"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安全措施</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194" w:type="dxa"/>
            <w:shd w:val="clear" w:color="auto" w:fill="D9E2F3" w:themeFill="accent1" w:themeFillTint="33"/>
            <w:vAlign w:val="center"/>
          </w:tcPr>
          <w:p>
            <w:pPr>
              <w:pStyle w:val="37"/>
              <w:spacing w:line="240" w:lineRule="auto"/>
              <w:rPr>
                <w:b/>
                <w:bCs/>
              </w:rPr>
            </w:pPr>
            <w:r>
              <w:rPr>
                <w:rFonts w:hint="eastAsia"/>
                <w:b w:val="0"/>
                <w:bCs/>
              </w:rPr>
              <w:t>MORE</w:t>
            </w:r>
          </w:p>
        </w:tc>
        <w:tc>
          <w:tcPr>
            <w:tcW w:w="1636" w:type="dxa"/>
            <w:shd w:val="clear" w:color="auto" w:fill="D9E2F3" w:themeFill="accent1" w:themeFillTint="33"/>
            <w:vAlign w:val="center"/>
          </w:tcPr>
          <w:p>
            <w:pPr>
              <w:pStyle w:val="37"/>
              <w:spacing w:line="240" w:lineRule="auto"/>
            </w:pPr>
            <w:r>
              <w:rPr>
                <w:rFonts w:hint="eastAsia"/>
              </w:rPr>
              <w:t>进料量</w:t>
            </w:r>
            <w:r>
              <w:t>过大</w:t>
            </w:r>
            <w:r>
              <w:rPr>
                <w:rFonts w:hint="eastAsia"/>
              </w:rPr>
              <w:t>，</w:t>
            </w:r>
            <w:r>
              <w:t>储罐</w:t>
            </w:r>
            <w:r>
              <w:rPr>
                <w:rFonts w:hint="eastAsia"/>
              </w:rPr>
              <w:t>液位增大</w:t>
            </w:r>
          </w:p>
        </w:tc>
        <w:tc>
          <w:tcPr>
            <w:tcW w:w="1985" w:type="dxa"/>
            <w:shd w:val="clear" w:color="auto" w:fill="D9E2F3" w:themeFill="accent1" w:themeFillTint="33"/>
            <w:vAlign w:val="center"/>
          </w:tcPr>
          <w:p>
            <w:pPr>
              <w:pStyle w:val="37"/>
              <w:spacing w:line="240" w:lineRule="auto"/>
            </w:pPr>
            <w:r>
              <w:t>1.</w:t>
            </w:r>
            <w:r>
              <w:rPr>
                <w:rFonts w:hint="eastAsia"/>
              </w:rPr>
              <w:t>产量</w:t>
            </w:r>
            <w:r>
              <w:t>过大，导致储罐进料量增大</w:t>
            </w:r>
          </w:p>
          <w:p>
            <w:pPr>
              <w:pStyle w:val="37"/>
              <w:spacing w:line="240" w:lineRule="auto"/>
            </w:pPr>
            <w:r>
              <w:rPr>
                <w:rFonts w:hint="eastAsia"/>
              </w:rPr>
              <w:t>2.储罐</w:t>
            </w:r>
            <w:r>
              <w:t>的</w:t>
            </w:r>
            <w:r>
              <w:rPr>
                <w:rFonts w:hint="eastAsia"/>
              </w:rPr>
              <w:t>容积</w:t>
            </w:r>
            <w:r>
              <w:t>不够大</w:t>
            </w:r>
          </w:p>
        </w:tc>
        <w:tc>
          <w:tcPr>
            <w:tcW w:w="1835" w:type="dxa"/>
            <w:shd w:val="clear" w:color="auto" w:fill="D9E2F3" w:themeFill="accent1" w:themeFillTint="33"/>
            <w:vAlign w:val="center"/>
          </w:tcPr>
          <w:p>
            <w:pPr>
              <w:pStyle w:val="37"/>
              <w:spacing w:line="240" w:lineRule="auto"/>
            </w:pPr>
            <w:r>
              <w:rPr>
                <w:rFonts w:hint="eastAsia"/>
              </w:rPr>
              <w:t>1.罐中</w:t>
            </w:r>
            <w:r>
              <w:t>产品泄漏</w:t>
            </w:r>
          </w:p>
          <w:p>
            <w:pPr>
              <w:pStyle w:val="37"/>
              <w:spacing w:line="240" w:lineRule="auto"/>
            </w:pPr>
            <w:r>
              <w:rPr>
                <w:rFonts w:hint="eastAsia"/>
              </w:rPr>
              <w:t>2.进料管路</w:t>
            </w:r>
            <w:r>
              <w:t>堵塞，</w:t>
            </w:r>
            <w:r>
              <w:rPr>
                <w:rFonts w:hint="eastAsia"/>
              </w:rPr>
              <w:t>产生</w:t>
            </w:r>
            <w:r>
              <w:t>管路破裂</w:t>
            </w:r>
          </w:p>
        </w:tc>
        <w:tc>
          <w:tcPr>
            <w:tcW w:w="1646" w:type="dxa"/>
            <w:shd w:val="clear" w:color="auto" w:fill="D9E2F3" w:themeFill="accent1" w:themeFillTint="33"/>
            <w:vAlign w:val="center"/>
          </w:tcPr>
          <w:p>
            <w:pPr>
              <w:pStyle w:val="37"/>
              <w:spacing w:line="240" w:lineRule="auto"/>
            </w:pPr>
            <w:r>
              <w:rPr>
                <w:rFonts w:hint="eastAsia"/>
              </w:rPr>
              <w:t>初始罐</w:t>
            </w:r>
            <w:r>
              <w:t>设计考虑弹性设计，尽量满足进料量的体积</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1194" w:type="dxa"/>
            <w:vAlign w:val="center"/>
          </w:tcPr>
          <w:p>
            <w:pPr>
              <w:pStyle w:val="37"/>
              <w:spacing w:line="240" w:lineRule="auto"/>
              <w:rPr>
                <w:b/>
                <w:bCs/>
              </w:rPr>
            </w:pPr>
            <w:r>
              <w:rPr>
                <w:rFonts w:hint="eastAsia"/>
                <w:b w:val="0"/>
                <w:bCs/>
              </w:rPr>
              <w:t>REVERSE</w:t>
            </w:r>
          </w:p>
        </w:tc>
        <w:tc>
          <w:tcPr>
            <w:tcW w:w="1636" w:type="dxa"/>
            <w:vAlign w:val="center"/>
          </w:tcPr>
          <w:p>
            <w:pPr>
              <w:pStyle w:val="37"/>
              <w:spacing w:line="240" w:lineRule="auto"/>
            </w:pPr>
            <w:r>
              <w:rPr>
                <w:rFonts w:hint="eastAsia"/>
              </w:rPr>
              <w:t>逆流</w:t>
            </w:r>
          </w:p>
        </w:tc>
        <w:tc>
          <w:tcPr>
            <w:tcW w:w="1985" w:type="dxa"/>
            <w:vAlign w:val="center"/>
          </w:tcPr>
          <w:p>
            <w:pPr>
              <w:pStyle w:val="37"/>
              <w:spacing w:line="240" w:lineRule="auto"/>
            </w:pPr>
            <w:r>
              <w:rPr>
                <w:rFonts w:hint="eastAsia"/>
              </w:rPr>
              <w:t>1.罐内</w:t>
            </w:r>
            <w:r>
              <w:t>液位过高</w:t>
            </w:r>
          </w:p>
          <w:p>
            <w:pPr>
              <w:pStyle w:val="37"/>
              <w:spacing w:line="240" w:lineRule="auto"/>
            </w:pPr>
            <w:r>
              <w:rPr>
                <w:rFonts w:hint="eastAsia"/>
              </w:rPr>
              <w:t>2.进料口</w:t>
            </w:r>
            <w:r>
              <w:t>过低</w:t>
            </w:r>
          </w:p>
        </w:tc>
        <w:tc>
          <w:tcPr>
            <w:tcW w:w="1835" w:type="dxa"/>
            <w:vAlign w:val="center"/>
          </w:tcPr>
          <w:p>
            <w:pPr>
              <w:pStyle w:val="37"/>
              <w:spacing w:line="240" w:lineRule="auto"/>
            </w:pPr>
            <w:r>
              <w:t>1.</w:t>
            </w:r>
            <w:r>
              <w:rPr>
                <w:rFonts w:hint="eastAsia"/>
              </w:rPr>
              <w:t>上游</w:t>
            </w:r>
            <w:r>
              <w:t>物料被污染</w:t>
            </w:r>
          </w:p>
          <w:p>
            <w:pPr>
              <w:pStyle w:val="37"/>
              <w:spacing w:line="240" w:lineRule="auto"/>
            </w:pPr>
            <w:r>
              <w:rPr>
                <w:rFonts w:hint="eastAsia"/>
              </w:rPr>
              <w:t>2.导致</w:t>
            </w:r>
            <w:r>
              <w:t>泵的损坏</w:t>
            </w:r>
          </w:p>
        </w:tc>
        <w:tc>
          <w:tcPr>
            <w:tcW w:w="1646" w:type="dxa"/>
            <w:vAlign w:val="center"/>
          </w:tcPr>
          <w:p>
            <w:pPr>
              <w:pStyle w:val="37"/>
              <w:spacing w:line="240" w:lineRule="auto"/>
            </w:pPr>
            <w:r>
              <w:rPr>
                <w:rFonts w:hint="eastAsia"/>
              </w:rPr>
              <w:t>设置</w:t>
            </w:r>
            <w:r>
              <w:t>止逆阀</w:t>
            </w:r>
          </w:p>
        </w:tc>
      </w:tr>
    </w:tbl>
    <w:p>
      <w:pPr>
        <w:pStyle w:val="39"/>
      </w:pPr>
      <w:r>
        <w:rPr>
          <w:rFonts w:hint="eastAsia"/>
        </w:rPr>
        <w:t>表</w:t>
      </w:r>
      <w:r>
        <w:t>8-11</w:t>
      </w:r>
      <w:r>
        <w:rPr>
          <w:rFonts w:hint="eastAsia"/>
        </w:rPr>
        <w:t xml:space="preserve"> 列管式</w:t>
      </w:r>
      <w:r>
        <w:t>换热器的</w:t>
      </w:r>
      <w:r>
        <w:rPr>
          <w:rFonts w:hint="eastAsia"/>
        </w:rPr>
        <w:t>HAZOP分析</w:t>
      </w:r>
    </w:p>
    <w:tbl>
      <w:tblPr>
        <w:tblStyle w:val="44"/>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988"/>
        <w:gridCol w:w="1842"/>
        <w:gridCol w:w="2147"/>
        <w:gridCol w:w="1659"/>
        <w:gridCol w:w="1660"/>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88"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引导词</w:t>
            </w:r>
          </w:p>
        </w:tc>
        <w:tc>
          <w:tcPr>
            <w:tcW w:w="1842"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偏差</w:t>
            </w:r>
          </w:p>
        </w:tc>
        <w:tc>
          <w:tcPr>
            <w:tcW w:w="2147"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的原因</w:t>
            </w:r>
          </w:p>
        </w:tc>
        <w:tc>
          <w:tcPr>
            <w:tcW w:w="165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的后果</w:t>
            </w:r>
          </w:p>
        </w:tc>
        <w:tc>
          <w:tcPr>
            <w:tcW w:w="1660"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val="0"/>
                <w:bCs w:val="0"/>
                <w:color w:val="FFFFFF" w:themeColor="background1"/>
                <w14:textFill>
                  <w14:solidFill>
                    <w14:schemeClr w14:val="bg1"/>
                  </w14:solidFill>
                </w14:textFill>
              </w:rPr>
              <w:t>安全措施</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88" w:type="dxa"/>
            <w:shd w:val="clear" w:color="auto" w:fill="D9E2F3" w:themeFill="accent1" w:themeFillTint="33"/>
            <w:vAlign w:val="center"/>
          </w:tcPr>
          <w:p>
            <w:pPr>
              <w:pStyle w:val="37"/>
              <w:spacing w:line="240" w:lineRule="auto"/>
              <w:rPr>
                <w:b/>
                <w:bCs/>
              </w:rPr>
            </w:pPr>
            <w:r>
              <w:rPr>
                <w:rFonts w:hint="eastAsia"/>
                <w:b w:val="0"/>
                <w:bCs/>
              </w:rPr>
              <w:t>MORE</w:t>
            </w:r>
          </w:p>
        </w:tc>
        <w:tc>
          <w:tcPr>
            <w:tcW w:w="1842" w:type="dxa"/>
            <w:shd w:val="clear" w:color="auto" w:fill="D9E2F3" w:themeFill="accent1" w:themeFillTint="33"/>
            <w:vAlign w:val="center"/>
          </w:tcPr>
          <w:p>
            <w:pPr>
              <w:pStyle w:val="37"/>
              <w:spacing w:line="240" w:lineRule="auto"/>
            </w:pPr>
            <w:r>
              <w:rPr>
                <w:rFonts w:hint="eastAsia"/>
              </w:rPr>
              <w:t>被加热介质</w:t>
            </w:r>
            <w:r>
              <w:t>换热器出口温度过高</w:t>
            </w:r>
          </w:p>
        </w:tc>
        <w:tc>
          <w:tcPr>
            <w:tcW w:w="2147" w:type="dxa"/>
            <w:shd w:val="clear" w:color="auto" w:fill="D9E2F3" w:themeFill="accent1" w:themeFillTint="33"/>
            <w:vAlign w:val="center"/>
          </w:tcPr>
          <w:p>
            <w:pPr>
              <w:pStyle w:val="37"/>
              <w:spacing w:line="240" w:lineRule="auto"/>
            </w:pPr>
            <w:r>
              <w:t>1.</w:t>
            </w:r>
            <w:r>
              <w:rPr>
                <w:rFonts w:hint="eastAsia"/>
              </w:rPr>
              <w:t>换热器</w:t>
            </w:r>
            <w:r>
              <w:t>加热介质的流</w:t>
            </w:r>
            <w:r>
              <w:rPr>
                <w:rFonts w:hint="eastAsia"/>
              </w:rPr>
              <w:t>量</w:t>
            </w:r>
            <w:r>
              <w:t>过大</w:t>
            </w:r>
          </w:p>
          <w:p>
            <w:pPr>
              <w:pStyle w:val="37"/>
              <w:spacing w:line="240" w:lineRule="auto"/>
            </w:pPr>
            <w:r>
              <w:t>2.</w:t>
            </w:r>
            <w:r>
              <w:rPr>
                <w:rFonts w:hint="eastAsia"/>
              </w:rPr>
              <w:t>被加热</w:t>
            </w:r>
            <w:r>
              <w:t>介质的流量过低</w:t>
            </w:r>
          </w:p>
          <w:p>
            <w:pPr>
              <w:pStyle w:val="37"/>
              <w:spacing w:line="240" w:lineRule="auto"/>
            </w:pPr>
            <w:r>
              <w:rPr>
                <w:rFonts w:hint="eastAsia"/>
              </w:rPr>
              <w:t>3.换热器</w:t>
            </w:r>
            <w:r>
              <w:t>加热价值的温度过大</w:t>
            </w:r>
          </w:p>
        </w:tc>
        <w:tc>
          <w:tcPr>
            <w:tcW w:w="1659" w:type="dxa"/>
            <w:shd w:val="clear" w:color="auto" w:fill="D9E2F3" w:themeFill="accent1" w:themeFillTint="33"/>
            <w:vAlign w:val="center"/>
          </w:tcPr>
          <w:p>
            <w:pPr>
              <w:pStyle w:val="37"/>
              <w:spacing w:line="240" w:lineRule="auto"/>
            </w:pPr>
            <w:r>
              <w:rPr>
                <w:rFonts w:hint="eastAsia"/>
              </w:rPr>
              <w:t>被加热介质</w:t>
            </w:r>
            <w:r>
              <w:t>换热器出口温度过高，</w:t>
            </w:r>
            <w:r>
              <w:rPr>
                <w:rFonts w:hint="eastAsia"/>
              </w:rPr>
              <w:t>影响</w:t>
            </w:r>
            <w:r>
              <w:t>后续设备的操作</w:t>
            </w:r>
          </w:p>
        </w:tc>
        <w:tc>
          <w:tcPr>
            <w:tcW w:w="1660" w:type="dxa"/>
            <w:vMerge w:val="restart"/>
            <w:shd w:val="clear" w:color="auto" w:fill="D9E2F3" w:themeFill="accent1" w:themeFillTint="33"/>
            <w:vAlign w:val="center"/>
          </w:tcPr>
          <w:p>
            <w:pPr>
              <w:pStyle w:val="37"/>
              <w:spacing w:line="240" w:lineRule="auto"/>
            </w:pPr>
            <w:r>
              <w:rPr>
                <w:rFonts w:hint="eastAsia"/>
              </w:rPr>
              <w:t>1</w:t>
            </w:r>
            <w:r>
              <w:t>.</w:t>
            </w:r>
            <w:r>
              <w:rPr>
                <w:rFonts w:hint="eastAsia"/>
              </w:rPr>
              <w:t>检查各个</w:t>
            </w:r>
            <w:r>
              <w:t>流股的流量控制阀门</w:t>
            </w:r>
          </w:p>
          <w:p>
            <w:pPr>
              <w:pStyle w:val="37"/>
              <w:spacing w:line="240" w:lineRule="auto"/>
            </w:pPr>
            <w:r>
              <w:t>2.</w:t>
            </w:r>
            <w:r>
              <w:rPr>
                <w:rFonts w:hint="eastAsia"/>
              </w:rPr>
              <w:t>在被</w:t>
            </w:r>
            <w:r>
              <w:t>加热介质的</w:t>
            </w:r>
            <w:r>
              <w:rPr>
                <w:rFonts w:hint="eastAsia"/>
              </w:rPr>
              <w:t>流</w:t>
            </w:r>
            <w:r>
              <w:t>股上安装温度检测仪表</w:t>
            </w:r>
            <w:r>
              <w:rPr>
                <w:rFonts w:hint="eastAsia"/>
              </w:rPr>
              <w:t>，</w:t>
            </w:r>
            <w:r>
              <w:t>根据流股温度的变化来调节加热流股的流量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988" w:type="dxa"/>
            <w:vAlign w:val="center"/>
          </w:tcPr>
          <w:p>
            <w:pPr>
              <w:pStyle w:val="37"/>
              <w:spacing w:line="240" w:lineRule="auto"/>
              <w:rPr>
                <w:b/>
                <w:bCs/>
              </w:rPr>
            </w:pPr>
            <w:r>
              <w:rPr>
                <w:b w:val="0"/>
                <w:bCs/>
              </w:rPr>
              <w:t>LESS</w:t>
            </w:r>
          </w:p>
        </w:tc>
        <w:tc>
          <w:tcPr>
            <w:tcW w:w="1842" w:type="dxa"/>
            <w:vAlign w:val="center"/>
          </w:tcPr>
          <w:p>
            <w:pPr>
              <w:pStyle w:val="37"/>
              <w:spacing w:line="240" w:lineRule="auto"/>
            </w:pPr>
            <w:r>
              <w:rPr>
                <w:rFonts w:hint="eastAsia"/>
              </w:rPr>
              <w:t>被加热介质</w:t>
            </w:r>
            <w:r>
              <w:t>换热器</w:t>
            </w:r>
            <w:r>
              <w:rPr>
                <w:rFonts w:hint="eastAsia"/>
              </w:rPr>
              <w:t>出口温度</w:t>
            </w:r>
            <w:r>
              <w:t>过低</w:t>
            </w:r>
          </w:p>
        </w:tc>
        <w:tc>
          <w:tcPr>
            <w:tcW w:w="2147" w:type="dxa"/>
            <w:vAlign w:val="center"/>
          </w:tcPr>
          <w:p>
            <w:pPr>
              <w:pStyle w:val="37"/>
              <w:spacing w:line="240" w:lineRule="auto"/>
            </w:pPr>
            <w:r>
              <w:t>1.</w:t>
            </w:r>
            <w:r>
              <w:rPr>
                <w:rFonts w:hint="eastAsia"/>
              </w:rPr>
              <w:t>换热器</w:t>
            </w:r>
            <w:r>
              <w:t>加热介质的流量过</w:t>
            </w:r>
            <w:r>
              <w:rPr>
                <w:rFonts w:hint="eastAsia"/>
              </w:rPr>
              <w:t>小</w:t>
            </w:r>
          </w:p>
          <w:p>
            <w:pPr>
              <w:pStyle w:val="37"/>
              <w:spacing w:line="240" w:lineRule="auto"/>
            </w:pPr>
            <w:r>
              <w:t>2.</w:t>
            </w:r>
            <w:r>
              <w:rPr>
                <w:rFonts w:hint="eastAsia"/>
              </w:rPr>
              <w:t>被加热</w:t>
            </w:r>
            <w:r>
              <w:t>介质的流量过</w:t>
            </w:r>
            <w:r>
              <w:rPr>
                <w:rFonts w:hint="eastAsia"/>
              </w:rPr>
              <w:t>大</w:t>
            </w:r>
          </w:p>
          <w:p>
            <w:pPr>
              <w:pStyle w:val="37"/>
              <w:spacing w:line="240" w:lineRule="auto"/>
            </w:pPr>
            <w:r>
              <w:rPr>
                <w:rFonts w:hint="eastAsia"/>
              </w:rPr>
              <w:t>3.换热器</w:t>
            </w:r>
            <w:r>
              <w:t>加热价值的温度过</w:t>
            </w:r>
            <w:r>
              <w:rPr>
                <w:rFonts w:hint="eastAsia"/>
              </w:rPr>
              <w:t>低</w:t>
            </w:r>
          </w:p>
        </w:tc>
        <w:tc>
          <w:tcPr>
            <w:tcW w:w="1659" w:type="dxa"/>
            <w:vAlign w:val="center"/>
          </w:tcPr>
          <w:p>
            <w:pPr>
              <w:pStyle w:val="37"/>
              <w:spacing w:line="240" w:lineRule="auto"/>
            </w:pPr>
            <w:r>
              <w:rPr>
                <w:rFonts w:hint="eastAsia"/>
              </w:rPr>
              <w:t>被加热介质</w:t>
            </w:r>
            <w:r>
              <w:t>换热器出口温度过高，</w:t>
            </w:r>
            <w:r>
              <w:rPr>
                <w:rFonts w:hint="eastAsia"/>
              </w:rPr>
              <w:t>影响</w:t>
            </w:r>
            <w:r>
              <w:t>后续设备的操作</w:t>
            </w:r>
          </w:p>
        </w:tc>
        <w:tc>
          <w:tcPr>
            <w:tcW w:w="1660" w:type="dxa"/>
            <w:vMerge w:val="continue"/>
            <w:vAlign w:val="center"/>
          </w:tcPr>
          <w:p>
            <w:pPr>
              <w:pStyle w:val="37"/>
              <w:spacing w:line="240" w:lineRule="auto"/>
            </w:pPr>
          </w:p>
        </w:tc>
      </w:tr>
    </w:tbl>
    <w:p>
      <w:pPr>
        <w:pStyle w:val="39"/>
        <w:rPr>
          <w:rFonts w:ascii="宋体" w:hAnsi="宋体" w:eastAsia="宋体"/>
          <w:sz w:val="18"/>
          <w:szCs w:val="18"/>
        </w:rPr>
      </w:pPr>
      <w:r>
        <w:rPr>
          <w:rFonts w:hint="eastAsia" w:ascii="宋体" w:hAnsi="宋体" w:eastAsia="宋体"/>
          <w:sz w:val="18"/>
          <w:szCs w:val="18"/>
        </w:rPr>
        <w:t>表</w:t>
      </w:r>
      <w:r>
        <w:rPr>
          <w:rFonts w:ascii="宋体" w:hAnsi="宋体" w:eastAsia="宋体"/>
          <w:sz w:val="18"/>
          <w:szCs w:val="18"/>
        </w:rPr>
        <w:t>8-12</w:t>
      </w:r>
      <w:r>
        <w:rPr>
          <w:rFonts w:hint="eastAsia" w:ascii="宋体" w:hAnsi="宋体" w:eastAsia="宋体"/>
          <w:sz w:val="18"/>
          <w:szCs w:val="18"/>
        </w:rPr>
        <w:t xml:space="preserve"> 管道</w:t>
      </w:r>
      <w:r>
        <w:rPr>
          <w:rFonts w:ascii="宋体" w:hAnsi="宋体" w:eastAsia="宋体"/>
          <w:sz w:val="18"/>
          <w:szCs w:val="18"/>
        </w:rPr>
        <w:t>的</w:t>
      </w:r>
      <w:r>
        <w:rPr>
          <w:rFonts w:hint="eastAsia" w:ascii="宋体" w:hAnsi="宋体" w:eastAsia="宋体"/>
          <w:sz w:val="18"/>
          <w:szCs w:val="18"/>
        </w:rPr>
        <w:t>HAZOP分析</w:t>
      </w:r>
    </w:p>
    <w:tbl>
      <w:tblPr>
        <w:tblStyle w:val="44"/>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194"/>
        <w:gridCol w:w="1134"/>
        <w:gridCol w:w="2551"/>
        <w:gridCol w:w="1418"/>
        <w:gridCol w:w="2205"/>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引导词</w:t>
            </w:r>
          </w:p>
        </w:tc>
        <w:tc>
          <w:tcPr>
            <w:tcW w:w="113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偏差</w:t>
            </w:r>
          </w:p>
        </w:tc>
        <w:tc>
          <w:tcPr>
            <w:tcW w:w="255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的原因</w:t>
            </w:r>
          </w:p>
        </w:tc>
        <w:tc>
          <w:tcPr>
            <w:tcW w:w="141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可能</w:t>
            </w:r>
            <w:r>
              <w:rPr>
                <w:b/>
                <w:bCs/>
                <w:color w:val="FFFFFF" w:themeColor="background1"/>
                <w14:textFill>
                  <w14:solidFill>
                    <w14:schemeClr w14:val="bg1"/>
                  </w14:solidFill>
                </w14:textFill>
              </w:rPr>
              <w:t>的后果</w:t>
            </w:r>
          </w:p>
        </w:tc>
        <w:tc>
          <w:tcPr>
            <w:tcW w:w="2205"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vAlign w:val="center"/>
          </w:tcPr>
          <w:p>
            <w:pPr>
              <w:pStyle w:val="37"/>
              <w:spacing w:line="240" w:lineRule="auto"/>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安全措施</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shd w:val="clear" w:color="auto" w:fill="D9E2F3" w:themeFill="accent1" w:themeFillTint="33"/>
            <w:vAlign w:val="center"/>
          </w:tcPr>
          <w:p>
            <w:pPr>
              <w:pStyle w:val="37"/>
              <w:spacing w:line="240" w:lineRule="auto"/>
              <w:rPr>
                <w:b/>
                <w:bCs/>
              </w:rPr>
            </w:pPr>
            <w:r>
              <w:rPr>
                <w:b w:val="0"/>
                <w:bCs/>
              </w:rPr>
              <w:t>NO</w:t>
            </w:r>
          </w:p>
        </w:tc>
        <w:tc>
          <w:tcPr>
            <w:tcW w:w="1134" w:type="dxa"/>
            <w:shd w:val="clear" w:color="auto" w:fill="D9E2F3" w:themeFill="accent1" w:themeFillTint="33"/>
            <w:vAlign w:val="center"/>
          </w:tcPr>
          <w:p>
            <w:pPr>
              <w:pStyle w:val="37"/>
              <w:spacing w:line="240" w:lineRule="auto"/>
            </w:pPr>
            <w:r>
              <w:rPr>
                <w:rFonts w:hint="eastAsia"/>
              </w:rPr>
              <w:t>失去密封</w:t>
            </w:r>
          </w:p>
        </w:tc>
        <w:tc>
          <w:tcPr>
            <w:tcW w:w="2551" w:type="dxa"/>
            <w:shd w:val="clear" w:color="auto" w:fill="D9E2F3" w:themeFill="accent1" w:themeFillTint="33"/>
            <w:vAlign w:val="center"/>
          </w:tcPr>
          <w:p>
            <w:pPr>
              <w:pStyle w:val="37"/>
              <w:spacing w:line="240" w:lineRule="auto"/>
            </w:pPr>
            <w:r>
              <w:t>1.</w:t>
            </w:r>
            <w:r>
              <w:rPr>
                <w:rFonts w:hint="eastAsia"/>
              </w:rPr>
              <w:t>腐蚀</w:t>
            </w:r>
          </w:p>
          <w:p>
            <w:pPr>
              <w:pStyle w:val="37"/>
              <w:spacing w:line="240" w:lineRule="auto"/>
            </w:pPr>
            <w:r>
              <w:rPr>
                <w:rFonts w:hint="eastAsia"/>
              </w:rPr>
              <w:t>2.外部</w:t>
            </w:r>
            <w:r>
              <w:t>撞击</w:t>
            </w:r>
          </w:p>
          <w:p>
            <w:pPr>
              <w:pStyle w:val="37"/>
              <w:spacing w:line="240" w:lineRule="auto"/>
            </w:pPr>
            <w:r>
              <w:rPr>
                <w:rFonts w:hint="eastAsia"/>
              </w:rPr>
              <w:t>3.外部</w:t>
            </w:r>
            <w:r>
              <w:t>火灾</w:t>
            </w:r>
          </w:p>
          <w:p>
            <w:pPr>
              <w:pStyle w:val="37"/>
              <w:spacing w:line="240" w:lineRule="auto"/>
            </w:pPr>
            <w:r>
              <w:rPr>
                <w:rFonts w:hint="eastAsia"/>
              </w:rPr>
              <w:t>4.垫圈</w:t>
            </w:r>
            <w:r>
              <w:t>或密封失效</w:t>
            </w:r>
          </w:p>
          <w:p>
            <w:pPr>
              <w:pStyle w:val="37"/>
              <w:spacing w:line="240" w:lineRule="auto"/>
            </w:pPr>
            <w:r>
              <w:rPr>
                <w:rFonts w:hint="eastAsia"/>
              </w:rPr>
              <w:t>5.水力</w:t>
            </w:r>
            <w:r>
              <w:t>连续冲击</w:t>
            </w:r>
          </w:p>
          <w:p>
            <w:pPr>
              <w:pStyle w:val="37"/>
              <w:spacing w:line="240" w:lineRule="auto"/>
            </w:pPr>
            <w:r>
              <w:t>6.</w:t>
            </w:r>
            <w:r>
              <w:rPr>
                <w:rFonts w:hint="eastAsia"/>
              </w:rPr>
              <w:t>不恰当</w:t>
            </w:r>
            <w:r>
              <w:t>维护</w:t>
            </w:r>
          </w:p>
          <w:p>
            <w:pPr>
              <w:pStyle w:val="37"/>
              <w:spacing w:line="240" w:lineRule="auto"/>
            </w:pPr>
            <w:r>
              <w:rPr>
                <w:rFonts w:hint="eastAsia"/>
              </w:rPr>
              <w:t>7.材料</w:t>
            </w:r>
            <w:r>
              <w:t>缺陷</w:t>
            </w:r>
          </w:p>
          <w:p>
            <w:pPr>
              <w:pStyle w:val="37"/>
              <w:spacing w:line="240" w:lineRule="auto"/>
            </w:pPr>
            <w:r>
              <w:rPr>
                <w:rFonts w:hint="eastAsia"/>
              </w:rPr>
              <w:t>8.排气或排污阀</w:t>
            </w:r>
            <w:r>
              <w:t>泄漏</w:t>
            </w:r>
          </w:p>
          <w:p>
            <w:pPr>
              <w:pStyle w:val="37"/>
              <w:spacing w:line="240" w:lineRule="auto"/>
            </w:pPr>
            <w:r>
              <w:t>9.</w:t>
            </w:r>
            <w:r>
              <w:rPr>
                <w:rFonts w:hint="eastAsia"/>
              </w:rPr>
              <w:t>高压</w:t>
            </w:r>
          </w:p>
        </w:tc>
        <w:tc>
          <w:tcPr>
            <w:tcW w:w="1418" w:type="dxa"/>
            <w:shd w:val="clear" w:color="auto" w:fill="D9E2F3" w:themeFill="accent1" w:themeFillTint="33"/>
            <w:vAlign w:val="center"/>
          </w:tcPr>
          <w:p>
            <w:pPr>
              <w:pStyle w:val="37"/>
              <w:spacing w:line="240" w:lineRule="auto"/>
            </w:pPr>
            <w:r>
              <w:t>泄漏</w:t>
            </w:r>
          </w:p>
        </w:tc>
        <w:tc>
          <w:tcPr>
            <w:tcW w:w="2205" w:type="dxa"/>
            <w:shd w:val="clear" w:color="auto" w:fill="D9E2F3" w:themeFill="accent1" w:themeFillTint="33"/>
            <w:vAlign w:val="center"/>
          </w:tcPr>
          <w:p>
            <w:pPr>
              <w:pStyle w:val="37"/>
              <w:spacing w:line="240" w:lineRule="auto"/>
            </w:pPr>
            <w:r>
              <w:rPr>
                <w:rFonts w:hint="eastAsia"/>
              </w:rPr>
              <w:t>1</w:t>
            </w:r>
            <w:r>
              <w:t>.</w:t>
            </w:r>
            <w:r>
              <w:rPr>
                <w:rFonts w:hint="eastAsia"/>
              </w:rPr>
              <w:t>远距离</w:t>
            </w:r>
            <w:r>
              <w:t>或人工操作隔离管线的能力</w:t>
            </w:r>
          </w:p>
          <w:p>
            <w:pPr>
              <w:pStyle w:val="37"/>
              <w:spacing w:line="240" w:lineRule="auto"/>
            </w:pPr>
            <w:r>
              <w:t>2.</w:t>
            </w:r>
            <w:r>
              <w:rPr>
                <w:rFonts w:hint="eastAsia"/>
              </w:rPr>
              <w:t>止逆阀</w:t>
            </w:r>
          </w:p>
          <w:p>
            <w:pPr>
              <w:pStyle w:val="37"/>
              <w:spacing w:line="240" w:lineRule="auto"/>
            </w:pPr>
            <w:r>
              <w:rPr>
                <w:rFonts w:hint="eastAsia"/>
              </w:rPr>
              <w:t>3.无损检测</w:t>
            </w:r>
          </w:p>
          <w:p>
            <w:pPr>
              <w:pStyle w:val="37"/>
              <w:spacing w:line="240" w:lineRule="auto"/>
            </w:pPr>
            <w:r>
              <w:rPr>
                <w:rFonts w:hint="eastAsia"/>
              </w:rPr>
              <w:t>4.操作/维修</w:t>
            </w:r>
            <w:r>
              <w:t>及必须隔离时</w:t>
            </w:r>
            <w:r>
              <w:rPr>
                <w:rFonts w:hint="eastAsia"/>
              </w:rPr>
              <w:t>应</w:t>
            </w:r>
            <w:r>
              <w:t>按要求进行</w:t>
            </w:r>
          </w:p>
          <w:p>
            <w:pPr>
              <w:pStyle w:val="37"/>
              <w:spacing w:line="240" w:lineRule="auto"/>
            </w:pPr>
            <w:r>
              <w:t>5.</w:t>
            </w:r>
            <w:r>
              <w:rPr>
                <w:rFonts w:hint="eastAsia"/>
              </w:rPr>
              <w:t>释放阀</w:t>
            </w:r>
          </w:p>
          <w:p>
            <w:pPr>
              <w:pStyle w:val="37"/>
              <w:spacing w:line="240" w:lineRule="auto"/>
            </w:pPr>
            <w:r>
              <w:rPr>
                <w:rFonts w:hint="eastAsia"/>
              </w:rPr>
              <w:t>6.防爆膜</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vAlign w:val="center"/>
          </w:tcPr>
          <w:p>
            <w:pPr>
              <w:pStyle w:val="37"/>
              <w:spacing w:line="240" w:lineRule="auto"/>
              <w:rPr>
                <w:b/>
                <w:bCs/>
              </w:rPr>
            </w:pPr>
            <w:r>
              <w:rPr>
                <w:b w:val="0"/>
                <w:bCs/>
              </w:rPr>
              <w:t>MORE</w:t>
            </w:r>
          </w:p>
        </w:tc>
        <w:tc>
          <w:tcPr>
            <w:tcW w:w="1134" w:type="dxa"/>
            <w:vAlign w:val="center"/>
          </w:tcPr>
          <w:p>
            <w:pPr>
              <w:pStyle w:val="37"/>
              <w:spacing w:line="240" w:lineRule="auto"/>
            </w:pPr>
            <w:r>
              <w:rPr>
                <w:rFonts w:hint="eastAsia"/>
              </w:rPr>
              <w:t>管道内的</w:t>
            </w:r>
            <w:r>
              <w:t>流体</w:t>
            </w:r>
            <w:r>
              <w:rPr>
                <w:rFonts w:hint="eastAsia"/>
              </w:rPr>
              <w:t>流量</w:t>
            </w:r>
            <w:r>
              <w:t>过大</w:t>
            </w:r>
          </w:p>
        </w:tc>
        <w:tc>
          <w:tcPr>
            <w:tcW w:w="2551" w:type="dxa"/>
            <w:vAlign w:val="center"/>
          </w:tcPr>
          <w:p>
            <w:pPr>
              <w:pStyle w:val="37"/>
              <w:spacing w:line="240" w:lineRule="auto"/>
            </w:pPr>
            <w:r>
              <w:rPr>
                <w:rFonts w:hint="eastAsia"/>
              </w:rPr>
              <w:t>1.阀门控制</w:t>
            </w:r>
            <w:r>
              <w:t>出错</w:t>
            </w:r>
          </w:p>
          <w:p>
            <w:pPr>
              <w:pStyle w:val="37"/>
              <w:spacing w:line="240" w:lineRule="auto"/>
            </w:pPr>
            <w:r>
              <w:rPr>
                <w:rFonts w:hint="eastAsia"/>
              </w:rPr>
              <w:t>2.进口压力</w:t>
            </w:r>
            <w:r>
              <w:t>过大</w:t>
            </w:r>
          </w:p>
        </w:tc>
        <w:tc>
          <w:tcPr>
            <w:tcW w:w="1418" w:type="dxa"/>
            <w:vAlign w:val="center"/>
          </w:tcPr>
          <w:p>
            <w:pPr>
              <w:pStyle w:val="37"/>
              <w:spacing w:line="240" w:lineRule="auto"/>
            </w:pPr>
            <w:r>
              <w:t>1.</w:t>
            </w:r>
            <w:r>
              <w:rPr>
                <w:rFonts w:hint="eastAsia"/>
              </w:rPr>
              <w:t>管道压力</w:t>
            </w:r>
            <w:r>
              <w:t>过大</w:t>
            </w:r>
          </w:p>
          <w:p>
            <w:pPr>
              <w:pStyle w:val="37"/>
              <w:spacing w:line="240" w:lineRule="auto"/>
            </w:pPr>
            <w:r>
              <w:rPr>
                <w:rFonts w:hint="eastAsia"/>
              </w:rPr>
              <w:t>2.管道易发生</w:t>
            </w:r>
            <w:r>
              <w:t>泄漏</w:t>
            </w:r>
          </w:p>
        </w:tc>
        <w:tc>
          <w:tcPr>
            <w:tcW w:w="2205" w:type="dxa"/>
            <w:vAlign w:val="center"/>
          </w:tcPr>
          <w:p>
            <w:pPr>
              <w:pStyle w:val="37"/>
              <w:spacing w:line="240" w:lineRule="auto"/>
            </w:pPr>
            <w:r>
              <w:rPr>
                <w:rFonts w:hint="eastAsia"/>
              </w:rPr>
              <w:t>检测</w:t>
            </w:r>
            <w:r>
              <w:t>管道的流量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988" w:type="dxa"/>
            <w:shd w:val="clear" w:color="auto" w:fill="D9E2F3" w:themeFill="accent1" w:themeFillTint="33"/>
            <w:vAlign w:val="center"/>
          </w:tcPr>
          <w:p>
            <w:pPr>
              <w:pStyle w:val="37"/>
              <w:spacing w:line="240" w:lineRule="auto"/>
              <w:rPr>
                <w:b/>
                <w:bCs/>
              </w:rPr>
            </w:pPr>
            <w:r>
              <w:rPr>
                <w:b w:val="0"/>
                <w:bCs w:val="0"/>
              </w:rPr>
              <w:t>REVERSE</w:t>
            </w:r>
          </w:p>
        </w:tc>
        <w:tc>
          <w:tcPr>
            <w:tcW w:w="1134" w:type="dxa"/>
            <w:shd w:val="clear" w:color="auto" w:fill="D9E2F3" w:themeFill="accent1" w:themeFillTint="33"/>
            <w:vAlign w:val="center"/>
          </w:tcPr>
          <w:p>
            <w:pPr>
              <w:pStyle w:val="37"/>
              <w:spacing w:line="240" w:lineRule="auto"/>
            </w:pPr>
            <w:r>
              <w:rPr>
                <w:rFonts w:hint="eastAsia"/>
              </w:rPr>
              <w:t>管道内</w:t>
            </w:r>
            <w:r>
              <w:t>的压力</w:t>
            </w:r>
            <w:r>
              <w:rPr>
                <w:rFonts w:hint="eastAsia"/>
              </w:rPr>
              <w:t>过大</w:t>
            </w:r>
          </w:p>
        </w:tc>
        <w:tc>
          <w:tcPr>
            <w:tcW w:w="2551" w:type="dxa"/>
            <w:shd w:val="clear" w:color="auto" w:fill="D9E2F3" w:themeFill="accent1" w:themeFillTint="33"/>
            <w:vAlign w:val="center"/>
          </w:tcPr>
          <w:p>
            <w:pPr>
              <w:pStyle w:val="37"/>
              <w:spacing w:line="240" w:lineRule="auto"/>
            </w:pPr>
            <w:r>
              <w:rPr>
                <w:rFonts w:hint="eastAsia"/>
              </w:rPr>
              <w:t>1.进口</w:t>
            </w:r>
            <w:r>
              <w:t>的流体压力过大</w:t>
            </w:r>
          </w:p>
          <w:p>
            <w:pPr>
              <w:pStyle w:val="37"/>
              <w:spacing w:line="240" w:lineRule="auto"/>
            </w:pPr>
            <w:r>
              <w:rPr>
                <w:rFonts w:hint="eastAsia"/>
              </w:rPr>
              <w:t>2.管道</w:t>
            </w:r>
            <w:r>
              <w:t>出口阀门错误操作</w:t>
            </w:r>
          </w:p>
          <w:p>
            <w:pPr>
              <w:pStyle w:val="37"/>
              <w:spacing w:line="240" w:lineRule="auto"/>
            </w:pPr>
            <w:r>
              <w:t>3.</w:t>
            </w:r>
            <w:r>
              <w:rPr>
                <w:rFonts w:hint="eastAsia"/>
              </w:rPr>
              <w:t>管道内</w:t>
            </w:r>
            <w:r>
              <w:t>流体的</w:t>
            </w:r>
            <w:r>
              <w:rPr>
                <w:rFonts w:hint="eastAsia"/>
              </w:rPr>
              <w:t>温度</w:t>
            </w:r>
            <w:r>
              <w:t>过高</w:t>
            </w:r>
          </w:p>
        </w:tc>
        <w:tc>
          <w:tcPr>
            <w:tcW w:w="1418" w:type="dxa"/>
            <w:shd w:val="clear" w:color="auto" w:fill="D9E2F3" w:themeFill="accent1" w:themeFillTint="33"/>
            <w:vAlign w:val="center"/>
          </w:tcPr>
          <w:p>
            <w:pPr>
              <w:pStyle w:val="37"/>
              <w:spacing w:line="240" w:lineRule="auto"/>
            </w:pPr>
            <w:r>
              <w:rPr>
                <w:rFonts w:hint="eastAsia"/>
              </w:rPr>
              <w:t>管道</w:t>
            </w:r>
            <w:r>
              <w:t>易发生泄漏</w:t>
            </w:r>
          </w:p>
        </w:tc>
        <w:tc>
          <w:tcPr>
            <w:tcW w:w="2205" w:type="dxa"/>
            <w:shd w:val="clear" w:color="auto" w:fill="D9E2F3" w:themeFill="accent1" w:themeFillTint="33"/>
            <w:vAlign w:val="center"/>
          </w:tcPr>
          <w:p>
            <w:pPr>
              <w:pStyle w:val="37"/>
              <w:spacing w:line="240" w:lineRule="auto"/>
            </w:pPr>
            <w:r>
              <w:rPr>
                <w:rFonts w:hint="eastAsia"/>
              </w:rPr>
              <w:t>1.检测</w:t>
            </w:r>
            <w:r>
              <w:t>管道</w:t>
            </w:r>
            <w:r>
              <w:rPr>
                <w:rFonts w:hint="eastAsia"/>
              </w:rPr>
              <w:t>力</w:t>
            </w:r>
          </w:p>
          <w:p>
            <w:pPr>
              <w:pStyle w:val="37"/>
              <w:spacing w:line="240" w:lineRule="auto"/>
            </w:pPr>
            <w:r>
              <w:rPr>
                <w:rFonts w:hint="eastAsia"/>
              </w:rPr>
              <w:t>2.检测</w:t>
            </w:r>
            <w:r>
              <w:t>管道的流量</w:t>
            </w:r>
          </w:p>
        </w:tc>
      </w:tr>
    </w:tbl>
    <w:p>
      <w:pPr>
        <w:spacing w:before="156" w:after="156"/>
        <w:ind w:firstLine="422"/>
        <w:rPr>
          <w:b/>
          <w:bCs/>
        </w:rPr>
      </w:pPr>
    </w:p>
    <w:p>
      <w:pPr>
        <w:widowControl/>
        <w:spacing w:before="156" w:after="156" w:line="240" w:lineRule="auto"/>
        <w:ind w:firstLine="420"/>
        <w:rPr>
          <w:b/>
          <w:bCs/>
          <w:sz w:val="32"/>
          <w:szCs w:val="32"/>
        </w:rPr>
      </w:pPr>
      <w:r>
        <w:br w:type="page"/>
      </w:r>
    </w:p>
    <w:p>
      <w:pPr>
        <w:pStyle w:val="2"/>
        <w:spacing w:before="156" w:after="156"/>
        <w:ind w:firstLine="883"/>
      </w:pPr>
      <w:bookmarkStart w:id="217" w:name="_Toc108206563"/>
      <w:bookmarkStart w:id="218" w:name="_Toc141203972"/>
      <w:r>
        <w:rPr>
          <w:rFonts w:hint="eastAsia"/>
        </w:rPr>
        <w:t>第九章预评价结论</w:t>
      </w:r>
      <w:bookmarkEnd w:id="217"/>
      <w:bookmarkEnd w:id="218"/>
    </w:p>
    <w:p>
      <w:pPr>
        <w:spacing w:before="156" w:after="156"/>
        <w:ind w:firstLine="420"/>
      </w:pPr>
      <w:r>
        <w:t>“安全第一，预防为主”是我国安全生产的基本方针，预防、预测是实现劳动安全卫生管理现代化的必要手段。我们通过对该项目的分析和预测，对可能存在的危险、有害因素的种类和程度进行推断分析和评价，得出评价结论。</w:t>
      </w:r>
    </w:p>
    <w:p>
      <w:pPr>
        <w:pStyle w:val="3"/>
        <w:spacing w:before="156" w:after="156"/>
        <w:ind w:firstLine="562"/>
      </w:pPr>
      <w:bookmarkStart w:id="219" w:name="_Toc141203973"/>
      <w:bookmarkStart w:id="220" w:name="_Toc108206564"/>
      <w:r>
        <w:rPr>
          <w:rFonts w:hint="eastAsia"/>
        </w:rPr>
        <w:t>9</w:t>
      </w:r>
      <w:r>
        <w:t>.1</w:t>
      </w:r>
      <w:r>
        <w:rPr>
          <w:rFonts w:hint="eastAsia"/>
        </w:rPr>
        <w:t>主要危险、有害因素评级结果</w:t>
      </w:r>
      <w:bookmarkEnd w:id="219"/>
      <w:bookmarkEnd w:id="220"/>
    </w:p>
    <w:p>
      <w:pPr>
        <w:spacing w:before="156" w:after="156"/>
        <w:ind w:firstLine="420"/>
      </w:pPr>
      <w:r>
        <w:t>本生产装置的主要危险有害因素有：火灾化学爆炸、物理爆炸、中毒及窒息、灼伤、机械伤害、高处坠落、物体打击、触电。</w:t>
      </w:r>
    </w:p>
    <w:p>
      <w:pPr>
        <w:pStyle w:val="3"/>
        <w:spacing w:before="156" w:after="156"/>
        <w:ind w:firstLine="562"/>
      </w:pPr>
      <w:bookmarkStart w:id="221" w:name="_Toc141203974"/>
      <w:bookmarkStart w:id="222" w:name="_Toc108206565"/>
      <w:r>
        <w:rPr>
          <w:rFonts w:hint="eastAsia"/>
        </w:rPr>
        <w:t>9</w:t>
      </w:r>
      <w:r>
        <w:t>.2</w:t>
      </w:r>
      <w:r>
        <w:rPr>
          <w:rFonts w:hint="eastAsia"/>
        </w:rPr>
        <w:t>重点防范的重大危险、有害因素</w:t>
      </w:r>
      <w:bookmarkEnd w:id="221"/>
      <w:bookmarkEnd w:id="222"/>
    </w:p>
    <w:p>
      <w:pPr>
        <w:spacing w:before="156" w:after="156"/>
        <w:ind w:firstLine="420"/>
      </w:pPr>
      <w:r>
        <w:t>通过对该生产装置存在的危险、有害因素进行分析和辨识，企业在生产过程中应重点防范的重大危险、有害因素如下：</w:t>
      </w:r>
    </w:p>
    <w:p>
      <w:pPr>
        <w:spacing w:before="156" w:after="156"/>
        <w:ind w:firstLine="420"/>
      </w:pPr>
      <w:r>
        <w:t>（1）火灾化学爆炸</w:t>
      </w:r>
    </w:p>
    <w:p>
      <w:pPr>
        <w:spacing w:before="156" w:after="156"/>
        <w:ind w:firstLine="420"/>
      </w:pPr>
      <w:r>
        <w:t>由预先危险性评价中的危险等级可看出火灾、化学爆炸的危险等级为IV级，是该生产装置区最主要的危险因素，一旦发生，会造成人员重大伤亡及设备装置严重破坏的灾难性事故。造成火灾、化学爆炸的主要原因有：装置内的可燃爆物质（液化石油气）泄漏、违章操作、使用的电气设备不防爆、压力容器爆炸、电气火灾、静电接地不良、检测报警系统失效、雷击等。</w:t>
      </w:r>
    </w:p>
    <w:p>
      <w:pPr>
        <w:spacing w:before="156" w:after="156"/>
        <w:ind w:firstLine="420"/>
      </w:pPr>
      <w:r>
        <w:t>（2）物理爆炸</w:t>
      </w:r>
    </w:p>
    <w:p>
      <w:pPr>
        <w:spacing w:before="156" w:after="156"/>
        <w:ind w:firstLine="420"/>
      </w:pPr>
      <w:r>
        <w:t>由预先危险性评价中的危险等级可看出物理爆炸的危险等级为IV级，也是该生产装置区最主要的危险因素，一旦发生，同样会造成人员重大伤亡及设备装置严重破坏的灾难性事故。造成物理爆炸的主要原因有：设备进出料配比失调、流速不当、管道堵塞、测压等仪表报警系统失效、违章操作、泄压设备故障或泄压不及时、设备本身缺陷导致耐压强度降低等。</w:t>
      </w:r>
    </w:p>
    <w:p>
      <w:pPr>
        <w:spacing w:before="156" w:after="156"/>
        <w:ind w:firstLine="420"/>
      </w:pPr>
      <w:r>
        <w:t>（3）中毒及窒息</w:t>
      </w:r>
    </w:p>
    <w:p>
      <w:pPr>
        <w:spacing w:before="156" w:after="156"/>
        <w:ind w:firstLine="420"/>
      </w:pPr>
      <w:r>
        <w:t>由预先危险性评价中的危险等级可看出中毒及窒息的危险等级为III级，是该生产装置区较主要的危险因素，其发生的主要原因有：物料泄漏、爆炸事故的发生、检维修时的违章操作等。因此，应对造成人员中毒的各种原因引起重视。</w:t>
      </w:r>
    </w:p>
    <w:p>
      <w:pPr>
        <w:spacing w:before="156" w:after="156"/>
        <w:ind w:firstLine="420"/>
      </w:pPr>
      <w:r>
        <w:t>（4）高空坠落、物体打击</w:t>
      </w:r>
    </w:p>
    <w:p>
      <w:pPr>
        <w:spacing w:before="156" w:after="156"/>
        <w:ind w:firstLine="420"/>
      </w:pPr>
      <w:r>
        <w:t>由于该生产装置区有较多高空设备以及各种设备、仪表的架空，极易因为作业失误造成高处坠落和物体打击事故。因此，应对造成此类事故的各种原因引起重视，进行定期的检修，并完善作业规章。</w:t>
      </w:r>
    </w:p>
    <w:p>
      <w:pPr>
        <w:spacing w:before="156" w:after="156"/>
        <w:ind w:firstLine="420"/>
      </w:pPr>
      <w:r>
        <w:t>（5）触电</w:t>
      </w:r>
    </w:p>
    <w:p>
      <w:pPr>
        <w:spacing w:before="156" w:after="156"/>
        <w:ind w:firstLine="420"/>
      </w:pPr>
      <w:r>
        <w:t>该生产装置区内使用了较多转动设备，如果因为电气设施没有安装保护接地或保护接零、电缆老化没有及时更换、安装的电气电缆不规范等均有可能造成人员触电事故。因此，企业应采取相应措施防止人员触电。</w:t>
      </w:r>
    </w:p>
    <w:p>
      <w:pPr>
        <w:pStyle w:val="3"/>
        <w:spacing w:before="156" w:after="156"/>
        <w:ind w:firstLine="562"/>
      </w:pPr>
      <w:bookmarkStart w:id="223" w:name="_Toc108206566"/>
      <w:bookmarkStart w:id="224" w:name="_Toc141203975"/>
      <w:r>
        <w:rPr>
          <w:rFonts w:hint="eastAsia"/>
        </w:rPr>
        <w:t>9</w:t>
      </w:r>
      <w:r>
        <w:t>.3</w:t>
      </w:r>
      <w:r>
        <w:rPr>
          <w:rFonts w:hint="eastAsia"/>
        </w:rPr>
        <w:t>应重视的重要安全对策措施</w:t>
      </w:r>
      <w:bookmarkEnd w:id="223"/>
      <w:bookmarkEnd w:id="224"/>
    </w:p>
    <w:p>
      <w:pPr>
        <w:spacing w:before="156" w:after="156"/>
        <w:ind w:firstLine="420"/>
      </w:pPr>
      <w:r>
        <w:t>本生产装置区内主要物料为</w:t>
      </w:r>
      <w:r>
        <w:rPr>
          <w:rFonts w:hint="eastAsia"/>
        </w:rPr>
        <w:t>甲醇</w:t>
      </w:r>
      <w:r>
        <w:t>等，极易引发火灾爆炸事故，造成重大人员伤亡和设备系统的毁坏；主要设备为高压设备，在生产过程中均有可能因失控而发生物理（容器）爆炸，对人员及财产造成重大损失；装置系统因为没有设置静电接地设施、违章作业等也会造成火灾爆炸。此外，在生产过程中，还存在高处坠落、触电等危险有害因素。这些都应该作为重点予以防范，确保企业的安全生产。在实际生产工作中应重点重视以下措施：</w:t>
      </w:r>
    </w:p>
    <w:p>
      <w:pPr>
        <w:spacing w:before="156" w:after="156"/>
        <w:ind w:firstLine="420"/>
      </w:pPr>
      <w:r>
        <w:t>（1）生产工艺过程中应采取防止</w:t>
      </w:r>
      <w:r>
        <w:rPr>
          <w:rFonts w:hint="eastAsia"/>
        </w:rPr>
        <w:t>甲醇</w:t>
      </w:r>
      <w:r>
        <w:t>以及其他馏分产品泄漏引起火灾爆炸、中毒的措施，以及发生事故后防止物料泄漏造成污染的措施。</w:t>
      </w:r>
    </w:p>
    <w:p>
      <w:pPr>
        <w:spacing w:before="156" w:after="156"/>
        <w:ind w:firstLine="420"/>
      </w:pPr>
      <w:r>
        <w:t>（2）对于生产装置区内精馏塔、压力容器、压力管道等设备设置安全防护装置、承压元件、泄压元件、密封件等安全措施。</w:t>
      </w:r>
    </w:p>
    <w:p>
      <w:pPr>
        <w:spacing w:before="156" w:after="156"/>
        <w:ind w:firstLine="420"/>
      </w:pPr>
      <w:r>
        <w:t>（3）加强生产装置区的可燃气体检测，对整个生产工艺过程进行实时监控。</w:t>
      </w:r>
    </w:p>
    <w:p>
      <w:pPr>
        <w:spacing w:before="156" w:after="156"/>
        <w:ind w:firstLine="420"/>
      </w:pPr>
      <w:r>
        <w:t>（4）安装符合要求的防雷、防静电设施，并定期检修校验，防止雷击、静电积聚导致火灾爆炸事故。</w:t>
      </w:r>
    </w:p>
    <w:p>
      <w:pPr>
        <w:spacing w:before="156" w:after="156"/>
        <w:ind w:firstLine="420"/>
      </w:pPr>
      <w:r>
        <w:t>（5）生产装置区选用符合防爆要求的电气设施，防止电气火花引发火灾爆炸事故。</w:t>
      </w:r>
    </w:p>
    <w:p>
      <w:pPr>
        <w:spacing w:before="156" w:after="156"/>
        <w:ind w:firstLine="420"/>
      </w:pPr>
      <w:r>
        <w:t>（6）生产场所必须配备良好的防护用具。</w:t>
      </w:r>
    </w:p>
    <w:p>
      <w:pPr>
        <w:spacing w:before="156" w:after="156"/>
        <w:ind w:firstLine="420"/>
      </w:pPr>
      <w:r>
        <w:t>（7）带电设备应按照国家相应规范设置良好保护措施，防止人员触电事故的发生。</w:t>
      </w:r>
    </w:p>
    <w:p>
      <w:pPr>
        <w:spacing w:before="156" w:after="156"/>
        <w:ind w:firstLine="420"/>
      </w:pPr>
      <w:r>
        <w:t>（8）严格按照《压力容器安全技术监察规定》的要求，加强压力容器（精馏塔等）的安全管理，制定相应的安全操作规程，并按照规范要求进行设计、安装、使用和定期检测。</w:t>
      </w:r>
    </w:p>
    <w:p>
      <w:pPr>
        <w:spacing w:before="156" w:after="156"/>
        <w:ind w:firstLine="420"/>
      </w:pPr>
      <w:r>
        <w:t>（9）装置区平面布置应符合《建筑设计防火规范》</w:t>
      </w:r>
      <w:r>
        <w:rPr>
          <w:rFonts w:hint="eastAsia"/>
        </w:rPr>
        <w:t>（</w:t>
      </w:r>
      <w:r>
        <w:t>GB50016-2014</w:t>
      </w:r>
      <w:r>
        <w:rPr>
          <w:rFonts w:hint="eastAsia"/>
        </w:rPr>
        <w:t>）</w:t>
      </w:r>
      <w:r>
        <w:t>的要求，并应考虑留有发展余地。</w:t>
      </w:r>
    </w:p>
    <w:p>
      <w:pPr>
        <w:pStyle w:val="3"/>
        <w:spacing w:before="156" w:after="156"/>
        <w:ind w:firstLine="562"/>
      </w:pPr>
      <w:bookmarkStart w:id="225" w:name="_Toc108206567"/>
      <w:bookmarkStart w:id="226" w:name="_Toc141203976"/>
      <w:r>
        <w:rPr>
          <w:rFonts w:hint="eastAsia"/>
        </w:rPr>
        <w:t>9</w:t>
      </w:r>
      <w:r>
        <w:t>.4</w:t>
      </w:r>
      <w:r>
        <w:rPr>
          <w:rFonts w:hint="eastAsia"/>
        </w:rPr>
        <w:t>潜在的危险、有害因素在采取措施后得到控制及受控程度</w:t>
      </w:r>
      <w:bookmarkEnd w:id="225"/>
      <w:bookmarkEnd w:id="226"/>
    </w:p>
    <w:p>
      <w:pPr>
        <w:spacing w:before="156" w:after="156"/>
        <w:ind w:firstLine="420"/>
      </w:pPr>
      <w:r>
        <w:t>该项目存在的危险、有害因素如果采取了本报告提出的安全对策措施，加强安全管理工作，做好本单位日常安全管理、安全检查，严格执行安全规程，杜绝违章作业、违章指挥等不良作风，加强设备的安全设施的检验检测工作，保证应急救援设施，则其存在的危险有害因素就会减少，即使发生事故，也会将事故损失降低到最低。</w:t>
      </w:r>
    </w:p>
    <w:p>
      <w:pPr>
        <w:pStyle w:val="3"/>
        <w:spacing w:before="156" w:after="156"/>
        <w:ind w:firstLine="562"/>
      </w:pPr>
      <w:bookmarkStart w:id="227" w:name="_Toc141203977"/>
      <w:bookmarkStart w:id="228" w:name="_Toc108206568"/>
      <w:r>
        <w:rPr>
          <w:rFonts w:hint="eastAsia"/>
        </w:rPr>
        <w:t>9</w:t>
      </w:r>
      <w:r>
        <w:t>.5</w:t>
      </w:r>
      <w:r>
        <w:rPr>
          <w:rFonts w:hint="eastAsia"/>
        </w:rPr>
        <w:t>结论</w:t>
      </w:r>
      <w:bookmarkEnd w:id="227"/>
      <w:bookmarkEnd w:id="228"/>
    </w:p>
    <w:p>
      <w:pPr>
        <w:spacing w:before="156" w:after="156"/>
        <w:ind w:firstLine="420"/>
      </w:pPr>
      <w:r>
        <w:t>本报告书针对该</w:t>
      </w:r>
      <w:r>
        <w:rPr>
          <w:rFonts w:hint="eastAsia"/>
        </w:rPr>
        <w:t>年产</w:t>
      </w:r>
      <w:r>
        <w:t>10</w:t>
      </w:r>
      <w:r>
        <w:rPr>
          <w:rFonts w:hint="eastAsia"/>
        </w:rPr>
        <w:t>.5万吨己二腈与</w:t>
      </w:r>
      <w:r>
        <w:t>1.74</w:t>
      </w:r>
      <w:r>
        <w:rPr>
          <w:rFonts w:hint="eastAsia"/>
        </w:rPr>
        <w:t>万吨亚氨基-</w:t>
      </w:r>
      <w:r>
        <w:t>2-</w:t>
      </w:r>
      <w:r>
        <w:rPr>
          <w:rFonts w:hint="eastAsia"/>
        </w:rPr>
        <w:t>氰基环戊烷项目</w:t>
      </w:r>
      <w:r>
        <w:t>的生产装置中各种危险有害因素进行了详细的排查，并对各种危险有害因素设置了相应的安全设施、制定了相应的安全保护措施。这些安全设施、措施的落实，可以使该生产装置的风险率降低到最小程度。该生产装置区在设计、施工和生产过程中应严格遵守国家有关的法律法规、标准规范，切实加强安全管理，落实安全措施和预防手段，确保各项安全措施有效的运行。同时，生产装置区建成后必须对其安全设施进行认真验收，并请有资质的单位进行安全设施设计，以确保安全技术措施和安全管理措施落实到位，保证生产的长周期安全</w:t>
      </w:r>
      <w:r>
        <w:rPr>
          <w:rFonts w:hint="eastAsia"/>
        </w:rPr>
        <w:t>运行</w:t>
      </w:r>
      <w:r>
        <w:t>。</w:t>
      </w:r>
    </w:p>
    <w:p>
      <w:pPr>
        <w:widowControl/>
        <w:spacing w:before="156" w:after="156" w:line="240" w:lineRule="auto"/>
        <w:ind w:firstLine="0" w:firstLineChars="0"/>
      </w:pPr>
    </w:p>
    <w:p>
      <w:pPr>
        <w:spacing w:before="156" w:after="156"/>
        <w:ind w:firstLine="361"/>
        <w:rPr>
          <w:b/>
          <w:sz w:val="18"/>
          <w:szCs w:val="18"/>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2130599"/>
      <w:docPartObj>
        <w:docPartGallery w:val="AutoText"/>
      </w:docPartObj>
    </w:sdtPr>
    <w:sdtContent>
      <w:sdt>
        <w:sdtPr>
          <w:id w:val="-1705238520"/>
          <w:docPartObj>
            <w:docPartGallery w:val="AutoText"/>
          </w:docPartObj>
        </w:sdtPr>
        <w:sdtContent>
          <w:p>
            <w:pPr>
              <w:pStyle w:val="13"/>
              <w:spacing w:before="120" w:after="120"/>
              <w:ind w:firstLine="360"/>
              <w:rPr>
                <w:rFonts w:ascii="楷体" w:hAnsi="楷体" w:eastAsia="楷体"/>
                <w:color w:val="4472C4"/>
                <w:sz w:val="22"/>
              </w:rPr>
            </w:pPr>
            <w:bookmarkStart w:id="231" w:name="_Hlk141662751"/>
            <w:bookmarkStart w:id="232" w:name="_Hlk141662750"/>
            <w:bookmarkStart w:id="233" w:name="_Hlk141662478"/>
            <w:bookmarkStart w:id="234" w:name="_Hlk141662479"/>
            <w:r>
              <w:rPr>
                <w:rFonts w:ascii="楷体" w:hAnsi="楷体" w:eastAsia="楷体"/>
                <w:color w:val="4472C4"/>
                <w:sz w:val="22"/>
              </w:rPr>
              <w:drawing>
                <wp:anchor distT="0" distB="0" distL="114300" distR="114300" simplePos="0" relativeHeight="251663360" behindDoc="1" locked="0" layoutInCell="1" allowOverlap="1">
                  <wp:simplePos x="0" y="0"/>
                  <wp:positionH relativeFrom="leftMargin">
                    <wp:posOffset>424180</wp:posOffset>
                  </wp:positionH>
                  <wp:positionV relativeFrom="paragraph">
                    <wp:posOffset>83185</wp:posOffset>
                  </wp:positionV>
                  <wp:extent cx="636905" cy="539750"/>
                  <wp:effectExtent l="0" t="0" r="0" b="0"/>
                  <wp:wrapNone/>
                  <wp:docPr id="20" name="图片 20"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r>
              <w:rPr>
                <w:sz w:val="22"/>
              </w:rPr>
              <mc:AlternateContent>
                <mc:Choice Requires="wps">
                  <w:drawing>
                    <wp:anchor distT="0" distB="0" distL="114300" distR="114300" simplePos="0" relativeHeight="251662336" behindDoc="0" locked="0" layoutInCell="1" allowOverlap="1">
                      <wp:simplePos x="0" y="0"/>
                      <wp:positionH relativeFrom="margin">
                        <wp:posOffset>2315210</wp:posOffset>
                      </wp:positionH>
                      <wp:positionV relativeFrom="paragraph">
                        <wp:posOffset>2540</wp:posOffset>
                      </wp:positionV>
                      <wp:extent cx="1258570" cy="226060"/>
                      <wp:effectExtent l="0" t="0" r="0" b="2540"/>
                      <wp:wrapNone/>
                      <wp:docPr id="2" name="文本框 2"/>
                      <wp:cNvGraphicFramePr/>
                      <a:graphic xmlns:a="http://schemas.openxmlformats.org/drawingml/2006/main">
                        <a:graphicData uri="http://schemas.microsoft.com/office/word/2010/wordprocessingShape">
                          <wps:wsp>
                            <wps:cNvSpPr txBox="1"/>
                            <wps:spPr>
                              <a:xfrm>
                                <a:off x="0" y="0"/>
                                <a:ext cx="1258431" cy="2263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spacing w:before="120" w:after="120"/>
                                    <w:ind w:firstLine="360"/>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2.3pt;margin-top:0.2pt;height:17.8pt;width:99.1pt;mso-position-horizontal-relative:margin;z-index:251662336;mso-width-relative:page;mso-height-relative:page;" filled="f" stroked="f" coordsize="21600,21600" o:gfxdata="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AlDZKdUAAAAHAQAADwAAAAAAAAABACAAAAAiAAAAZHJzL2Rvd25yZXYueG1sUEsB&#10;AhQAFAAAAAgAh07iQHEm+DgxAgAAVgQAAA4AAAAAAAAAAQAgAAAAJAEAAGRycy9lMm9Eb2MueG1s&#10;UEsFBgAAAAAGAAYAWQEAAMcFAAAAAA==&#10;">
                      <v:fill on="f" focussize="0,0"/>
                      <v:stroke on="f" weight="0.5pt"/>
                      <v:imagedata o:title=""/>
                      <o:lock v:ext="edit" aspectratio="f"/>
                      <v:textbox inset="0mm,0mm,0mm,0mm">
                        <w:txbxContent>
                          <w:p>
                            <w:pPr>
                              <w:pStyle w:val="13"/>
                              <w:spacing w:before="120" w:after="120"/>
                              <w:ind w:firstLine="360"/>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v:textbox>
                    </v:shape>
                  </w:pict>
                </mc:Fallback>
              </mc:AlternateContent>
            </w:r>
            <w:r>
              <w:rPr>
                <w:rFonts w:hint="eastAsia" w:ascii="楷体" w:hAnsi="楷体" w:eastAsia="楷体"/>
                <w:color w:val="4472C4"/>
                <w:sz w:val="22"/>
              </w:rPr>
              <w:t xml:space="preserve"> </w:t>
            </w:r>
          </w:p>
          <w:p>
            <w:pPr>
              <w:pStyle w:val="13"/>
              <w:spacing w:before="120" w:after="120"/>
              <w:ind w:firstLine="440"/>
            </w:pPr>
            <w:r>
              <w:rPr>
                <w:rFonts w:ascii="楷体" w:hAnsi="楷体" w:eastAsia="楷体"/>
                <w:color w:val="4472C4"/>
                <w:sz w:val="22"/>
              </w:rPr>
              <w:t>58</w:t>
            </w:r>
            <w:r>
              <w:rPr>
                <w:rFonts w:hint="eastAsia" w:ascii="楷体" w:hAnsi="楷体" w:eastAsia="楷体"/>
                <w:color w:val="4472C4"/>
                <w:sz w:val="22"/>
              </w:rPr>
              <w:t>同济队</w:t>
            </w:r>
          </w:p>
        </w:sdtContent>
      </w:sdt>
    </w:sdtContent>
  </w:sdt>
  <w:bookmarkEnd w:id="231"/>
  <w:bookmarkEnd w:id="232"/>
  <w:bookmarkEnd w:id="233"/>
  <w:bookmarkEnd w:id="23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before="120"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before="120"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20"/>
      </w:pPr>
      <w:r>
        <w:separator/>
      </w:r>
    </w:p>
  </w:footnote>
  <w:footnote w:type="continuationSeparator" w:id="1">
    <w:p>
      <w:pPr>
        <w:spacing w:before="0" w:after="0"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before="120" w:after="120"/>
      <w:ind w:firstLine="440"/>
    </w:pPr>
    <w:bookmarkStart w:id="229" w:name="_Hlk141662461"/>
    <w:bookmarkStart w:id="230" w:name="_Hlk141662462"/>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eastAsia" w:ascii="楷体" w:eastAsia="楷体"/>
        <w:color w:val="4471C4"/>
        <w:sz w:val="22"/>
      </w:rPr>
      <w:drawing>
        <wp:anchor distT="0" distB="0" distL="0" distR="0" simplePos="0" relativeHeight="251661312" behindDoc="1" locked="0" layoutInCell="1" allowOverlap="1">
          <wp:simplePos x="0" y="0"/>
          <wp:positionH relativeFrom="page">
            <wp:posOffset>6549390</wp:posOffset>
          </wp:positionH>
          <wp:positionV relativeFrom="topMargin">
            <wp:align>bottom</wp:align>
          </wp:positionV>
          <wp:extent cx="535940" cy="533400"/>
          <wp:effectExtent l="0" t="0" r="1016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bookmarkEnd w:id="229"/>
    <w:bookmarkEnd w:id="230"/>
    <w:r>
      <w:rPr>
        <w:rFonts w:hint="eastAsia" w:ascii="楷体" w:eastAsia="楷体"/>
        <w:color w:val="4471C4"/>
        <w:sz w:val="22"/>
      </w:rPr>
      <w:t>安全预评价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before="120"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before="120" w:after="120"/>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070347"/>
    <w:rsid w:val="00070347"/>
    <w:rsid w:val="00071147"/>
    <w:rsid w:val="000B1EC0"/>
    <w:rsid w:val="00105F99"/>
    <w:rsid w:val="0015108D"/>
    <w:rsid w:val="0022438C"/>
    <w:rsid w:val="002527A8"/>
    <w:rsid w:val="002A5B6F"/>
    <w:rsid w:val="002D51E4"/>
    <w:rsid w:val="00317E32"/>
    <w:rsid w:val="00367B3F"/>
    <w:rsid w:val="003E25B5"/>
    <w:rsid w:val="003F0021"/>
    <w:rsid w:val="00465A2D"/>
    <w:rsid w:val="0048719E"/>
    <w:rsid w:val="00501827"/>
    <w:rsid w:val="00506883"/>
    <w:rsid w:val="005C2993"/>
    <w:rsid w:val="006F071F"/>
    <w:rsid w:val="00795031"/>
    <w:rsid w:val="0091440B"/>
    <w:rsid w:val="0094053B"/>
    <w:rsid w:val="009C6049"/>
    <w:rsid w:val="00A80D78"/>
    <w:rsid w:val="00AA4E21"/>
    <w:rsid w:val="00B64D98"/>
    <w:rsid w:val="00BA6D38"/>
    <w:rsid w:val="00BD35F8"/>
    <w:rsid w:val="00C40EBA"/>
    <w:rsid w:val="00C5083D"/>
    <w:rsid w:val="00E45CCC"/>
    <w:rsid w:val="00E874BE"/>
    <w:rsid w:val="00ED3823"/>
    <w:rsid w:val="00F2783E"/>
    <w:rsid w:val="00F54B1F"/>
    <w:rsid w:val="00FA572B"/>
    <w:rsid w:val="00FD65F5"/>
    <w:rsid w:val="00FF0FA6"/>
    <w:rsid w:val="4ED10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50" w:beforeLines="50" w:after="50" w:afterLines="50" w:line="360" w:lineRule="auto"/>
      <w:ind w:firstLine="200" w:firstLineChars="200"/>
    </w:pPr>
    <w:rPr>
      <w:rFonts w:ascii="仿宋" w:hAnsi="仿宋" w:eastAsia="宋体" w:cs="仿宋"/>
      <w:kern w:val="0"/>
      <w:sz w:val="21"/>
      <w:szCs w:val="22"/>
      <w:lang w:val="en-US" w:eastAsia="zh-CN" w:bidi="ar-SA"/>
    </w:rPr>
  </w:style>
  <w:style w:type="paragraph" w:styleId="2">
    <w:name w:val="heading 1"/>
    <w:basedOn w:val="1"/>
    <w:next w:val="1"/>
    <w:link w:val="25"/>
    <w:qFormat/>
    <w:uiPriority w:val="9"/>
    <w:pPr>
      <w:keepNext/>
      <w:keepLines/>
      <w:spacing w:before="340" w:after="330" w:line="578" w:lineRule="auto"/>
      <w:jc w:val="center"/>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cstheme="majorBidi"/>
      <w:b/>
      <w:bCs/>
      <w:sz w:val="28"/>
      <w:szCs w:val="32"/>
    </w:rPr>
  </w:style>
  <w:style w:type="paragraph" w:styleId="4">
    <w:name w:val="heading 3"/>
    <w:basedOn w:val="1"/>
    <w:next w:val="1"/>
    <w:link w:val="27"/>
    <w:unhideWhenUsed/>
    <w:qFormat/>
    <w:uiPriority w:val="9"/>
    <w:pPr>
      <w:keepNext/>
      <w:keepLines/>
      <w:spacing w:before="260" w:after="260" w:line="416" w:lineRule="auto"/>
      <w:outlineLvl w:val="2"/>
    </w:pPr>
    <w:rPr>
      <w:rFonts w:ascii="宋体" w:hAnsi="宋体"/>
      <w:b/>
      <w:bCs/>
      <w:sz w:val="24"/>
      <w:szCs w:val="32"/>
    </w:rPr>
  </w:style>
  <w:style w:type="paragraph" w:styleId="5">
    <w:name w:val="heading 4"/>
    <w:basedOn w:val="1"/>
    <w:next w:val="1"/>
    <w:link w:val="2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9"/>
    <w:unhideWhenUsed/>
    <w:qFormat/>
    <w:uiPriority w:val="9"/>
    <w:pPr>
      <w:autoSpaceDE/>
      <w:autoSpaceDN/>
      <w:spacing w:before="280" w:beforeLines="0" w:after="290" w:afterLines="0"/>
      <w:ind w:left="851" w:hanging="851" w:firstLineChars="0"/>
      <w:jc w:val="both"/>
      <w:outlineLvl w:val="4"/>
    </w:pPr>
    <w:rPr>
      <w:rFonts w:ascii="Times New Roman" w:hAnsi="Times New Roman" w:eastAsia="黑体" w:cstheme="minorBidi"/>
      <w:b/>
      <w:bCs/>
      <w:kern w:val="2"/>
      <w:sz w:val="18"/>
      <w:szCs w:val="28"/>
    </w:rPr>
  </w:style>
  <w:style w:type="character" w:default="1" w:styleId="23">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7">
    <w:name w:val="toc 7"/>
    <w:basedOn w:val="1"/>
    <w:next w:val="1"/>
    <w:unhideWhenUsed/>
    <w:qFormat/>
    <w:uiPriority w:val="39"/>
    <w:pPr>
      <w:autoSpaceDE/>
      <w:autoSpaceDN/>
      <w:spacing w:before="0" w:beforeLines="0" w:after="0" w:afterLines="0" w:line="240" w:lineRule="auto"/>
      <w:ind w:left="2520" w:leftChars="1200" w:firstLine="0" w:firstLineChars="0"/>
      <w:jc w:val="both"/>
    </w:pPr>
    <w:rPr>
      <w:rFonts w:asciiTheme="minorHAnsi" w:hAnsiTheme="minorHAnsi" w:eastAsiaTheme="minorEastAsia" w:cstheme="minorBidi"/>
      <w:kern w:val="2"/>
    </w:rPr>
  </w:style>
  <w:style w:type="paragraph" w:styleId="8">
    <w:name w:val="annotation text"/>
    <w:basedOn w:val="1"/>
    <w:link w:val="50"/>
    <w:semiHidden/>
    <w:unhideWhenUsed/>
    <w:qFormat/>
    <w:uiPriority w:val="99"/>
    <w:pPr>
      <w:autoSpaceDE/>
      <w:autoSpaceDN/>
      <w:spacing w:before="0" w:beforeLines="0" w:after="0" w:afterLines="0"/>
      <w:ind w:firstLine="0" w:firstLineChars="0"/>
    </w:pPr>
    <w:rPr>
      <w:rFonts w:ascii="Times New Roman" w:hAnsi="Times New Roman" w:eastAsia="仿宋" w:cstheme="minorBidi"/>
      <w:kern w:val="2"/>
      <w:sz w:val="24"/>
    </w:rPr>
  </w:style>
  <w:style w:type="paragraph" w:styleId="9">
    <w:name w:val="Body Text"/>
    <w:basedOn w:val="1"/>
    <w:link w:val="29"/>
    <w:qFormat/>
    <w:uiPriority w:val="99"/>
    <w:rPr>
      <w:szCs w:val="21"/>
    </w:rPr>
  </w:style>
  <w:style w:type="paragraph" w:styleId="10">
    <w:name w:val="toc 5"/>
    <w:basedOn w:val="1"/>
    <w:next w:val="1"/>
    <w:unhideWhenUsed/>
    <w:qFormat/>
    <w:uiPriority w:val="39"/>
    <w:pPr>
      <w:autoSpaceDE/>
      <w:autoSpaceDN/>
      <w:spacing w:before="0" w:beforeLines="0" w:after="0" w:afterLines="0" w:line="240" w:lineRule="auto"/>
      <w:ind w:left="1680" w:leftChars="800" w:firstLine="0" w:firstLineChars="0"/>
      <w:jc w:val="both"/>
    </w:pPr>
    <w:rPr>
      <w:rFonts w:asciiTheme="minorHAnsi" w:hAnsiTheme="minorHAnsi" w:eastAsiaTheme="minorEastAsia" w:cstheme="minorBidi"/>
      <w:kern w:val="2"/>
    </w:rPr>
  </w:style>
  <w:style w:type="paragraph" w:styleId="11">
    <w:name w:val="toc 3"/>
    <w:basedOn w:val="1"/>
    <w:next w:val="1"/>
    <w:unhideWhenUsed/>
    <w:qFormat/>
    <w:uiPriority w:val="39"/>
    <w:pPr>
      <w:ind w:left="840" w:leftChars="400"/>
    </w:pPr>
  </w:style>
  <w:style w:type="paragraph" w:styleId="12">
    <w:name w:val="toc 8"/>
    <w:basedOn w:val="1"/>
    <w:next w:val="1"/>
    <w:unhideWhenUsed/>
    <w:qFormat/>
    <w:uiPriority w:val="39"/>
    <w:pPr>
      <w:autoSpaceDE/>
      <w:autoSpaceDN/>
      <w:spacing w:before="0" w:beforeLines="0" w:after="0" w:afterLines="0" w:line="240" w:lineRule="auto"/>
      <w:ind w:left="2940" w:leftChars="1400" w:firstLine="0" w:firstLineChars="0"/>
      <w:jc w:val="both"/>
    </w:pPr>
    <w:rPr>
      <w:rFonts w:asciiTheme="minorHAnsi" w:hAnsiTheme="minorHAnsi" w:eastAsiaTheme="minorEastAsia" w:cstheme="minorBidi"/>
      <w:kern w:val="2"/>
    </w:rPr>
  </w:style>
  <w:style w:type="paragraph" w:styleId="13">
    <w:name w:val="footer"/>
    <w:basedOn w:val="1"/>
    <w:link w:val="31"/>
    <w:unhideWhenUsed/>
    <w:qFormat/>
    <w:uiPriority w:val="99"/>
    <w:pPr>
      <w:tabs>
        <w:tab w:val="center" w:pos="4153"/>
        <w:tab w:val="right" w:pos="8306"/>
      </w:tabs>
      <w:snapToGrid w:val="0"/>
    </w:pPr>
    <w:rPr>
      <w:sz w:val="18"/>
      <w:szCs w:val="18"/>
    </w:rPr>
  </w:style>
  <w:style w:type="paragraph" w:styleId="14">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toc 4"/>
    <w:basedOn w:val="1"/>
    <w:next w:val="1"/>
    <w:unhideWhenUsed/>
    <w:qFormat/>
    <w:uiPriority w:val="39"/>
    <w:pPr>
      <w:autoSpaceDE/>
      <w:autoSpaceDN/>
      <w:spacing w:before="0" w:beforeLines="0" w:after="0" w:afterLines="0" w:line="240" w:lineRule="auto"/>
      <w:ind w:left="1260" w:leftChars="600" w:firstLine="0" w:firstLineChars="0"/>
      <w:jc w:val="both"/>
    </w:pPr>
    <w:rPr>
      <w:rFonts w:asciiTheme="minorHAnsi" w:hAnsiTheme="minorHAnsi" w:eastAsiaTheme="minorEastAsia" w:cstheme="minorBidi"/>
      <w:kern w:val="2"/>
    </w:rPr>
  </w:style>
  <w:style w:type="paragraph" w:styleId="17">
    <w:name w:val="toc 6"/>
    <w:basedOn w:val="1"/>
    <w:next w:val="1"/>
    <w:unhideWhenUsed/>
    <w:qFormat/>
    <w:uiPriority w:val="39"/>
    <w:pPr>
      <w:autoSpaceDE/>
      <w:autoSpaceDN/>
      <w:spacing w:before="0" w:beforeLines="0" w:after="0" w:afterLines="0" w:line="240" w:lineRule="auto"/>
      <w:ind w:left="2100" w:leftChars="1000" w:firstLine="0" w:firstLineChars="0"/>
      <w:jc w:val="both"/>
    </w:pPr>
    <w:rPr>
      <w:rFonts w:asciiTheme="minorHAnsi" w:hAnsiTheme="minorHAnsi" w:eastAsiaTheme="minorEastAsia" w:cstheme="minorBidi"/>
      <w:kern w:val="2"/>
    </w:rPr>
  </w:style>
  <w:style w:type="paragraph" w:styleId="18">
    <w:name w:val="toc 2"/>
    <w:basedOn w:val="1"/>
    <w:next w:val="1"/>
    <w:unhideWhenUsed/>
    <w:qFormat/>
    <w:uiPriority w:val="39"/>
    <w:pPr>
      <w:ind w:left="420" w:leftChars="200"/>
    </w:pPr>
  </w:style>
  <w:style w:type="paragraph" w:styleId="19">
    <w:name w:val="toc 9"/>
    <w:basedOn w:val="1"/>
    <w:next w:val="1"/>
    <w:unhideWhenUsed/>
    <w:qFormat/>
    <w:uiPriority w:val="39"/>
    <w:pPr>
      <w:autoSpaceDE/>
      <w:autoSpaceDN/>
      <w:spacing w:before="0" w:beforeLines="0" w:after="0" w:afterLines="0" w:line="240" w:lineRule="auto"/>
      <w:ind w:left="3360" w:leftChars="1600" w:firstLine="0" w:firstLineChars="0"/>
      <w:jc w:val="both"/>
    </w:pPr>
    <w:rPr>
      <w:rFonts w:asciiTheme="minorHAnsi" w:hAnsiTheme="minorHAnsi" w:eastAsiaTheme="minorEastAsia" w:cstheme="minorBidi"/>
      <w:kern w:val="2"/>
    </w:rPr>
  </w:style>
  <w:style w:type="paragraph" w:styleId="20">
    <w:name w:val="Title"/>
    <w:basedOn w:val="1"/>
    <w:next w:val="1"/>
    <w:link w:val="51"/>
    <w:qFormat/>
    <w:uiPriority w:val="10"/>
    <w:pPr>
      <w:autoSpaceDE/>
      <w:autoSpaceDN/>
      <w:spacing w:before="240" w:beforeLines="0" w:after="60" w:afterLines="0"/>
      <w:ind w:firstLine="0" w:firstLineChars="0"/>
      <w:jc w:val="center"/>
      <w:outlineLvl w:val="0"/>
    </w:pPr>
    <w:rPr>
      <w:rFonts w:asciiTheme="majorHAnsi" w:hAnsiTheme="majorHAnsi" w:eastAsiaTheme="majorEastAsia" w:cstheme="majorBidi"/>
      <w:b/>
      <w:bCs/>
      <w:kern w:val="2"/>
      <w:sz w:val="32"/>
      <w:szCs w:val="32"/>
    </w:rPr>
  </w:style>
  <w:style w:type="paragraph" w:styleId="21">
    <w:name w:val="annotation subject"/>
    <w:basedOn w:val="8"/>
    <w:next w:val="8"/>
    <w:link w:val="52"/>
    <w:semiHidden/>
    <w:unhideWhenUsed/>
    <w:qFormat/>
    <w:uiPriority w:val="99"/>
    <w:rPr>
      <w:b/>
      <w:bCs/>
    </w:rPr>
  </w:style>
  <w:style w:type="character" w:styleId="24">
    <w:name w:val="Hyperlink"/>
    <w:basedOn w:val="23"/>
    <w:unhideWhenUsed/>
    <w:qFormat/>
    <w:uiPriority w:val="99"/>
    <w:rPr>
      <w:color w:val="0563C1" w:themeColor="hyperlink"/>
      <w:u w:val="single"/>
      <w14:textFill>
        <w14:solidFill>
          <w14:schemeClr w14:val="hlink"/>
        </w14:solidFill>
      </w14:textFill>
    </w:rPr>
  </w:style>
  <w:style w:type="character" w:customStyle="1" w:styleId="25">
    <w:name w:val="标题 1 字符"/>
    <w:basedOn w:val="23"/>
    <w:link w:val="2"/>
    <w:qFormat/>
    <w:uiPriority w:val="9"/>
    <w:rPr>
      <w:rFonts w:ascii="仿宋" w:hAnsi="仿宋" w:cs="仿宋"/>
      <w:b/>
      <w:bCs/>
      <w:kern w:val="44"/>
      <w:sz w:val="44"/>
      <w:szCs w:val="44"/>
    </w:rPr>
  </w:style>
  <w:style w:type="character" w:customStyle="1" w:styleId="26">
    <w:name w:val="标题 2 字符"/>
    <w:basedOn w:val="23"/>
    <w:link w:val="3"/>
    <w:qFormat/>
    <w:uiPriority w:val="9"/>
    <w:rPr>
      <w:rFonts w:asciiTheme="majorHAnsi" w:hAnsiTheme="majorHAnsi" w:cstheme="majorBidi"/>
      <w:b/>
      <w:bCs/>
      <w:kern w:val="0"/>
      <w:sz w:val="28"/>
      <w:szCs w:val="32"/>
    </w:rPr>
  </w:style>
  <w:style w:type="character" w:customStyle="1" w:styleId="27">
    <w:name w:val="标题 3 字符"/>
    <w:basedOn w:val="23"/>
    <w:link w:val="4"/>
    <w:qFormat/>
    <w:uiPriority w:val="9"/>
    <w:rPr>
      <w:rFonts w:cs="仿宋"/>
      <w:b/>
      <w:bCs/>
      <w:kern w:val="0"/>
      <w:sz w:val="24"/>
      <w:szCs w:val="32"/>
    </w:rPr>
  </w:style>
  <w:style w:type="character" w:customStyle="1" w:styleId="28">
    <w:name w:val="标题 4 字符"/>
    <w:basedOn w:val="23"/>
    <w:link w:val="5"/>
    <w:qFormat/>
    <w:uiPriority w:val="9"/>
    <w:rPr>
      <w:rFonts w:asciiTheme="majorHAnsi" w:hAnsiTheme="majorHAnsi" w:eastAsiaTheme="majorEastAsia" w:cstheme="majorBidi"/>
      <w:b/>
      <w:bCs/>
      <w:kern w:val="0"/>
      <w:sz w:val="28"/>
      <w:szCs w:val="28"/>
    </w:rPr>
  </w:style>
  <w:style w:type="character" w:customStyle="1" w:styleId="29">
    <w:name w:val="正文文本 字符"/>
    <w:basedOn w:val="23"/>
    <w:link w:val="9"/>
    <w:qFormat/>
    <w:uiPriority w:val="99"/>
    <w:rPr>
      <w:rFonts w:ascii="仿宋" w:hAnsi="仿宋" w:cs="仿宋"/>
      <w:kern w:val="0"/>
      <w:szCs w:val="21"/>
    </w:rPr>
  </w:style>
  <w:style w:type="character" w:customStyle="1" w:styleId="30">
    <w:name w:val="页眉 字符"/>
    <w:basedOn w:val="23"/>
    <w:link w:val="14"/>
    <w:qFormat/>
    <w:uiPriority w:val="99"/>
    <w:rPr>
      <w:rFonts w:ascii="仿宋" w:hAnsi="仿宋" w:cs="仿宋"/>
      <w:kern w:val="0"/>
      <w:sz w:val="18"/>
      <w:szCs w:val="18"/>
    </w:rPr>
  </w:style>
  <w:style w:type="character" w:customStyle="1" w:styleId="31">
    <w:name w:val="页脚 字符"/>
    <w:basedOn w:val="23"/>
    <w:link w:val="13"/>
    <w:qFormat/>
    <w:uiPriority w:val="99"/>
    <w:rPr>
      <w:rFonts w:ascii="仿宋" w:hAnsi="仿宋" w:cs="仿宋"/>
      <w:kern w:val="0"/>
      <w:sz w:val="18"/>
      <w:szCs w:val="18"/>
    </w:rPr>
  </w:style>
  <w:style w:type="table" w:customStyle="1" w:styleId="32">
    <w:name w:val="网格表 5 深色 - 着色 11"/>
    <w:basedOn w:val="22"/>
    <w:uiPriority w:val="50"/>
    <w:rPr>
      <w:kern w:val="0"/>
      <w:sz w:val="20"/>
      <w:szCs w:val="20"/>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33">
    <w:name w:val="Grid Table 5 Dark Accent 1"/>
    <w:basedOn w:val="22"/>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34">
    <w:name w:val="网格表 5 深色 - 着色 114"/>
    <w:basedOn w:val="22"/>
    <w:qFormat/>
    <w:uiPriority w:val="50"/>
    <w:rPr>
      <w:rFonts w:ascii="等线" w:hAnsi="等线" w:eastAsia="等线" w:cs="Times New Roman"/>
      <w:kern w:val="0"/>
      <w:sz w:val="20"/>
      <w:szCs w:val="20"/>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35">
    <w:name w:val="网格表 5 深色 - 着色 111"/>
    <w:basedOn w:val="22"/>
    <w:qFormat/>
    <w:uiPriority w:val="50"/>
    <w:rPr>
      <w:rFonts w:ascii="等线" w:hAnsi="等线" w:eastAsia="等线"/>
      <w:kern w:val="0"/>
      <w:sz w:val="20"/>
      <w:szCs w:val="20"/>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36">
    <w:name w:val="网格表 4 - 着色 51"/>
    <w:basedOn w:val="22"/>
    <w:qFormat/>
    <w:uiPriority w:val="49"/>
    <w:rPr>
      <w:rFonts w:asciiTheme="minorHAnsi" w:hAnsiTheme="minorHAnsi" w:eastAsiaTheme="minorEastAsia"/>
      <w:kern w:val="0"/>
    </w:rPr>
    <w:tblPr>
      <w:jc w:val="center"/>
      <w:tblBorders>
        <w:top w:val="single" w:color="DEEAF6" w:themeColor="accent5" w:themeTint="33" w:sz="4" w:space="0"/>
        <w:left w:val="single" w:color="DEEAF6" w:themeColor="accent5" w:themeTint="33" w:sz="4" w:space="0"/>
        <w:bottom w:val="single" w:color="DEEAF6" w:themeColor="accent5" w:themeTint="33" w:sz="4" w:space="0"/>
        <w:right w:val="single" w:color="DEEAF6" w:themeColor="accent5" w:themeTint="33" w:sz="4" w:space="0"/>
      </w:tblBorders>
    </w:tblPr>
    <w:trPr>
      <w:jc w:val="center"/>
    </w:trPr>
    <w:tcPr>
      <w:vAlign w:val="center"/>
    </w:tc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paragraph" w:customStyle="1" w:styleId="37">
    <w:name w:val="表格内文字"/>
    <w:basedOn w:val="1"/>
    <w:link w:val="38"/>
    <w:qFormat/>
    <w:uiPriority w:val="0"/>
    <w:pPr>
      <w:widowControl/>
      <w:autoSpaceDE/>
      <w:autoSpaceDN/>
      <w:spacing w:before="0" w:beforeLines="0" w:after="0" w:afterLines="0" w:line="288" w:lineRule="auto"/>
      <w:ind w:firstLine="0" w:firstLineChars="0"/>
      <w:jc w:val="center"/>
    </w:pPr>
    <w:rPr>
      <w:rFonts w:ascii="Times New Roman" w:hAnsi="Times New Roman" w:eastAsia="仿宋" w:cstheme="minorBidi"/>
      <w:kern w:val="2"/>
      <w:sz w:val="22"/>
    </w:rPr>
  </w:style>
  <w:style w:type="character" w:customStyle="1" w:styleId="38">
    <w:name w:val="表格内文字 字符"/>
    <w:basedOn w:val="23"/>
    <w:link w:val="37"/>
    <w:qFormat/>
    <w:uiPriority w:val="0"/>
    <w:rPr>
      <w:rFonts w:ascii="Times New Roman" w:hAnsi="Times New Roman" w:eastAsia="仿宋"/>
      <w:sz w:val="22"/>
    </w:rPr>
  </w:style>
  <w:style w:type="paragraph" w:customStyle="1" w:styleId="39">
    <w:name w:val="表头图尾"/>
    <w:basedOn w:val="1"/>
    <w:link w:val="40"/>
    <w:qFormat/>
    <w:uiPriority w:val="0"/>
    <w:pPr>
      <w:autoSpaceDE/>
      <w:autoSpaceDN/>
      <w:spacing w:before="0" w:beforeLines="0" w:after="0" w:afterLines="0"/>
      <w:ind w:firstLine="0" w:firstLineChars="0"/>
      <w:jc w:val="center"/>
    </w:pPr>
    <w:rPr>
      <w:rFonts w:ascii="Times New Roman" w:hAnsi="Times New Roman" w:eastAsia="仿宋" w:cs="Times New Roman"/>
      <w:b/>
      <w:kern w:val="2"/>
      <w:sz w:val="22"/>
    </w:rPr>
  </w:style>
  <w:style w:type="character" w:customStyle="1" w:styleId="40">
    <w:name w:val="表头图尾 字符"/>
    <w:link w:val="39"/>
    <w:qFormat/>
    <w:uiPriority w:val="0"/>
    <w:rPr>
      <w:rFonts w:ascii="Times New Roman" w:hAnsi="Times New Roman" w:eastAsia="仿宋" w:cs="Times New Roman"/>
      <w:b/>
      <w:sz w:val="22"/>
    </w:rPr>
  </w:style>
  <w:style w:type="paragraph" w:customStyle="1" w:styleId="41">
    <w:name w:val="TOC Heading"/>
    <w:basedOn w:val="2"/>
    <w:next w:val="1"/>
    <w:unhideWhenUsed/>
    <w:qFormat/>
    <w:uiPriority w:val="39"/>
    <w:pPr>
      <w:widowControl/>
      <w:autoSpaceDE/>
      <w:autoSpaceDN/>
      <w:spacing w:before="240" w:beforeLines="0" w:after="0" w:afterLines="0" w:line="259" w:lineRule="auto"/>
      <w:ind w:firstLine="0" w:firstLineChars="0"/>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2">
    <w:name w:val="A4 正文"/>
    <w:basedOn w:val="1"/>
    <w:link w:val="43"/>
    <w:qFormat/>
    <w:uiPriority w:val="0"/>
    <w:pPr>
      <w:autoSpaceDE/>
      <w:autoSpaceDN/>
      <w:spacing w:before="0" w:beforeLines="0" w:after="0" w:afterLines="0"/>
      <w:ind w:firstLine="480"/>
      <w:jc w:val="both"/>
    </w:pPr>
    <w:rPr>
      <w:rFonts w:ascii="Times New Roman" w:hAnsi="Times New Roman" w:eastAsia="仿宋" w:cstheme="minorBidi"/>
      <w:kern w:val="2"/>
      <w:sz w:val="24"/>
    </w:rPr>
  </w:style>
  <w:style w:type="character" w:customStyle="1" w:styleId="43">
    <w:name w:val="A4 正文 Char"/>
    <w:basedOn w:val="23"/>
    <w:link w:val="42"/>
    <w:qFormat/>
    <w:uiPriority w:val="0"/>
    <w:rPr>
      <w:rFonts w:ascii="Times New Roman" w:hAnsi="Times New Roman" w:eastAsia="仿宋"/>
      <w:sz w:val="24"/>
    </w:rPr>
  </w:style>
  <w:style w:type="table" w:customStyle="1" w:styleId="44">
    <w:name w:val="Grid Table 4 Accent 1"/>
    <w:basedOn w:val="22"/>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5">
    <w:name w:val="网格表 4 - 着色 1211"/>
    <w:basedOn w:val="22"/>
    <w:qFormat/>
    <w:uiPriority w:val="49"/>
    <w:rPr>
      <w:rFonts w:ascii="Times New Roman" w:hAnsi="Times New Roman" w:cs="Times New Roman"/>
      <w:kern w:val="0"/>
      <w:sz w:val="20"/>
      <w:szCs w:val="20"/>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paragraph" w:customStyle="1" w:styleId="46">
    <w:name w:val="A4 表头图尾"/>
    <w:basedOn w:val="1"/>
    <w:link w:val="47"/>
    <w:qFormat/>
    <w:uiPriority w:val="0"/>
    <w:pPr>
      <w:autoSpaceDE/>
      <w:autoSpaceDN/>
      <w:spacing w:before="0" w:beforeLines="0" w:after="0" w:afterLines="0"/>
      <w:ind w:firstLine="0" w:firstLineChars="0"/>
      <w:jc w:val="center"/>
    </w:pPr>
    <w:rPr>
      <w:rFonts w:ascii="Times New Roman" w:hAnsi="Times New Roman" w:eastAsia="仿宋" w:cstheme="minorBidi"/>
      <w:b/>
      <w:kern w:val="2"/>
      <w:sz w:val="22"/>
    </w:rPr>
  </w:style>
  <w:style w:type="character" w:customStyle="1" w:styleId="47">
    <w:name w:val="A4 表头图尾 Char"/>
    <w:basedOn w:val="23"/>
    <w:link w:val="46"/>
    <w:qFormat/>
    <w:uiPriority w:val="0"/>
    <w:rPr>
      <w:rFonts w:ascii="Times New Roman" w:hAnsi="Times New Roman" w:eastAsia="仿宋"/>
      <w:b/>
      <w:sz w:val="22"/>
    </w:rPr>
  </w:style>
  <w:style w:type="table" w:customStyle="1" w:styleId="48">
    <w:name w:val="网格表 4 - 着色 1212"/>
    <w:basedOn w:val="22"/>
    <w:qFormat/>
    <w:uiPriority w:val="49"/>
    <w:rPr>
      <w:rFonts w:ascii="Times New Roman" w:hAnsi="Times New Roman" w:cs="Times New Roman"/>
      <w:kern w:val="0"/>
      <w:sz w:val="20"/>
      <w:szCs w:val="20"/>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character" w:customStyle="1" w:styleId="49">
    <w:name w:val="标题 5 字符"/>
    <w:basedOn w:val="23"/>
    <w:link w:val="6"/>
    <w:qFormat/>
    <w:uiPriority w:val="9"/>
    <w:rPr>
      <w:rFonts w:ascii="Times New Roman" w:hAnsi="Times New Roman" w:eastAsia="黑体"/>
      <w:b/>
      <w:bCs/>
      <w:sz w:val="18"/>
      <w:szCs w:val="28"/>
    </w:rPr>
  </w:style>
  <w:style w:type="character" w:customStyle="1" w:styleId="50">
    <w:name w:val="批注文字 字符"/>
    <w:basedOn w:val="23"/>
    <w:link w:val="8"/>
    <w:semiHidden/>
    <w:qFormat/>
    <w:uiPriority w:val="99"/>
    <w:rPr>
      <w:rFonts w:ascii="Times New Roman" w:hAnsi="Times New Roman" w:eastAsia="仿宋"/>
      <w:sz w:val="24"/>
    </w:rPr>
  </w:style>
  <w:style w:type="character" w:customStyle="1" w:styleId="51">
    <w:name w:val="标题 字符"/>
    <w:basedOn w:val="23"/>
    <w:link w:val="20"/>
    <w:qFormat/>
    <w:uiPriority w:val="10"/>
    <w:rPr>
      <w:rFonts w:asciiTheme="majorHAnsi" w:hAnsiTheme="majorHAnsi" w:eastAsiaTheme="majorEastAsia" w:cstheme="majorBidi"/>
      <w:b/>
      <w:bCs/>
      <w:sz w:val="32"/>
      <w:szCs w:val="32"/>
    </w:rPr>
  </w:style>
  <w:style w:type="character" w:customStyle="1" w:styleId="52">
    <w:name w:val="批注主题 字符"/>
    <w:basedOn w:val="50"/>
    <w:link w:val="21"/>
    <w:semiHidden/>
    <w:qFormat/>
    <w:uiPriority w:val="99"/>
    <w:rPr>
      <w:rFonts w:ascii="Times New Roman" w:hAnsi="Times New Roman" w:eastAsia="仿宋"/>
      <w:b/>
      <w:bCs/>
      <w:sz w:val="24"/>
    </w:rPr>
  </w:style>
  <w:style w:type="paragraph" w:customStyle="1" w:styleId="53">
    <w:name w:val="EC图表"/>
    <w:basedOn w:val="1"/>
    <w:link w:val="54"/>
    <w:qFormat/>
    <w:uiPriority w:val="0"/>
    <w:pPr>
      <w:autoSpaceDE/>
      <w:autoSpaceDN/>
      <w:spacing w:before="0" w:beforeLines="0" w:after="0" w:afterLines="0" w:line="324" w:lineRule="auto"/>
      <w:ind w:firstLine="0" w:firstLineChars="0"/>
      <w:jc w:val="center"/>
    </w:pPr>
    <w:rPr>
      <w:rFonts w:ascii="Times New Roman" w:hAnsi="Times New Roman" w:cs="Times New Roman"/>
      <w:b/>
      <w:kern w:val="2"/>
      <w:szCs w:val="20"/>
    </w:rPr>
  </w:style>
  <w:style w:type="character" w:customStyle="1" w:styleId="54">
    <w:name w:val="EC图表 字符"/>
    <w:basedOn w:val="23"/>
    <w:link w:val="53"/>
    <w:qFormat/>
    <w:uiPriority w:val="0"/>
    <w:rPr>
      <w:rFonts w:ascii="Times New Roman" w:hAnsi="Times New Roman" w:cs="Times New Roman"/>
      <w:b/>
      <w:szCs w:val="20"/>
    </w:rPr>
  </w:style>
  <w:style w:type="paragraph" w:styleId="55">
    <w:name w:val="No Spacing"/>
    <w:link w:val="56"/>
    <w:qFormat/>
    <w:uiPriority w:val="1"/>
    <w:pPr>
      <w:widowControl w:val="0"/>
      <w:spacing w:line="360" w:lineRule="auto"/>
      <w:jc w:val="center"/>
    </w:pPr>
    <w:rPr>
      <w:rFonts w:ascii="Times New Roman" w:hAnsi="Times New Roman" w:eastAsia="仿宋" w:cstheme="minorBidi"/>
      <w:b/>
      <w:kern w:val="2"/>
      <w:sz w:val="22"/>
      <w:szCs w:val="22"/>
      <w:lang w:val="en-US" w:eastAsia="zh-CN" w:bidi="ar-SA"/>
    </w:rPr>
  </w:style>
  <w:style w:type="character" w:customStyle="1" w:styleId="56">
    <w:name w:val="无间隔 字符"/>
    <w:basedOn w:val="23"/>
    <w:link w:val="55"/>
    <w:qFormat/>
    <w:uiPriority w:val="1"/>
    <w:rPr>
      <w:rFonts w:ascii="Times New Roman" w:hAnsi="Times New Roman" w:eastAsia="仿宋"/>
      <w:b/>
      <w:sz w:val="22"/>
    </w:rPr>
  </w:style>
  <w:style w:type="paragraph" w:customStyle="1" w:styleId="57">
    <w:name w:val="P6 正文"/>
    <w:basedOn w:val="1"/>
    <w:link w:val="58"/>
    <w:qFormat/>
    <w:uiPriority w:val="0"/>
    <w:pPr>
      <w:autoSpaceDE/>
      <w:autoSpaceDN/>
      <w:spacing w:before="0" w:beforeLines="0" w:after="0" w:afterLines="0"/>
      <w:ind w:firstLine="480"/>
      <w:jc w:val="both"/>
    </w:pPr>
    <w:rPr>
      <w:rFonts w:ascii="Times New Roman" w:hAnsi="Times New Roman" w:eastAsia="仿宋" w:cstheme="minorBidi"/>
      <w:kern w:val="2"/>
      <w:sz w:val="24"/>
    </w:rPr>
  </w:style>
  <w:style w:type="character" w:customStyle="1" w:styleId="58">
    <w:name w:val="P6 正文 Char"/>
    <w:basedOn w:val="23"/>
    <w:link w:val="57"/>
    <w:qFormat/>
    <w:uiPriority w:val="0"/>
    <w:rPr>
      <w:rFonts w:ascii="Times New Roman" w:hAnsi="Times New Roman" w:eastAsia="仿宋"/>
      <w:sz w:val="24"/>
    </w:rPr>
  </w:style>
  <w:style w:type="paragraph" w:customStyle="1" w:styleId="59">
    <w:name w:val="远航小四加粗"/>
    <w:basedOn w:val="1"/>
    <w:link w:val="60"/>
    <w:qFormat/>
    <w:uiPriority w:val="0"/>
    <w:pPr>
      <w:topLinePunct/>
      <w:autoSpaceDE/>
      <w:autoSpaceDN/>
      <w:spacing w:before="80" w:beforeLines="0" w:after="80" w:afterLines="0"/>
    </w:pPr>
    <w:rPr>
      <w:rFonts w:ascii="Times New Roman" w:hAnsi="Times New Roman" w:eastAsia="仿宋" w:cs="Times New Roman"/>
      <w:b/>
      <w:kern w:val="2"/>
      <w:sz w:val="24"/>
    </w:rPr>
  </w:style>
  <w:style w:type="character" w:customStyle="1" w:styleId="60">
    <w:name w:val="远航小四加粗 Char"/>
    <w:link w:val="59"/>
    <w:qFormat/>
    <w:uiPriority w:val="0"/>
    <w:rPr>
      <w:rFonts w:ascii="Times New Roman" w:hAnsi="Times New Roman" w:eastAsia="仿宋" w:cs="Times New Roman"/>
      <w:b/>
      <w:sz w:val="24"/>
    </w:rPr>
  </w:style>
  <w:style w:type="paragraph" w:customStyle="1" w:styleId="61">
    <w:name w:val="P6 表头图尾"/>
    <w:basedOn w:val="1"/>
    <w:link w:val="62"/>
    <w:qFormat/>
    <w:uiPriority w:val="0"/>
    <w:pPr>
      <w:autoSpaceDE/>
      <w:autoSpaceDN/>
      <w:spacing w:before="0" w:beforeLines="0" w:after="0" w:afterLines="0"/>
      <w:ind w:firstLine="0" w:firstLineChars="0"/>
      <w:jc w:val="center"/>
    </w:pPr>
    <w:rPr>
      <w:rFonts w:ascii="Times New Roman" w:hAnsi="Times New Roman" w:eastAsia="仿宋" w:cstheme="minorBidi"/>
      <w:b/>
      <w:kern w:val="2"/>
      <w:sz w:val="22"/>
    </w:rPr>
  </w:style>
  <w:style w:type="character" w:customStyle="1" w:styleId="62">
    <w:name w:val="P6 表头图尾 Char"/>
    <w:basedOn w:val="23"/>
    <w:link w:val="61"/>
    <w:qFormat/>
    <w:uiPriority w:val="0"/>
    <w:rPr>
      <w:rFonts w:ascii="Times New Roman" w:hAnsi="Times New Roman" w:eastAsia="仿宋"/>
      <w:b/>
      <w:sz w:val="22"/>
    </w:rPr>
  </w:style>
  <w:style w:type="paragraph" w:customStyle="1" w:styleId="63">
    <w:name w:val="A4 四级标题"/>
    <w:basedOn w:val="1"/>
    <w:link w:val="64"/>
    <w:qFormat/>
    <w:uiPriority w:val="0"/>
    <w:pPr>
      <w:keepNext/>
      <w:keepLines/>
      <w:autoSpaceDE/>
      <w:autoSpaceDN/>
      <w:spacing w:before="156" w:after="156" w:line="377" w:lineRule="auto"/>
      <w:ind w:firstLine="0" w:firstLineChars="0"/>
      <w:outlineLvl w:val="3"/>
    </w:pPr>
    <w:rPr>
      <w:rFonts w:ascii="Times New Roman" w:hAnsi="Times New Roman" w:eastAsia="仿宋" w:cstheme="minorBidi"/>
      <w:b/>
      <w:kern w:val="2"/>
      <w:sz w:val="24"/>
    </w:rPr>
  </w:style>
  <w:style w:type="character" w:customStyle="1" w:styleId="64">
    <w:name w:val="A4 四级标题 Char"/>
    <w:basedOn w:val="23"/>
    <w:link w:val="63"/>
    <w:qFormat/>
    <w:uiPriority w:val="0"/>
    <w:rPr>
      <w:rFonts w:ascii="Times New Roman" w:hAnsi="Times New Roman" w:eastAsia="仿宋"/>
      <w:b/>
      <w:sz w:val="24"/>
    </w:rPr>
  </w:style>
  <w:style w:type="character" w:customStyle="1" w:styleId="65">
    <w:name w:val="apple-converted-space"/>
    <w:qFormat/>
    <w:uiPriority w:val="0"/>
  </w:style>
  <w:style w:type="character" w:customStyle="1" w:styleId="66">
    <w:name w:val="Unresolved Mention"/>
    <w:basedOn w:val="2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customXml" Target="../customXml/item1.xml"/><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emf"/><Relationship Id="rId30" Type="http://schemas.openxmlformats.org/officeDocument/2006/relationships/image" Target="media/image15.wmf"/><Relationship Id="rId3" Type="http://schemas.openxmlformats.org/officeDocument/2006/relationships/footnotes" Target="footnotes.xml"/><Relationship Id="rId29" Type="http://schemas.openxmlformats.org/officeDocument/2006/relationships/oleObject" Target="embeddings/oleObject6.bin"/><Relationship Id="rId28" Type="http://schemas.openxmlformats.org/officeDocument/2006/relationships/image" Target="media/image14.wmf"/><Relationship Id="rId27" Type="http://schemas.openxmlformats.org/officeDocument/2006/relationships/oleObject" Target="embeddings/oleObject5.bin"/><Relationship Id="rId26" Type="http://schemas.openxmlformats.org/officeDocument/2006/relationships/image" Target="media/image13.wmf"/><Relationship Id="rId25" Type="http://schemas.openxmlformats.org/officeDocument/2006/relationships/oleObject" Target="embeddings/oleObject4.bin"/><Relationship Id="rId24" Type="http://schemas.openxmlformats.org/officeDocument/2006/relationships/image" Target="media/image12.wmf"/><Relationship Id="rId23" Type="http://schemas.openxmlformats.org/officeDocument/2006/relationships/oleObject" Target="embeddings/oleObject3.bin"/><Relationship Id="rId22" Type="http://schemas.openxmlformats.org/officeDocument/2006/relationships/image" Target="media/image11.wmf"/><Relationship Id="rId21" Type="http://schemas.openxmlformats.org/officeDocument/2006/relationships/oleObject" Target="embeddings/oleObject2.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C87B5D-C026-4AC7-BF0A-7F81A8CFB259}">
  <ds:schemaRefs/>
</ds:datastoreItem>
</file>

<file path=docProps/app.xml><?xml version="1.0" encoding="utf-8"?>
<Properties xmlns="http://schemas.openxmlformats.org/officeDocument/2006/extended-properties" xmlns:vt="http://schemas.openxmlformats.org/officeDocument/2006/docPropsVTypes">
  <Template>Normal.dotm</Template>
  <Pages>125</Pages>
  <Words>10587</Words>
  <Characters>60352</Characters>
  <Lines>502</Lines>
  <Paragraphs>141</Paragraphs>
  <TotalTime>0</TotalTime>
  <ScaleCrop>false</ScaleCrop>
  <LinksUpToDate>false</LinksUpToDate>
  <CharactersWithSpaces>70798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2023-07-24T08:03:00Z</dcterms:created>
  <dc:creator>Administrator</dc:creator>
  <cp:lastModifiedBy>林锕</cp:lastModifiedBy>
  <dcterms:modified xsi:type="dcterms:W3CDTF">2023-07-30T22:16:47Z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6ED12918B53A4AE49EFBC935B33981C6_12</vt:lpwstr>
  </property>
</Properties>
</file>