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pacing w:before="156" w:after="156"/>
        <w:ind w:left="0" w:leftChars="0" w:firstLine="0" w:firstLineChars="0"/>
        <w:jc w:val="center"/>
        <w:rPr>
          <w:rFonts w:ascii="楷体" w:hAnsi="楷体" w:eastAsia="楷体"/>
          <w:b/>
          <w:sz w:val="36"/>
          <w:szCs w:val="36"/>
        </w:rPr>
      </w:pPr>
      <w:bookmarkStart w:id="0" w:name="_Hlk140661555"/>
      <w:bookmarkEnd w:id="0"/>
      <w:r>
        <w:rPr>
          <w:rFonts w:ascii="楷体" w:hAnsi="楷体" w:eastAsia="楷体"/>
        </w:rPr>
        <w:drawing>
          <wp:anchor distT="0" distB="0" distL="0" distR="0" simplePos="0" relativeHeight="251663360" behindDoc="0" locked="0" layoutInCell="1" allowOverlap="1">
            <wp:simplePos x="0" y="0"/>
            <wp:positionH relativeFrom="page">
              <wp:posOffset>1196340</wp:posOffset>
            </wp:positionH>
            <wp:positionV relativeFrom="paragraph">
              <wp:posOffset>140335</wp:posOffset>
            </wp:positionV>
            <wp:extent cx="695325" cy="685800"/>
            <wp:effectExtent l="0" t="0" r="3175"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2" cstate="print"/>
                    <a:stretch>
                      <a:fillRect/>
                    </a:stretch>
                  </pic:blipFill>
                  <pic:spPr>
                    <a:xfrm>
                      <a:off x="0" y="0"/>
                      <a:ext cx="695325" cy="685533"/>
                    </a:xfrm>
                    <a:prstGeom prst="rect">
                      <a:avLst/>
                    </a:prstGeom>
                  </pic:spPr>
                </pic:pic>
              </a:graphicData>
            </a:graphic>
          </wp:anchor>
        </w:drawing>
      </w:r>
      <w:r>
        <w:rPr>
          <w:rFonts w:ascii="楷体" w:hAnsi="楷体" w:eastAsia="楷体"/>
          <w:b/>
          <w:sz w:val="36"/>
          <w:szCs w:val="36"/>
        </w:rPr>
        <w:t>2023 “</w:t>
      </w:r>
      <w:r>
        <w:rPr>
          <w:rFonts w:hint="eastAsia" w:ascii="楷体" w:hAnsi="楷体" w:eastAsia="楷体"/>
          <w:b/>
          <w:sz w:val="36"/>
          <w:szCs w:val="36"/>
          <w:lang w:val="en-US" w:eastAsia="zh-CN"/>
        </w:rPr>
        <w:t>华亿股份杯</w:t>
      </w:r>
      <w:r>
        <w:rPr>
          <w:rFonts w:ascii="楷体" w:hAnsi="楷体" w:eastAsia="楷体"/>
          <w:b/>
          <w:sz w:val="36"/>
          <w:szCs w:val="36"/>
        </w:rPr>
        <w:t>”</w:t>
      </w:r>
    </w:p>
    <w:p>
      <w:pPr>
        <w:pStyle w:val="6"/>
        <w:spacing w:before="156" w:after="156"/>
        <w:ind w:left="0" w:leftChars="0" w:firstLine="0" w:firstLineChars="0"/>
        <w:jc w:val="center"/>
        <w:outlineLvl w:val="0"/>
        <w:rPr>
          <w:rFonts w:ascii="楷体" w:hAnsi="楷体" w:eastAsia="楷体"/>
          <w:b/>
          <w:sz w:val="36"/>
          <w:szCs w:val="36"/>
        </w:rPr>
      </w:pPr>
      <w:bookmarkStart w:id="1" w:name="_Toc23377"/>
      <w:bookmarkStart w:id="2" w:name="_Toc21352"/>
      <w:bookmarkStart w:id="3" w:name="_Toc17817"/>
      <w:bookmarkStart w:id="4" w:name="_Toc3755"/>
      <w:r>
        <w:rPr>
          <w:rFonts w:hint="eastAsia" w:ascii="楷体" w:hAnsi="楷体" w:eastAsia="楷体"/>
          <w:b/>
          <w:sz w:val="36"/>
          <w:szCs w:val="36"/>
        </w:rPr>
        <w:t>第十</w:t>
      </w:r>
      <w:r>
        <w:rPr>
          <w:rFonts w:hint="eastAsia" w:ascii="楷体" w:hAnsi="楷体" w:eastAsia="楷体"/>
          <w:b/>
          <w:sz w:val="36"/>
          <w:szCs w:val="36"/>
          <w:lang w:val="en-US" w:eastAsia="zh-CN"/>
        </w:rPr>
        <w:t>七</w:t>
      </w:r>
      <w:r>
        <w:rPr>
          <w:rFonts w:hint="eastAsia" w:ascii="楷体" w:hAnsi="楷体" w:eastAsia="楷体"/>
          <w:b/>
          <w:sz w:val="36"/>
          <w:szCs w:val="36"/>
        </w:rPr>
        <w:t>届</w:t>
      </w:r>
      <w:r>
        <w:rPr>
          <w:rFonts w:hint="eastAsia" w:ascii="楷体" w:hAnsi="楷体" w:eastAsia="楷体"/>
          <w:b/>
          <w:sz w:val="36"/>
          <w:szCs w:val="36"/>
          <w:lang w:val="en-US" w:eastAsia="zh-CN"/>
        </w:rPr>
        <w:t>全国</w:t>
      </w:r>
      <w:r>
        <w:rPr>
          <w:rFonts w:hint="eastAsia" w:ascii="楷体" w:hAnsi="楷体" w:eastAsia="楷体"/>
          <w:b/>
          <w:sz w:val="36"/>
          <w:szCs w:val="36"/>
        </w:rPr>
        <w:t>大学生</w:t>
      </w:r>
      <w:bookmarkStart w:id="90" w:name="_GoBack"/>
      <w:bookmarkEnd w:id="90"/>
      <w:r>
        <w:rPr>
          <w:rFonts w:hint="eastAsia" w:ascii="楷体" w:hAnsi="楷体" w:eastAsia="楷体"/>
          <w:b/>
          <w:sz w:val="36"/>
          <w:szCs w:val="36"/>
        </w:rPr>
        <w:t>化工设计竞赛</w:t>
      </w:r>
      <w:bookmarkEnd w:id="1"/>
      <w:bookmarkEnd w:id="2"/>
      <w:bookmarkEnd w:id="3"/>
      <w:bookmarkEnd w:id="4"/>
    </w:p>
    <w:p>
      <w:pPr>
        <w:pStyle w:val="6"/>
        <w:spacing w:before="156" w:after="156"/>
        <w:jc w:val="center"/>
        <w:rPr>
          <w:rFonts w:ascii="宋体" w:hAnsi="宋体"/>
          <w:sz w:val="20"/>
        </w:rPr>
      </w:pPr>
    </w:p>
    <w:p>
      <w:pPr>
        <w:pStyle w:val="6"/>
        <w:spacing w:before="156" w:after="156"/>
        <w:ind w:left="0" w:leftChars="0" w:firstLine="0" w:firstLineChars="0"/>
        <w:jc w:val="center"/>
        <w:outlineLvl w:val="0"/>
        <w:rPr>
          <w:rFonts w:ascii="楷体" w:hAnsi="楷体" w:eastAsia="楷体"/>
          <w:b/>
          <w:sz w:val="48"/>
          <w:szCs w:val="48"/>
        </w:rPr>
      </w:pPr>
      <w:bookmarkStart w:id="5" w:name="_Toc11633"/>
      <w:bookmarkStart w:id="6" w:name="_Toc25062"/>
      <w:r>
        <w:rPr>
          <w:rFonts w:hint="eastAsia" w:ascii="楷体" w:hAnsi="楷体" w:eastAsia="楷体"/>
          <w:b/>
          <w:sz w:val="48"/>
          <w:szCs w:val="48"/>
        </w:rPr>
        <w:t>重庆华峰化工有限公司</w:t>
      </w:r>
      <w:bookmarkEnd w:id="5"/>
      <w:bookmarkEnd w:id="6"/>
    </w:p>
    <w:p>
      <w:pPr>
        <w:pStyle w:val="6"/>
        <w:spacing w:before="156" w:after="156"/>
        <w:ind w:left="0" w:leftChars="0" w:firstLine="0" w:firstLineChars="0"/>
        <w:jc w:val="center"/>
        <w:outlineLvl w:val="0"/>
        <w:rPr>
          <w:rFonts w:ascii="楷体" w:hAnsi="楷体" w:eastAsia="楷体"/>
          <w:b/>
          <w:sz w:val="48"/>
          <w:szCs w:val="48"/>
        </w:rPr>
      </w:pPr>
      <w:bookmarkStart w:id="7" w:name="_Toc10427"/>
      <w:bookmarkStart w:id="8" w:name="_Toc2331"/>
      <w:r>
        <w:rPr>
          <w:rFonts w:hint="eastAsia" w:ascii="楷体" w:hAnsi="楷体" w:eastAsia="楷体"/>
          <w:b/>
          <w:sz w:val="48"/>
          <w:szCs w:val="48"/>
          <w:lang w:val="en-US" w:eastAsia="zh-CN"/>
        </w:rPr>
        <w:t>10</w:t>
      </w:r>
      <w:r>
        <w:rPr>
          <w:rFonts w:ascii="楷体" w:hAnsi="楷体" w:eastAsia="楷体"/>
          <w:b/>
          <w:sz w:val="48"/>
          <w:szCs w:val="48"/>
        </w:rPr>
        <w:t>.5</w:t>
      </w:r>
      <w:r>
        <w:rPr>
          <w:rFonts w:hint="eastAsia" w:ascii="楷体" w:hAnsi="楷体" w:eastAsia="楷体"/>
          <w:b/>
          <w:sz w:val="48"/>
          <w:szCs w:val="48"/>
        </w:rPr>
        <w:t>万吨/年</w:t>
      </w:r>
      <w:r>
        <w:rPr>
          <w:rFonts w:hint="eastAsia" w:ascii="楷体" w:hAnsi="楷体" w:eastAsia="楷体"/>
          <w:b/>
          <w:sz w:val="48"/>
          <w:szCs w:val="48"/>
          <w:lang w:val="en-US" w:eastAsia="zh-CN"/>
        </w:rPr>
        <w:t>99.99wt%</w:t>
      </w:r>
      <w:r>
        <w:rPr>
          <w:rFonts w:hint="eastAsia" w:ascii="楷体" w:hAnsi="楷体" w:eastAsia="楷体"/>
          <w:b/>
          <w:sz w:val="48"/>
          <w:szCs w:val="48"/>
        </w:rPr>
        <w:t>己二腈生产项目</w:t>
      </w:r>
      <w:bookmarkEnd w:id="7"/>
      <w:bookmarkEnd w:id="8"/>
    </w:p>
    <w:p>
      <w:pPr>
        <w:pStyle w:val="6"/>
        <w:spacing w:before="156" w:after="156"/>
        <w:ind w:left="0" w:leftChars="0" w:firstLine="0" w:firstLineChars="0"/>
        <w:jc w:val="center"/>
        <w:rPr>
          <w:rFonts w:ascii="楷体" w:hAnsi="楷体" w:eastAsia="楷体"/>
          <w:b/>
          <w:sz w:val="72"/>
          <w:szCs w:val="72"/>
        </w:rPr>
      </w:pPr>
      <w:r>
        <w:rPr>
          <w:rFonts w:ascii="楷体" w:hAnsi="楷体" w:eastAsia="楷体"/>
          <w:b/>
          <w:sz w:val="48"/>
          <w:szCs w:val="48"/>
        </w:rPr>
        <w:drawing>
          <wp:anchor distT="0" distB="0" distL="0" distR="0" simplePos="0" relativeHeight="251660288" behindDoc="0" locked="0" layoutInCell="1" allowOverlap="1">
            <wp:simplePos x="0" y="0"/>
            <wp:positionH relativeFrom="page">
              <wp:align>right</wp:align>
            </wp:positionH>
            <wp:positionV relativeFrom="paragraph">
              <wp:posOffset>610870</wp:posOffset>
            </wp:positionV>
            <wp:extent cx="7559040" cy="4065270"/>
            <wp:effectExtent l="0" t="0" r="10160" b="1143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3" cstate="print"/>
                    <a:stretch>
                      <a:fillRect/>
                    </a:stretch>
                  </pic:blipFill>
                  <pic:spPr>
                    <a:xfrm>
                      <a:off x="0" y="0"/>
                      <a:ext cx="7573527" cy="4072664"/>
                    </a:xfrm>
                    <a:prstGeom prst="rect">
                      <a:avLst/>
                    </a:prstGeom>
                  </pic:spPr>
                </pic:pic>
              </a:graphicData>
            </a:graphic>
          </wp:anchor>
        </w:drawing>
      </w:r>
      <w:r>
        <w:rPr>
          <w:rFonts w:hint="eastAsia" w:ascii="楷体" w:hAnsi="楷体" w:eastAsia="楷体"/>
          <w:b/>
          <w:sz w:val="72"/>
          <w:szCs w:val="72"/>
          <w:lang w:val="en-US" w:eastAsia="zh-CN"/>
        </w:rPr>
        <w:t>环境影响评价报告</w:t>
      </w:r>
    </w:p>
    <w:p>
      <w:pPr>
        <w:spacing w:before="156" w:after="156"/>
        <w:ind w:left="1759" w:right="1340"/>
        <w:rPr>
          <w:rFonts w:ascii="宋体" w:hAnsi="宋体"/>
          <w:sz w:val="44"/>
        </w:rPr>
      </w:pPr>
    </w:p>
    <w:p>
      <w:pPr>
        <w:spacing w:before="156" w:after="156"/>
        <w:rPr>
          <w:rFonts w:ascii="宋体" w:hAnsi="宋体"/>
        </w:rPr>
      </w:pPr>
    </w:p>
    <w:p>
      <w:pPr>
        <w:widowControl/>
        <w:autoSpaceDE/>
        <w:autoSpaceDN/>
        <w:spacing w:before="156" w:after="156"/>
        <w:rPr>
          <w:rFonts w:ascii="宋体" w:hAnsi="宋体"/>
        </w:rPr>
      </w:pPr>
      <w:r>
        <w:rPr>
          <w:rFonts w:ascii="宋体" w:hAnsi="宋体"/>
        </w:rPr>
        <mc:AlternateContent>
          <mc:Choice Requires="wps">
            <w:drawing>
              <wp:anchor distT="45720" distB="45720" distL="114300" distR="114300" simplePos="0" relativeHeight="251662336" behindDoc="0" locked="0" layoutInCell="1" allowOverlap="1">
                <wp:simplePos x="0" y="0"/>
                <wp:positionH relativeFrom="margin">
                  <wp:posOffset>-870585</wp:posOffset>
                </wp:positionH>
                <wp:positionV relativeFrom="paragraph">
                  <wp:posOffset>2864485</wp:posOffset>
                </wp:positionV>
                <wp:extent cx="7004685" cy="167767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004685" cy="1677670"/>
                        </a:xfrm>
                        <a:prstGeom prst="rect">
                          <a:avLst/>
                        </a:prstGeom>
                        <a:noFill/>
                        <a:ln w="9525">
                          <a:noFill/>
                          <a:miter lim="800000"/>
                        </a:ln>
                      </wps:spPr>
                      <wps:txb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ind w:left="0" w:leftChars="0" w:firstLine="0" w:firstLineChars="0"/>
                              <w:jc w:val="right"/>
                              <w:rPr>
                                <w:rFonts w:ascii="楷体" w:hAnsi="楷体" w:eastAsia="楷体"/>
                                <w:b/>
                                <w:sz w:val="28"/>
                                <w:szCs w:val="28"/>
                              </w:rPr>
                            </w:pPr>
                            <w:r>
                              <w:rPr>
                                <w:rFonts w:hint="eastAsia" w:ascii="楷体" w:hAnsi="楷体" w:eastAsia="楷体"/>
                                <w:b/>
                                <w:sz w:val="28"/>
                                <w:szCs w:val="28"/>
                              </w:rPr>
                              <w:t>指导教师：伍艳辉 李明</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68.55pt;margin-top:225.55pt;height:132.1pt;width:551.55pt;mso-position-horizontal-relative:margin;mso-wrap-distance-bottom:3.6pt;mso-wrap-distance-left:9pt;mso-wrap-distance-right:9pt;mso-wrap-distance-top:3.6pt;z-index:251662336;mso-width-relative:page;mso-height-relative:page;" filled="f" stroked="f" coordsize="21600,21600" o:gfxdata="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7qeidkAAAAMAQAADwAAAAAAAAABACAAAAAiAAAAZHJzL2Rvd25yZXYueG1sUEsBAhQAFAAA&#10;AAgAh07iQDk+Dy0nAgAALAQAAA4AAAAAAAAAAQAgAAAAKAEAAGRycy9lMm9Eb2MueG1sUEsFBgAA&#10;AAAGAAYAWQEAAMEFAAAAAA==&#10;">
                <v:fill on="f" focussize="0,0"/>
                <v:stroke on="f" miterlimit="8" joinstyle="miter"/>
                <v:imagedata o:title=""/>
                <o:lock v:ext="edit" aspectratio="f"/>
                <v:textbo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ind w:left="0" w:leftChars="0" w:firstLine="0" w:firstLineChars="0"/>
                        <w:jc w:val="right"/>
                        <w:rPr>
                          <w:rFonts w:ascii="楷体" w:hAnsi="楷体" w:eastAsia="楷体"/>
                          <w:b/>
                          <w:sz w:val="28"/>
                          <w:szCs w:val="28"/>
                        </w:rPr>
                      </w:pPr>
                      <w:r>
                        <w:rPr>
                          <w:rFonts w:hint="eastAsia" w:ascii="楷体" w:hAnsi="楷体" w:eastAsia="楷体"/>
                          <w:b/>
                          <w:sz w:val="28"/>
                          <w:szCs w:val="28"/>
                        </w:rPr>
                        <w:t>指导教师：伍艳辉 李明</w:t>
                      </w:r>
                    </w:p>
                  </w:txbxContent>
                </v:textbox>
                <w10:wrap type="square"/>
              </v:shape>
            </w:pict>
          </mc:Fallback>
        </mc:AlternateContent>
      </w:r>
      <w:r>
        <w:rPr>
          <w:rFonts w:ascii="宋体" w:hAnsi="宋体"/>
        </w:rPr>
        <mc:AlternateContent>
          <mc:Choice Requires="wps">
            <w:drawing>
              <wp:anchor distT="0" distB="0" distL="114300" distR="114300" simplePos="0" relativeHeight="251659264" behindDoc="0" locked="0" layoutInCell="1" allowOverlap="1">
                <wp:simplePos x="0" y="0"/>
                <wp:positionH relativeFrom="column">
                  <wp:posOffset>5009515</wp:posOffset>
                </wp:positionH>
                <wp:positionV relativeFrom="paragraph">
                  <wp:posOffset>3071495</wp:posOffset>
                </wp:positionV>
                <wp:extent cx="739775" cy="1163320"/>
                <wp:effectExtent l="0" t="0" r="9525" b="5080"/>
                <wp:wrapNone/>
                <wp:docPr id="1081648272" name="AutoShape 4"/>
                <wp:cNvGraphicFramePr/>
                <a:graphic xmlns:a="http://schemas.openxmlformats.org/drawingml/2006/main">
                  <a:graphicData uri="http://schemas.microsoft.com/office/word/2010/wordprocessingShape">
                    <wps:wsp>
                      <wps:cNvSpPr/>
                      <wps:spPr bwMode="auto">
                        <a:xfrm>
                          <a:off x="0" y="0"/>
                          <a:ext cx="739775" cy="1163320"/>
                        </a:xfrm>
                        <a:custGeom>
                          <a:avLst/>
                          <a:gdLst>
                            <a:gd name="T0" fmla="+- 0 9747 9691"/>
                            <a:gd name="T1" fmla="*/ T0 w 1165"/>
                            <a:gd name="T2" fmla="+- 0 13121 12372"/>
                            <a:gd name="T3" fmla="*/ 13121 h 1832"/>
                            <a:gd name="T4" fmla="+- 0 9706 9691"/>
                            <a:gd name="T5" fmla="*/ T4 w 1165"/>
                            <a:gd name="T6" fmla="+- 0 13134 12372"/>
                            <a:gd name="T7" fmla="*/ 13134 h 1832"/>
                            <a:gd name="T8" fmla="+- 0 9717 9691"/>
                            <a:gd name="T9" fmla="*/ T8 w 1165"/>
                            <a:gd name="T10" fmla="+- 0 13087 12372"/>
                            <a:gd name="T11" fmla="*/ 13087 h 1832"/>
                            <a:gd name="T12" fmla="+- 0 9745 9691"/>
                            <a:gd name="T13" fmla="*/ T12 w 1165"/>
                            <a:gd name="T14" fmla="+- 0 13083 12372"/>
                            <a:gd name="T15" fmla="*/ 13083 h 1832"/>
                            <a:gd name="T16" fmla="+- 0 9694 9691"/>
                            <a:gd name="T17" fmla="*/ T16 w 1165"/>
                            <a:gd name="T18" fmla="+- 0 13134 12372"/>
                            <a:gd name="T19" fmla="*/ 13134 h 1832"/>
                            <a:gd name="T20" fmla="+- 0 9749 9691"/>
                            <a:gd name="T21" fmla="*/ T20 w 1165"/>
                            <a:gd name="T22" fmla="+- 0 13139 12372"/>
                            <a:gd name="T23" fmla="*/ 13139 h 1832"/>
                            <a:gd name="T24" fmla="+- 0 9777 9691"/>
                            <a:gd name="T25" fmla="*/ T24 w 1165"/>
                            <a:gd name="T26" fmla="+- 0 13109 12372"/>
                            <a:gd name="T27" fmla="*/ 13109 h 1832"/>
                            <a:gd name="T28" fmla="+- 0 9812 9691"/>
                            <a:gd name="T29" fmla="*/ T28 w 1165"/>
                            <a:gd name="T30" fmla="+- 0 13149 12372"/>
                            <a:gd name="T31" fmla="*/ 13149 h 1832"/>
                            <a:gd name="T32" fmla="+- 0 9719 9691"/>
                            <a:gd name="T33" fmla="*/ T32 w 1165"/>
                            <a:gd name="T34" fmla="+- 0 13060 12372"/>
                            <a:gd name="T35" fmla="*/ 13060 h 1832"/>
                            <a:gd name="T36" fmla="+- 0 9995 9691"/>
                            <a:gd name="T37" fmla="*/ T36 w 1165"/>
                            <a:gd name="T38" fmla="+- 0 12383 12372"/>
                            <a:gd name="T39" fmla="*/ 12383 h 1832"/>
                            <a:gd name="T40" fmla="+- 0 9977 9691"/>
                            <a:gd name="T41" fmla="*/ T40 w 1165"/>
                            <a:gd name="T42" fmla="+- 0 12435 12372"/>
                            <a:gd name="T43" fmla="*/ 12435 h 1832"/>
                            <a:gd name="T44" fmla="+- 0 9948 9691"/>
                            <a:gd name="T45" fmla="*/ T44 w 1165"/>
                            <a:gd name="T46" fmla="+- 0 12392 12372"/>
                            <a:gd name="T47" fmla="*/ 12392 h 1832"/>
                            <a:gd name="T48" fmla="+- 0 9992 9691"/>
                            <a:gd name="T49" fmla="*/ T48 w 1165"/>
                            <a:gd name="T50" fmla="+- 0 12399 12372"/>
                            <a:gd name="T51" fmla="*/ 12399 h 1832"/>
                            <a:gd name="T52" fmla="+- 0 9938 9691"/>
                            <a:gd name="T53" fmla="*/ T52 w 1165"/>
                            <a:gd name="T54" fmla="+- 0 12391 12372"/>
                            <a:gd name="T55" fmla="*/ 12391 h 1832"/>
                            <a:gd name="T56" fmla="+- 0 9979 9691"/>
                            <a:gd name="T57" fmla="*/ T56 w 1165"/>
                            <a:gd name="T58" fmla="+- 0 12443 12372"/>
                            <a:gd name="T59" fmla="*/ 12443 h 1832"/>
                            <a:gd name="T60" fmla="+- 0 10066 9691"/>
                            <a:gd name="T61" fmla="*/ T60 w 1165"/>
                            <a:gd name="T62" fmla="+- 0 12374 12372"/>
                            <a:gd name="T63" fmla="*/ 12374 h 1832"/>
                            <a:gd name="T64" fmla="+- 0 10023 9691"/>
                            <a:gd name="T65" fmla="*/ T64 w 1165"/>
                            <a:gd name="T66" fmla="+- 0 12441 12372"/>
                            <a:gd name="T67" fmla="*/ 12441 h 1832"/>
                            <a:gd name="T68" fmla="+- 0 10249 9691"/>
                            <a:gd name="T69" fmla="*/ T68 w 1165"/>
                            <a:gd name="T70" fmla="+- 0 13229 12372"/>
                            <a:gd name="T71" fmla="*/ 13229 h 1832"/>
                            <a:gd name="T72" fmla="+- 0 10058 9691"/>
                            <a:gd name="T73" fmla="*/ T72 w 1165"/>
                            <a:gd name="T74" fmla="+- 0 13350 12372"/>
                            <a:gd name="T75" fmla="*/ 13350 h 1832"/>
                            <a:gd name="T76" fmla="+- 0 10283 9691"/>
                            <a:gd name="T77" fmla="*/ T76 w 1165"/>
                            <a:gd name="T78" fmla="+- 0 12885 12372"/>
                            <a:gd name="T79" fmla="*/ 12885 h 1832"/>
                            <a:gd name="T80" fmla="+- 0 10308 9691"/>
                            <a:gd name="T81" fmla="*/ T80 w 1165"/>
                            <a:gd name="T82" fmla="+- 0 13059 12372"/>
                            <a:gd name="T83" fmla="*/ 13059 h 1832"/>
                            <a:gd name="T84" fmla="+- 0 10310 9691"/>
                            <a:gd name="T85" fmla="*/ T84 w 1165"/>
                            <a:gd name="T86" fmla="+- 0 12828 12372"/>
                            <a:gd name="T87" fmla="*/ 12828 h 1832"/>
                            <a:gd name="T88" fmla="+- 0 10279 9691"/>
                            <a:gd name="T89" fmla="*/ T88 w 1165"/>
                            <a:gd name="T90" fmla="+- 0 12811 12372"/>
                            <a:gd name="T91" fmla="*/ 12811 h 1832"/>
                            <a:gd name="T92" fmla="+- 0 10309 9691"/>
                            <a:gd name="T93" fmla="*/ T92 w 1165"/>
                            <a:gd name="T94" fmla="+- 0 12808 12372"/>
                            <a:gd name="T95" fmla="*/ 12808 h 1832"/>
                            <a:gd name="T96" fmla="+- 0 10317 9691"/>
                            <a:gd name="T97" fmla="*/ T96 w 1165"/>
                            <a:gd name="T98" fmla="+- 0 12803 12372"/>
                            <a:gd name="T99" fmla="*/ 12803 h 1832"/>
                            <a:gd name="T100" fmla="+- 0 10273 9691"/>
                            <a:gd name="T101" fmla="*/ T100 w 1165"/>
                            <a:gd name="T102" fmla="+- 0 12805 12372"/>
                            <a:gd name="T103" fmla="*/ 12805 h 1832"/>
                            <a:gd name="T104" fmla="+- 0 10290 9691"/>
                            <a:gd name="T105" fmla="*/ T104 w 1165"/>
                            <a:gd name="T106" fmla="+- 0 12833 12372"/>
                            <a:gd name="T107" fmla="*/ 12833 h 1832"/>
                            <a:gd name="T108" fmla="+- 0 10313 9691"/>
                            <a:gd name="T109" fmla="*/ T108 w 1165"/>
                            <a:gd name="T110" fmla="+- 0 12852 12372"/>
                            <a:gd name="T111" fmla="*/ 12852 h 1832"/>
                            <a:gd name="T112" fmla="+- 0 10280 9691"/>
                            <a:gd name="T113" fmla="*/ T112 w 1165"/>
                            <a:gd name="T114" fmla="+- 0 12852 12372"/>
                            <a:gd name="T115" fmla="*/ 12852 h 1832"/>
                            <a:gd name="T116" fmla="+- 0 10276 9691"/>
                            <a:gd name="T117" fmla="*/ T116 w 1165"/>
                            <a:gd name="T118" fmla="+- 0 12860 12372"/>
                            <a:gd name="T119" fmla="*/ 12860 h 1832"/>
                            <a:gd name="T120" fmla="+- 0 10320 9691"/>
                            <a:gd name="T121" fmla="*/ T120 w 1165"/>
                            <a:gd name="T122" fmla="+- 0 12858 12372"/>
                            <a:gd name="T123" fmla="*/ 12858 h 1832"/>
                            <a:gd name="T124" fmla="+- 0 10319 9691"/>
                            <a:gd name="T125" fmla="*/ T124 w 1165"/>
                            <a:gd name="T126" fmla="+- 0 13104 12372"/>
                            <a:gd name="T127" fmla="*/ 13104 h 1832"/>
                            <a:gd name="T128" fmla="+- 0 10282 9691"/>
                            <a:gd name="T129" fmla="*/ T128 w 1165"/>
                            <a:gd name="T130" fmla="+- 0 13138 12372"/>
                            <a:gd name="T131" fmla="*/ 13138 h 1832"/>
                            <a:gd name="T132" fmla="+- 0 10283 9691"/>
                            <a:gd name="T133" fmla="*/ T132 w 1165"/>
                            <a:gd name="T134" fmla="+- 0 13089 12372"/>
                            <a:gd name="T135" fmla="*/ 13089 h 1832"/>
                            <a:gd name="T136" fmla="+- 0 10319 9691"/>
                            <a:gd name="T137" fmla="*/ T136 w 1165"/>
                            <a:gd name="T138" fmla="+- 0 13086 12372"/>
                            <a:gd name="T139" fmla="*/ 13086 h 1832"/>
                            <a:gd name="T140" fmla="+- 0 10265 9691"/>
                            <a:gd name="T141" fmla="*/ T140 w 1165"/>
                            <a:gd name="T142" fmla="+- 0 13097 12372"/>
                            <a:gd name="T143" fmla="*/ 13097 h 1832"/>
                            <a:gd name="T144" fmla="+- 0 10306 9691"/>
                            <a:gd name="T145" fmla="*/ T144 w 1165"/>
                            <a:gd name="T146" fmla="+- 0 13149 12372"/>
                            <a:gd name="T147" fmla="*/ 13149 h 1832"/>
                            <a:gd name="T148" fmla="+- 0 10331 9691"/>
                            <a:gd name="T149" fmla="*/ T148 w 1165"/>
                            <a:gd name="T150" fmla="+- 0 14157 12372"/>
                            <a:gd name="T151" fmla="*/ 14157 h 1832"/>
                            <a:gd name="T152" fmla="+- 0 10320 9691"/>
                            <a:gd name="T153" fmla="*/ T152 w 1165"/>
                            <a:gd name="T154" fmla="+- 0 14181 12372"/>
                            <a:gd name="T155" fmla="*/ 14181 h 1832"/>
                            <a:gd name="T156" fmla="+- 0 10277 9691"/>
                            <a:gd name="T157" fmla="*/ T156 w 1165"/>
                            <a:gd name="T158" fmla="+- 0 14182 12372"/>
                            <a:gd name="T159" fmla="*/ 14182 h 1832"/>
                            <a:gd name="T160" fmla="+- 0 10312 9691"/>
                            <a:gd name="T161" fmla="*/ T160 w 1165"/>
                            <a:gd name="T162" fmla="+- 0 14143 12372"/>
                            <a:gd name="T163" fmla="*/ 14143 h 1832"/>
                            <a:gd name="T164" fmla="+- 0 10286 9691"/>
                            <a:gd name="T165" fmla="*/ T164 w 1165"/>
                            <a:gd name="T166" fmla="+- 0 14132 12372"/>
                            <a:gd name="T167" fmla="*/ 14132 h 1832"/>
                            <a:gd name="T168" fmla="+- 0 10279 9691"/>
                            <a:gd name="T169" fmla="*/ T168 w 1165"/>
                            <a:gd name="T170" fmla="+- 0 14200 12372"/>
                            <a:gd name="T171" fmla="*/ 14200 h 1832"/>
                            <a:gd name="T172" fmla="+- 0 10331 9691"/>
                            <a:gd name="T173" fmla="*/ T172 w 1165"/>
                            <a:gd name="T174" fmla="+- 0 14177 12372"/>
                            <a:gd name="T175" fmla="*/ 14177 h 1832"/>
                            <a:gd name="T176" fmla="+- 0 10322 9691"/>
                            <a:gd name="T177" fmla="*/ T176 w 1165"/>
                            <a:gd name="T178" fmla="+- 0 13197 12372"/>
                            <a:gd name="T179" fmla="*/ 13197 h 1832"/>
                            <a:gd name="T180" fmla="+- 0 10284 9691"/>
                            <a:gd name="T181" fmla="*/ T180 w 1165"/>
                            <a:gd name="T182" fmla="+- 0 13231 12372"/>
                            <a:gd name="T183" fmla="*/ 13231 h 1832"/>
                            <a:gd name="T184" fmla="+- 0 10286 9691"/>
                            <a:gd name="T185" fmla="*/ T184 w 1165"/>
                            <a:gd name="T186" fmla="+- 0 13181 12372"/>
                            <a:gd name="T187" fmla="*/ 13181 h 1832"/>
                            <a:gd name="T188" fmla="+- 0 10322 9691"/>
                            <a:gd name="T189" fmla="*/ T188 w 1165"/>
                            <a:gd name="T190" fmla="+- 0 13179 12372"/>
                            <a:gd name="T191" fmla="*/ 13179 h 1832"/>
                            <a:gd name="T192" fmla="+- 0 10265 9691"/>
                            <a:gd name="T193" fmla="*/ T192 w 1165"/>
                            <a:gd name="T194" fmla="+- 0 13217 12372"/>
                            <a:gd name="T195" fmla="*/ 13217 h 1832"/>
                            <a:gd name="T196" fmla="+- 0 10321 9691"/>
                            <a:gd name="T197" fmla="*/ T196 w 1165"/>
                            <a:gd name="T198" fmla="+- 0 13234 12372"/>
                            <a:gd name="T199" fmla="*/ 13234 h 1832"/>
                            <a:gd name="T200" fmla="+- 0 10387 9691"/>
                            <a:gd name="T201" fmla="*/ T200 w 1165"/>
                            <a:gd name="T202" fmla="+- 0 14162 12372"/>
                            <a:gd name="T203" fmla="*/ 14162 h 1832"/>
                            <a:gd name="T204" fmla="+- 0 10387 9691"/>
                            <a:gd name="T205" fmla="*/ T204 w 1165"/>
                            <a:gd name="T206" fmla="+- 0 14170 12372"/>
                            <a:gd name="T207" fmla="*/ 14170 h 1832"/>
                            <a:gd name="T208" fmla="+- 0 10342 9691"/>
                            <a:gd name="T209" fmla="*/ T208 w 1165"/>
                            <a:gd name="T210" fmla="+- 0 12808 12372"/>
                            <a:gd name="T211" fmla="*/ 12808 h 1832"/>
                            <a:gd name="T212" fmla="+- 0 10293 9691"/>
                            <a:gd name="T213" fmla="*/ T212 w 1165"/>
                            <a:gd name="T214" fmla="+- 0 13887 12372"/>
                            <a:gd name="T215" fmla="*/ 13887 h 1832"/>
                            <a:gd name="T216" fmla="+- 0 10544 9691"/>
                            <a:gd name="T217" fmla="*/ T216 w 1165"/>
                            <a:gd name="T218" fmla="+- 0 13342 12372"/>
                            <a:gd name="T219" fmla="*/ 13342 h 1832"/>
                            <a:gd name="T220" fmla="+- 0 10791 9691"/>
                            <a:gd name="T221" fmla="*/ T220 w 1165"/>
                            <a:gd name="T222" fmla="+- 0 13209 12372"/>
                            <a:gd name="T223" fmla="*/ 13209 h 1832"/>
                            <a:gd name="T224" fmla="+- 0 10608 9691"/>
                            <a:gd name="T225" fmla="*/ T224 w 1165"/>
                            <a:gd name="T226" fmla="+- 0 12687 12372"/>
                            <a:gd name="T227" fmla="*/ 12687 h 1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165" h="1832">
                              <a:moveTo>
                                <a:pt x="66" y="732"/>
                              </a:moveTo>
                              <a:lnTo>
                                <a:pt x="63" y="725"/>
                              </a:lnTo>
                              <a:lnTo>
                                <a:pt x="59" y="719"/>
                              </a:lnTo>
                              <a:lnTo>
                                <a:pt x="57" y="715"/>
                              </a:lnTo>
                              <a:lnTo>
                                <a:pt x="56" y="715"/>
                              </a:lnTo>
                              <a:lnTo>
                                <a:pt x="56" y="734"/>
                              </a:lnTo>
                              <a:lnTo>
                                <a:pt x="56" y="749"/>
                              </a:lnTo>
                              <a:lnTo>
                                <a:pt x="55" y="756"/>
                              </a:lnTo>
                              <a:lnTo>
                                <a:pt x="51" y="762"/>
                              </a:lnTo>
                              <a:lnTo>
                                <a:pt x="47" y="767"/>
                              </a:lnTo>
                              <a:lnTo>
                                <a:pt x="41" y="770"/>
                              </a:lnTo>
                              <a:lnTo>
                                <a:pt x="25" y="770"/>
                              </a:lnTo>
                              <a:lnTo>
                                <a:pt x="19" y="768"/>
                              </a:lnTo>
                              <a:lnTo>
                                <a:pt x="15" y="762"/>
                              </a:lnTo>
                              <a:lnTo>
                                <a:pt x="11" y="758"/>
                              </a:lnTo>
                              <a:lnTo>
                                <a:pt x="10" y="752"/>
                              </a:lnTo>
                              <a:lnTo>
                                <a:pt x="10" y="734"/>
                              </a:lnTo>
                              <a:lnTo>
                                <a:pt x="12" y="727"/>
                              </a:lnTo>
                              <a:lnTo>
                                <a:pt x="16" y="723"/>
                              </a:lnTo>
                              <a:lnTo>
                                <a:pt x="20" y="718"/>
                              </a:lnTo>
                              <a:lnTo>
                                <a:pt x="26" y="715"/>
                              </a:lnTo>
                              <a:lnTo>
                                <a:pt x="40" y="715"/>
                              </a:lnTo>
                              <a:lnTo>
                                <a:pt x="46" y="718"/>
                              </a:lnTo>
                              <a:lnTo>
                                <a:pt x="50" y="723"/>
                              </a:lnTo>
                              <a:lnTo>
                                <a:pt x="54" y="728"/>
                              </a:lnTo>
                              <a:lnTo>
                                <a:pt x="56" y="734"/>
                              </a:lnTo>
                              <a:lnTo>
                                <a:pt x="56" y="715"/>
                              </a:lnTo>
                              <a:lnTo>
                                <a:pt x="54" y="711"/>
                              </a:lnTo>
                              <a:lnTo>
                                <a:pt x="44" y="707"/>
                              </a:lnTo>
                              <a:lnTo>
                                <a:pt x="21" y="707"/>
                              </a:lnTo>
                              <a:lnTo>
                                <a:pt x="12" y="712"/>
                              </a:lnTo>
                              <a:lnTo>
                                <a:pt x="3" y="726"/>
                              </a:lnTo>
                              <a:lnTo>
                                <a:pt x="0" y="734"/>
                              </a:lnTo>
                              <a:lnTo>
                                <a:pt x="0" y="753"/>
                              </a:lnTo>
                              <a:lnTo>
                                <a:pt x="3" y="762"/>
                              </a:lnTo>
                              <a:lnTo>
                                <a:pt x="8" y="768"/>
                              </a:lnTo>
                              <a:lnTo>
                                <a:pt x="14" y="775"/>
                              </a:lnTo>
                              <a:lnTo>
                                <a:pt x="22" y="779"/>
                              </a:lnTo>
                              <a:lnTo>
                                <a:pt x="44" y="779"/>
                              </a:lnTo>
                              <a:lnTo>
                                <a:pt x="52" y="775"/>
                              </a:lnTo>
                              <a:lnTo>
                                <a:pt x="55" y="770"/>
                              </a:lnTo>
                              <a:lnTo>
                                <a:pt x="58" y="767"/>
                              </a:lnTo>
                              <a:lnTo>
                                <a:pt x="63" y="760"/>
                              </a:lnTo>
                              <a:lnTo>
                                <a:pt x="66" y="752"/>
                              </a:lnTo>
                              <a:lnTo>
                                <a:pt x="66" y="732"/>
                              </a:lnTo>
                              <a:close/>
                              <a:moveTo>
                                <a:pt x="131" y="709"/>
                              </a:moveTo>
                              <a:lnTo>
                                <a:pt x="121" y="709"/>
                              </a:lnTo>
                              <a:lnTo>
                                <a:pt x="121" y="737"/>
                              </a:lnTo>
                              <a:lnTo>
                                <a:pt x="86" y="737"/>
                              </a:lnTo>
                              <a:lnTo>
                                <a:pt x="86" y="709"/>
                              </a:lnTo>
                              <a:lnTo>
                                <a:pt x="77" y="709"/>
                              </a:lnTo>
                              <a:lnTo>
                                <a:pt x="77" y="777"/>
                              </a:lnTo>
                              <a:lnTo>
                                <a:pt x="86" y="777"/>
                              </a:lnTo>
                              <a:lnTo>
                                <a:pt x="86" y="745"/>
                              </a:lnTo>
                              <a:lnTo>
                                <a:pt x="121" y="745"/>
                              </a:lnTo>
                              <a:lnTo>
                                <a:pt x="121" y="777"/>
                              </a:lnTo>
                              <a:lnTo>
                                <a:pt x="131" y="777"/>
                              </a:lnTo>
                              <a:lnTo>
                                <a:pt x="131" y="709"/>
                              </a:lnTo>
                              <a:close/>
                              <a:moveTo>
                                <a:pt x="283" y="90"/>
                              </a:moveTo>
                              <a:lnTo>
                                <a:pt x="274" y="90"/>
                              </a:lnTo>
                              <a:lnTo>
                                <a:pt x="274" y="315"/>
                              </a:lnTo>
                              <a:lnTo>
                                <a:pt x="28" y="456"/>
                              </a:lnTo>
                              <a:lnTo>
                                <a:pt x="28" y="688"/>
                              </a:lnTo>
                              <a:lnTo>
                                <a:pt x="38" y="688"/>
                              </a:lnTo>
                              <a:lnTo>
                                <a:pt x="38" y="462"/>
                              </a:lnTo>
                              <a:lnTo>
                                <a:pt x="283" y="320"/>
                              </a:lnTo>
                              <a:lnTo>
                                <a:pt x="283" y="90"/>
                              </a:lnTo>
                              <a:close/>
                              <a:moveTo>
                                <a:pt x="311" y="25"/>
                              </a:moveTo>
                              <a:lnTo>
                                <a:pt x="309" y="18"/>
                              </a:lnTo>
                              <a:lnTo>
                                <a:pt x="304" y="11"/>
                              </a:lnTo>
                              <a:lnTo>
                                <a:pt x="301" y="8"/>
                              </a:lnTo>
                              <a:lnTo>
                                <a:pt x="301" y="7"/>
                              </a:lnTo>
                              <a:lnTo>
                                <a:pt x="301" y="27"/>
                              </a:lnTo>
                              <a:lnTo>
                                <a:pt x="301" y="42"/>
                              </a:lnTo>
                              <a:lnTo>
                                <a:pt x="300" y="49"/>
                              </a:lnTo>
                              <a:lnTo>
                                <a:pt x="293" y="60"/>
                              </a:lnTo>
                              <a:lnTo>
                                <a:pt x="286" y="63"/>
                              </a:lnTo>
                              <a:lnTo>
                                <a:pt x="270" y="63"/>
                              </a:lnTo>
                              <a:lnTo>
                                <a:pt x="264" y="61"/>
                              </a:lnTo>
                              <a:lnTo>
                                <a:pt x="260" y="55"/>
                              </a:lnTo>
                              <a:lnTo>
                                <a:pt x="257" y="50"/>
                              </a:lnTo>
                              <a:lnTo>
                                <a:pt x="254" y="44"/>
                              </a:lnTo>
                              <a:lnTo>
                                <a:pt x="254" y="27"/>
                              </a:lnTo>
                              <a:lnTo>
                                <a:pt x="257" y="20"/>
                              </a:lnTo>
                              <a:lnTo>
                                <a:pt x="266" y="11"/>
                              </a:lnTo>
                              <a:lnTo>
                                <a:pt x="271" y="8"/>
                              </a:lnTo>
                              <a:lnTo>
                                <a:pt x="286" y="8"/>
                              </a:lnTo>
                              <a:lnTo>
                                <a:pt x="291" y="11"/>
                              </a:lnTo>
                              <a:lnTo>
                                <a:pt x="295" y="16"/>
                              </a:lnTo>
                              <a:lnTo>
                                <a:pt x="300" y="20"/>
                              </a:lnTo>
                              <a:lnTo>
                                <a:pt x="301" y="27"/>
                              </a:lnTo>
                              <a:lnTo>
                                <a:pt x="301" y="7"/>
                              </a:lnTo>
                              <a:lnTo>
                                <a:pt x="298" y="3"/>
                              </a:lnTo>
                              <a:lnTo>
                                <a:pt x="290" y="0"/>
                              </a:lnTo>
                              <a:lnTo>
                                <a:pt x="266" y="0"/>
                              </a:lnTo>
                              <a:lnTo>
                                <a:pt x="258" y="4"/>
                              </a:lnTo>
                              <a:lnTo>
                                <a:pt x="252" y="13"/>
                              </a:lnTo>
                              <a:lnTo>
                                <a:pt x="247" y="19"/>
                              </a:lnTo>
                              <a:lnTo>
                                <a:pt x="245" y="27"/>
                              </a:lnTo>
                              <a:lnTo>
                                <a:pt x="245" y="46"/>
                              </a:lnTo>
                              <a:lnTo>
                                <a:pt x="247" y="54"/>
                              </a:lnTo>
                              <a:lnTo>
                                <a:pt x="253" y="61"/>
                              </a:lnTo>
                              <a:lnTo>
                                <a:pt x="259" y="68"/>
                              </a:lnTo>
                              <a:lnTo>
                                <a:pt x="267" y="71"/>
                              </a:lnTo>
                              <a:lnTo>
                                <a:pt x="288" y="71"/>
                              </a:lnTo>
                              <a:lnTo>
                                <a:pt x="297" y="67"/>
                              </a:lnTo>
                              <a:lnTo>
                                <a:pt x="300" y="63"/>
                              </a:lnTo>
                              <a:lnTo>
                                <a:pt x="303" y="59"/>
                              </a:lnTo>
                              <a:lnTo>
                                <a:pt x="308" y="53"/>
                              </a:lnTo>
                              <a:lnTo>
                                <a:pt x="311" y="44"/>
                              </a:lnTo>
                              <a:lnTo>
                                <a:pt x="311" y="25"/>
                              </a:lnTo>
                              <a:close/>
                              <a:moveTo>
                                <a:pt x="375" y="2"/>
                              </a:moveTo>
                              <a:lnTo>
                                <a:pt x="366" y="2"/>
                              </a:lnTo>
                              <a:lnTo>
                                <a:pt x="366" y="30"/>
                              </a:lnTo>
                              <a:lnTo>
                                <a:pt x="332" y="30"/>
                              </a:lnTo>
                              <a:lnTo>
                                <a:pt x="332" y="2"/>
                              </a:lnTo>
                              <a:lnTo>
                                <a:pt x="322" y="2"/>
                              </a:lnTo>
                              <a:lnTo>
                                <a:pt x="322" y="69"/>
                              </a:lnTo>
                              <a:lnTo>
                                <a:pt x="332" y="69"/>
                              </a:lnTo>
                              <a:lnTo>
                                <a:pt x="332" y="37"/>
                              </a:lnTo>
                              <a:lnTo>
                                <a:pt x="366" y="37"/>
                              </a:lnTo>
                              <a:lnTo>
                                <a:pt x="366" y="69"/>
                              </a:lnTo>
                              <a:lnTo>
                                <a:pt x="375" y="69"/>
                              </a:lnTo>
                              <a:lnTo>
                                <a:pt x="375" y="2"/>
                              </a:lnTo>
                              <a:close/>
                              <a:moveTo>
                                <a:pt x="563" y="865"/>
                              </a:moveTo>
                              <a:lnTo>
                                <a:pt x="558" y="857"/>
                              </a:lnTo>
                              <a:lnTo>
                                <a:pt x="363" y="970"/>
                              </a:lnTo>
                              <a:lnTo>
                                <a:pt x="120" y="830"/>
                              </a:lnTo>
                              <a:lnTo>
                                <a:pt x="115" y="837"/>
                              </a:lnTo>
                              <a:lnTo>
                                <a:pt x="358" y="978"/>
                              </a:lnTo>
                              <a:lnTo>
                                <a:pt x="358" y="1258"/>
                              </a:lnTo>
                              <a:lnTo>
                                <a:pt x="367" y="1258"/>
                              </a:lnTo>
                              <a:lnTo>
                                <a:pt x="367" y="978"/>
                              </a:lnTo>
                              <a:lnTo>
                                <a:pt x="563" y="865"/>
                              </a:lnTo>
                              <a:close/>
                              <a:moveTo>
                                <a:pt x="563" y="428"/>
                              </a:moveTo>
                              <a:lnTo>
                                <a:pt x="362" y="312"/>
                              </a:lnTo>
                              <a:lnTo>
                                <a:pt x="357" y="320"/>
                              </a:lnTo>
                              <a:lnTo>
                                <a:pt x="558" y="436"/>
                              </a:lnTo>
                              <a:lnTo>
                                <a:pt x="563" y="428"/>
                              </a:lnTo>
                              <a:close/>
                              <a:moveTo>
                                <a:pt x="592" y="513"/>
                              </a:moveTo>
                              <a:lnTo>
                                <a:pt x="583" y="513"/>
                              </a:lnTo>
                              <a:lnTo>
                                <a:pt x="583" y="687"/>
                              </a:lnTo>
                              <a:lnTo>
                                <a:pt x="592" y="687"/>
                              </a:lnTo>
                              <a:lnTo>
                                <a:pt x="592" y="513"/>
                              </a:lnTo>
                              <a:close/>
                              <a:moveTo>
                                <a:pt x="626" y="513"/>
                              </a:moveTo>
                              <a:lnTo>
                                <a:pt x="617" y="513"/>
                              </a:lnTo>
                              <a:lnTo>
                                <a:pt x="617" y="687"/>
                              </a:lnTo>
                              <a:lnTo>
                                <a:pt x="626" y="687"/>
                              </a:lnTo>
                              <a:lnTo>
                                <a:pt x="626" y="513"/>
                              </a:lnTo>
                              <a:close/>
                              <a:moveTo>
                                <a:pt x="632" y="468"/>
                              </a:moveTo>
                              <a:lnTo>
                                <a:pt x="629" y="463"/>
                              </a:lnTo>
                              <a:lnTo>
                                <a:pt x="625" y="460"/>
                              </a:lnTo>
                              <a:lnTo>
                                <a:pt x="622" y="458"/>
                              </a:lnTo>
                              <a:lnTo>
                                <a:pt x="619" y="456"/>
                              </a:lnTo>
                              <a:lnTo>
                                <a:pt x="615" y="456"/>
                              </a:lnTo>
                              <a:lnTo>
                                <a:pt x="598" y="452"/>
                              </a:lnTo>
                              <a:lnTo>
                                <a:pt x="595" y="451"/>
                              </a:lnTo>
                              <a:lnTo>
                                <a:pt x="593" y="449"/>
                              </a:lnTo>
                              <a:lnTo>
                                <a:pt x="590" y="448"/>
                              </a:lnTo>
                              <a:lnTo>
                                <a:pt x="588" y="446"/>
                              </a:lnTo>
                              <a:lnTo>
                                <a:pt x="588" y="439"/>
                              </a:lnTo>
                              <a:lnTo>
                                <a:pt x="590" y="436"/>
                              </a:lnTo>
                              <a:lnTo>
                                <a:pt x="592" y="434"/>
                              </a:lnTo>
                              <a:lnTo>
                                <a:pt x="594" y="432"/>
                              </a:lnTo>
                              <a:lnTo>
                                <a:pt x="598" y="431"/>
                              </a:lnTo>
                              <a:lnTo>
                                <a:pt x="610" y="431"/>
                              </a:lnTo>
                              <a:lnTo>
                                <a:pt x="615" y="433"/>
                              </a:lnTo>
                              <a:lnTo>
                                <a:pt x="618" y="436"/>
                              </a:lnTo>
                              <a:lnTo>
                                <a:pt x="619" y="438"/>
                              </a:lnTo>
                              <a:lnTo>
                                <a:pt x="620" y="441"/>
                              </a:lnTo>
                              <a:lnTo>
                                <a:pt x="621" y="444"/>
                              </a:lnTo>
                              <a:lnTo>
                                <a:pt x="629" y="444"/>
                              </a:lnTo>
                              <a:lnTo>
                                <a:pt x="629" y="437"/>
                              </a:lnTo>
                              <a:lnTo>
                                <a:pt x="627" y="431"/>
                              </a:lnTo>
                              <a:lnTo>
                                <a:pt x="626" y="431"/>
                              </a:lnTo>
                              <a:lnTo>
                                <a:pt x="622" y="428"/>
                              </a:lnTo>
                              <a:lnTo>
                                <a:pt x="617" y="424"/>
                              </a:lnTo>
                              <a:lnTo>
                                <a:pt x="611" y="423"/>
                              </a:lnTo>
                              <a:lnTo>
                                <a:pt x="596" y="423"/>
                              </a:lnTo>
                              <a:lnTo>
                                <a:pt x="591" y="425"/>
                              </a:lnTo>
                              <a:lnTo>
                                <a:pt x="586" y="429"/>
                              </a:lnTo>
                              <a:lnTo>
                                <a:pt x="582" y="433"/>
                              </a:lnTo>
                              <a:lnTo>
                                <a:pt x="580" y="438"/>
                              </a:lnTo>
                              <a:lnTo>
                                <a:pt x="580" y="449"/>
                              </a:lnTo>
                              <a:lnTo>
                                <a:pt x="582" y="453"/>
                              </a:lnTo>
                              <a:lnTo>
                                <a:pt x="586" y="456"/>
                              </a:lnTo>
                              <a:lnTo>
                                <a:pt x="588" y="458"/>
                              </a:lnTo>
                              <a:lnTo>
                                <a:pt x="593" y="460"/>
                              </a:lnTo>
                              <a:lnTo>
                                <a:pt x="599" y="461"/>
                              </a:lnTo>
                              <a:lnTo>
                                <a:pt x="608" y="463"/>
                              </a:lnTo>
                              <a:lnTo>
                                <a:pt x="613" y="464"/>
                              </a:lnTo>
                              <a:lnTo>
                                <a:pt x="617" y="465"/>
                              </a:lnTo>
                              <a:lnTo>
                                <a:pt x="619" y="467"/>
                              </a:lnTo>
                              <a:lnTo>
                                <a:pt x="621" y="468"/>
                              </a:lnTo>
                              <a:lnTo>
                                <a:pt x="622" y="471"/>
                              </a:lnTo>
                              <a:lnTo>
                                <a:pt x="622" y="480"/>
                              </a:lnTo>
                              <a:lnTo>
                                <a:pt x="619" y="483"/>
                              </a:lnTo>
                              <a:lnTo>
                                <a:pt x="615" y="485"/>
                              </a:lnTo>
                              <a:lnTo>
                                <a:pt x="612" y="486"/>
                              </a:lnTo>
                              <a:lnTo>
                                <a:pt x="608" y="487"/>
                              </a:lnTo>
                              <a:lnTo>
                                <a:pt x="597" y="487"/>
                              </a:lnTo>
                              <a:lnTo>
                                <a:pt x="592" y="484"/>
                              </a:lnTo>
                              <a:lnTo>
                                <a:pt x="589" y="480"/>
                              </a:lnTo>
                              <a:lnTo>
                                <a:pt x="587" y="477"/>
                              </a:lnTo>
                              <a:lnTo>
                                <a:pt x="586" y="474"/>
                              </a:lnTo>
                              <a:lnTo>
                                <a:pt x="586" y="470"/>
                              </a:lnTo>
                              <a:lnTo>
                                <a:pt x="578" y="470"/>
                              </a:lnTo>
                              <a:lnTo>
                                <a:pt x="578" y="477"/>
                              </a:lnTo>
                              <a:lnTo>
                                <a:pt x="580" y="484"/>
                              </a:lnTo>
                              <a:lnTo>
                                <a:pt x="585" y="488"/>
                              </a:lnTo>
                              <a:lnTo>
                                <a:pt x="589" y="492"/>
                              </a:lnTo>
                              <a:lnTo>
                                <a:pt x="596" y="494"/>
                              </a:lnTo>
                              <a:lnTo>
                                <a:pt x="612" y="494"/>
                              </a:lnTo>
                              <a:lnTo>
                                <a:pt x="617" y="492"/>
                              </a:lnTo>
                              <a:lnTo>
                                <a:pt x="623" y="489"/>
                              </a:lnTo>
                              <a:lnTo>
                                <a:pt x="628" y="487"/>
                              </a:lnTo>
                              <a:lnTo>
                                <a:pt x="629" y="486"/>
                              </a:lnTo>
                              <a:lnTo>
                                <a:pt x="632" y="481"/>
                              </a:lnTo>
                              <a:lnTo>
                                <a:pt x="632" y="468"/>
                              </a:lnTo>
                              <a:close/>
                              <a:moveTo>
                                <a:pt x="637" y="731"/>
                              </a:moveTo>
                              <a:lnTo>
                                <a:pt x="635" y="724"/>
                              </a:lnTo>
                              <a:lnTo>
                                <a:pt x="631" y="717"/>
                              </a:lnTo>
                              <a:lnTo>
                                <a:pt x="628" y="714"/>
                              </a:lnTo>
                              <a:lnTo>
                                <a:pt x="628" y="732"/>
                              </a:lnTo>
                              <a:lnTo>
                                <a:pt x="628" y="748"/>
                              </a:lnTo>
                              <a:lnTo>
                                <a:pt x="626" y="755"/>
                              </a:lnTo>
                              <a:lnTo>
                                <a:pt x="622" y="760"/>
                              </a:lnTo>
                              <a:lnTo>
                                <a:pt x="619" y="766"/>
                              </a:lnTo>
                              <a:lnTo>
                                <a:pt x="613" y="769"/>
                              </a:lnTo>
                              <a:lnTo>
                                <a:pt x="596" y="769"/>
                              </a:lnTo>
                              <a:lnTo>
                                <a:pt x="591" y="766"/>
                              </a:lnTo>
                              <a:lnTo>
                                <a:pt x="586" y="761"/>
                              </a:lnTo>
                              <a:lnTo>
                                <a:pt x="583" y="756"/>
                              </a:lnTo>
                              <a:lnTo>
                                <a:pt x="581" y="750"/>
                              </a:lnTo>
                              <a:lnTo>
                                <a:pt x="581" y="733"/>
                              </a:lnTo>
                              <a:lnTo>
                                <a:pt x="583" y="726"/>
                              </a:lnTo>
                              <a:lnTo>
                                <a:pt x="588" y="721"/>
                              </a:lnTo>
                              <a:lnTo>
                                <a:pt x="592" y="717"/>
                              </a:lnTo>
                              <a:lnTo>
                                <a:pt x="598" y="714"/>
                              </a:lnTo>
                              <a:lnTo>
                                <a:pt x="612" y="714"/>
                              </a:lnTo>
                              <a:lnTo>
                                <a:pt x="617" y="717"/>
                              </a:lnTo>
                              <a:lnTo>
                                <a:pt x="622" y="721"/>
                              </a:lnTo>
                              <a:lnTo>
                                <a:pt x="626" y="726"/>
                              </a:lnTo>
                              <a:lnTo>
                                <a:pt x="628" y="732"/>
                              </a:lnTo>
                              <a:lnTo>
                                <a:pt x="628" y="714"/>
                              </a:lnTo>
                              <a:lnTo>
                                <a:pt x="624" y="709"/>
                              </a:lnTo>
                              <a:lnTo>
                                <a:pt x="616" y="706"/>
                              </a:lnTo>
                              <a:lnTo>
                                <a:pt x="593" y="706"/>
                              </a:lnTo>
                              <a:lnTo>
                                <a:pt x="584" y="710"/>
                              </a:lnTo>
                              <a:lnTo>
                                <a:pt x="578" y="718"/>
                              </a:lnTo>
                              <a:lnTo>
                                <a:pt x="574" y="725"/>
                              </a:lnTo>
                              <a:lnTo>
                                <a:pt x="572" y="732"/>
                              </a:lnTo>
                              <a:lnTo>
                                <a:pt x="571" y="752"/>
                              </a:lnTo>
                              <a:lnTo>
                                <a:pt x="574" y="760"/>
                              </a:lnTo>
                              <a:lnTo>
                                <a:pt x="579" y="767"/>
                              </a:lnTo>
                              <a:lnTo>
                                <a:pt x="586" y="774"/>
                              </a:lnTo>
                              <a:lnTo>
                                <a:pt x="593" y="777"/>
                              </a:lnTo>
                              <a:lnTo>
                                <a:pt x="615" y="777"/>
                              </a:lnTo>
                              <a:lnTo>
                                <a:pt x="624" y="773"/>
                              </a:lnTo>
                              <a:lnTo>
                                <a:pt x="627" y="769"/>
                              </a:lnTo>
                              <a:lnTo>
                                <a:pt x="629" y="765"/>
                              </a:lnTo>
                              <a:lnTo>
                                <a:pt x="634" y="759"/>
                              </a:lnTo>
                              <a:lnTo>
                                <a:pt x="637" y="751"/>
                              </a:lnTo>
                              <a:lnTo>
                                <a:pt x="637" y="731"/>
                              </a:lnTo>
                              <a:close/>
                              <a:moveTo>
                                <a:pt x="640" y="1785"/>
                              </a:moveTo>
                              <a:lnTo>
                                <a:pt x="638" y="1778"/>
                              </a:lnTo>
                              <a:lnTo>
                                <a:pt x="634" y="1772"/>
                              </a:lnTo>
                              <a:lnTo>
                                <a:pt x="631" y="1768"/>
                              </a:lnTo>
                              <a:lnTo>
                                <a:pt x="631" y="1787"/>
                              </a:lnTo>
                              <a:lnTo>
                                <a:pt x="631" y="1802"/>
                              </a:lnTo>
                              <a:lnTo>
                                <a:pt x="629" y="1809"/>
                              </a:lnTo>
                              <a:lnTo>
                                <a:pt x="626" y="1814"/>
                              </a:lnTo>
                              <a:lnTo>
                                <a:pt x="622" y="1821"/>
                              </a:lnTo>
                              <a:lnTo>
                                <a:pt x="616" y="1824"/>
                              </a:lnTo>
                              <a:lnTo>
                                <a:pt x="600" y="1824"/>
                              </a:lnTo>
                              <a:lnTo>
                                <a:pt x="593" y="1821"/>
                              </a:lnTo>
                              <a:lnTo>
                                <a:pt x="590" y="1816"/>
                              </a:lnTo>
                              <a:lnTo>
                                <a:pt x="586" y="1810"/>
                              </a:lnTo>
                              <a:lnTo>
                                <a:pt x="584" y="1805"/>
                              </a:lnTo>
                              <a:lnTo>
                                <a:pt x="584" y="1788"/>
                              </a:lnTo>
                              <a:lnTo>
                                <a:pt x="586" y="1781"/>
                              </a:lnTo>
                              <a:lnTo>
                                <a:pt x="595" y="1771"/>
                              </a:lnTo>
                              <a:lnTo>
                                <a:pt x="600" y="1768"/>
                              </a:lnTo>
                              <a:lnTo>
                                <a:pt x="615" y="1768"/>
                              </a:lnTo>
                              <a:lnTo>
                                <a:pt x="621" y="1771"/>
                              </a:lnTo>
                              <a:lnTo>
                                <a:pt x="624" y="1776"/>
                              </a:lnTo>
                              <a:lnTo>
                                <a:pt x="629" y="1781"/>
                              </a:lnTo>
                              <a:lnTo>
                                <a:pt x="631" y="1787"/>
                              </a:lnTo>
                              <a:lnTo>
                                <a:pt x="631" y="1768"/>
                              </a:lnTo>
                              <a:lnTo>
                                <a:pt x="628" y="1764"/>
                              </a:lnTo>
                              <a:lnTo>
                                <a:pt x="619" y="1760"/>
                              </a:lnTo>
                              <a:lnTo>
                                <a:pt x="595" y="1760"/>
                              </a:lnTo>
                              <a:lnTo>
                                <a:pt x="587" y="1764"/>
                              </a:lnTo>
                              <a:lnTo>
                                <a:pt x="577" y="1779"/>
                              </a:lnTo>
                              <a:lnTo>
                                <a:pt x="574" y="1787"/>
                              </a:lnTo>
                              <a:lnTo>
                                <a:pt x="574" y="1806"/>
                              </a:lnTo>
                              <a:lnTo>
                                <a:pt x="577" y="1814"/>
                              </a:lnTo>
                              <a:lnTo>
                                <a:pt x="583" y="1822"/>
                              </a:lnTo>
                              <a:lnTo>
                                <a:pt x="588" y="1828"/>
                              </a:lnTo>
                              <a:lnTo>
                                <a:pt x="597" y="1831"/>
                              </a:lnTo>
                              <a:lnTo>
                                <a:pt x="618" y="1831"/>
                              </a:lnTo>
                              <a:lnTo>
                                <a:pt x="627" y="1828"/>
                              </a:lnTo>
                              <a:lnTo>
                                <a:pt x="630" y="1824"/>
                              </a:lnTo>
                              <a:lnTo>
                                <a:pt x="633" y="1820"/>
                              </a:lnTo>
                              <a:lnTo>
                                <a:pt x="638" y="1813"/>
                              </a:lnTo>
                              <a:lnTo>
                                <a:pt x="640" y="1805"/>
                              </a:lnTo>
                              <a:lnTo>
                                <a:pt x="640" y="1785"/>
                              </a:lnTo>
                              <a:close/>
                              <a:moveTo>
                                <a:pt x="640" y="824"/>
                              </a:moveTo>
                              <a:lnTo>
                                <a:pt x="638" y="816"/>
                              </a:lnTo>
                              <a:lnTo>
                                <a:pt x="634" y="811"/>
                              </a:lnTo>
                              <a:lnTo>
                                <a:pt x="631" y="807"/>
                              </a:lnTo>
                              <a:lnTo>
                                <a:pt x="631" y="825"/>
                              </a:lnTo>
                              <a:lnTo>
                                <a:pt x="631" y="841"/>
                              </a:lnTo>
                              <a:lnTo>
                                <a:pt x="629" y="847"/>
                              </a:lnTo>
                              <a:lnTo>
                                <a:pt x="626" y="853"/>
                              </a:lnTo>
                              <a:lnTo>
                                <a:pt x="622" y="859"/>
                              </a:lnTo>
                              <a:lnTo>
                                <a:pt x="616" y="862"/>
                              </a:lnTo>
                              <a:lnTo>
                                <a:pt x="600" y="862"/>
                              </a:lnTo>
                              <a:lnTo>
                                <a:pt x="593" y="859"/>
                              </a:lnTo>
                              <a:lnTo>
                                <a:pt x="590" y="854"/>
                              </a:lnTo>
                              <a:lnTo>
                                <a:pt x="586" y="850"/>
                              </a:lnTo>
                              <a:lnTo>
                                <a:pt x="584" y="843"/>
                              </a:lnTo>
                              <a:lnTo>
                                <a:pt x="584" y="826"/>
                              </a:lnTo>
                              <a:lnTo>
                                <a:pt x="586" y="819"/>
                              </a:lnTo>
                              <a:lnTo>
                                <a:pt x="591" y="814"/>
                              </a:lnTo>
                              <a:lnTo>
                                <a:pt x="595" y="809"/>
                              </a:lnTo>
                              <a:lnTo>
                                <a:pt x="600" y="807"/>
                              </a:lnTo>
                              <a:lnTo>
                                <a:pt x="615" y="807"/>
                              </a:lnTo>
                              <a:lnTo>
                                <a:pt x="621" y="809"/>
                              </a:lnTo>
                              <a:lnTo>
                                <a:pt x="624" y="814"/>
                              </a:lnTo>
                              <a:lnTo>
                                <a:pt x="629" y="819"/>
                              </a:lnTo>
                              <a:lnTo>
                                <a:pt x="631" y="825"/>
                              </a:lnTo>
                              <a:lnTo>
                                <a:pt x="631" y="807"/>
                              </a:lnTo>
                              <a:lnTo>
                                <a:pt x="628" y="803"/>
                              </a:lnTo>
                              <a:lnTo>
                                <a:pt x="619" y="799"/>
                              </a:lnTo>
                              <a:lnTo>
                                <a:pt x="595" y="799"/>
                              </a:lnTo>
                              <a:lnTo>
                                <a:pt x="587" y="803"/>
                              </a:lnTo>
                              <a:lnTo>
                                <a:pt x="577" y="818"/>
                              </a:lnTo>
                              <a:lnTo>
                                <a:pt x="574" y="825"/>
                              </a:lnTo>
                              <a:lnTo>
                                <a:pt x="574" y="845"/>
                              </a:lnTo>
                              <a:lnTo>
                                <a:pt x="577" y="853"/>
                              </a:lnTo>
                              <a:lnTo>
                                <a:pt x="583" y="860"/>
                              </a:lnTo>
                              <a:lnTo>
                                <a:pt x="588" y="867"/>
                              </a:lnTo>
                              <a:lnTo>
                                <a:pt x="597" y="870"/>
                              </a:lnTo>
                              <a:lnTo>
                                <a:pt x="618" y="870"/>
                              </a:lnTo>
                              <a:lnTo>
                                <a:pt x="627" y="867"/>
                              </a:lnTo>
                              <a:lnTo>
                                <a:pt x="630" y="862"/>
                              </a:lnTo>
                              <a:lnTo>
                                <a:pt x="633" y="859"/>
                              </a:lnTo>
                              <a:lnTo>
                                <a:pt x="638" y="852"/>
                              </a:lnTo>
                              <a:lnTo>
                                <a:pt x="640" y="843"/>
                              </a:lnTo>
                              <a:lnTo>
                                <a:pt x="640" y="824"/>
                              </a:lnTo>
                              <a:close/>
                              <a:moveTo>
                                <a:pt x="705" y="1762"/>
                              </a:moveTo>
                              <a:lnTo>
                                <a:pt x="696" y="1762"/>
                              </a:lnTo>
                              <a:lnTo>
                                <a:pt x="696" y="1790"/>
                              </a:lnTo>
                              <a:lnTo>
                                <a:pt x="660" y="1790"/>
                              </a:lnTo>
                              <a:lnTo>
                                <a:pt x="660" y="1762"/>
                              </a:lnTo>
                              <a:lnTo>
                                <a:pt x="651" y="1762"/>
                              </a:lnTo>
                              <a:lnTo>
                                <a:pt x="651" y="1829"/>
                              </a:lnTo>
                              <a:lnTo>
                                <a:pt x="660" y="1829"/>
                              </a:lnTo>
                              <a:lnTo>
                                <a:pt x="660" y="1798"/>
                              </a:lnTo>
                              <a:lnTo>
                                <a:pt x="696" y="1798"/>
                              </a:lnTo>
                              <a:lnTo>
                                <a:pt x="696" y="1829"/>
                              </a:lnTo>
                              <a:lnTo>
                                <a:pt x="705" y="1829"/>
                              </a:lnTo>
                              <a:lnTo>
                                <a:pt x="705" y="1762"/>
                              </a:lnTo>
                              <a:close/>
                              <a:moveTo>
                                <a:pt x="852" y="320"/>
                              </a:moveTo>
                              <a:lnTo>
                                <a:pt x="847" y="312"/>
                              </a:lnTo>
                              <a:lnTo>
                                <a:pt x="646" y="428"/>
                              </a:lnTo>
                              <a:lnTo>
                                <a:pt x="651" y="436"/>
                              </a:lnTo>
                              <a:lnTo>
                                <a:pt x="852" y="320"/>
                              </a:lnTo>
                              <a:close/>
                              <a:moveTo>
                                <a:pt x="855" y="1374"/>
                              </a:moveTo>
                              <a:lnTo>
                                <a:pt x="850" y="1367"/>
                              </a:lnTo>
                              <a:lnTo>
                                <a:pt x="607" y="1507"/>
                              </a:lnTo>
                              <a:lnTo>
                                <a:pt x="365" y="1367"/>
                              </a:lnTo>
                              <a:lnTo>
                                <a:pt x="360" y="1374"/>
                              </a:lnTo>
                              <a:lnTo>
                                <a:pt x="602" y="1515"/>
                              </a:lnTo>
                              <a:lnTo>
                                <a:pt x="602" y="1742"/>
                              </a:lnTo>
                              <a:lnTo>
                                <a:pt x="612" y="1742"/>
                              </a:lnTo>
                              <a:lnTo>
                                <a:pt x="612" y="1515"/>
                              </a:lnTo>
                              <a:lnTo>
                                <a:pt x="855" y="1374"/>
                              </a:lnTo>
                              <a:close/>
                              <a:moveTo>
                                <a:pt x="1100" y="837"/>
                              </a:moveTo>
                              <a:lnTo>
                                <a:pt x="1096" y="830"/>
                              </a:lnTo>
                              <a:lnTo>
                                <a:pt x="853" y="970"/>
                              </a:lnTo>
                              <a:lnTo>
                                <a:pt x="657" y="857"/>
                              </a:lnTo>
                              <a:lnTo>
                                <a:pt x="652" y="865"/>
                              </a:lnTo>
                              <a:lnTo>
                                <a:pt x="848" y="978"/>
                              </a:lnTo>
                              <a:lnTo>
                                <a:pt x="848" y="1258"/>
                              </a:lnTo>
                              <a:lnTo>
                                <a:pt x="857" y="1258"/>
                              </a:lnTo>
                              <a:lnTo>
                                <a:pt x="857" y="978"/>
                              </a:lnTo>
                              <a:lnTo>
                                <a:pt x="1100" y="837"/>
                              </a:lnTo>
                              <a:close/>
                              <a:moveTo>
                                <a:pt x="1128" y="476"/>
                              </a:moveTo>
                              <a:lnTo>
                                <a:pt x="900" y="344"/>
                              </a:lnTo>
                              <a:lnTo>
                                <a:pt x="895" y="353"/>
                              </a:lnTo>
                              <a:lnTo>
                                <a:pt x="1123" y="484"/>
                              </a:lnTo>
                              <a:lnTo>
                                <a:pt x="1128" y="476"/>
                              </a:lnTo>
                              <a:close/>
                              <a:moveTo>
                                <a:pt x="1164" y="458"/>
                              </a:moveTo>
                              <a:lnTo>
                                <a:pt x="917" y="315"/>
                              </a:lnTo>
                              <a:lnTo>
                                <a:pt x="912" y="323"/>
                              </a:lnTo>
                              <a:lnTo>
                                <a:pt x="1155" y="463"/>
                              </a:lnTo>
                              <a:lnTo>
                                <a:pt x="1155" y="743"/>
                              </a:lnTo>
                              <a:lnTo>
                                <a:pt x="1164" y="743"/>
                              </a:lnTo>
                              <a:lnTo>
                                <a:pt x="1164" y="458"/>
                              </a:lnTo>
                              <a:close/>
                            </a:path>
                          </a:pathLst>
                        </a:custGeom>
                        <a:solidFill>
                          <a:srgbClr val="FFFFFF"/>
                        </a:solidFill>
                        <a:ln>
                          <a:noFill/>
                        </a:ln>
                      </wps:spPr>
                      <wps:bodyPr rot="0" vert="horz" wrap="square" lIns="91440" tIns="45720" rIns="91440" bIns="45720" anchor="t" anchorCtr="0" upright="1">
                        <a:noAutofit/>
                      </wps:bodyPr>
                    </wps:wsp>
                  </a:graphicData>
                </a:graphic>
              </wp:anchor>
            </w:drawing>
          </mc:Choice>
          <mc:Fallback>
            <w:pict>
              <v:shape id="AutoShape 4" o:spid="_x0000_s1026" o:spt="100" style="position:absolute;left:0pt;margin-left:394.45pt;margin-top:241.85pt;height:91.6pt;width:58.25pt;z-index:251659264;mso-width-relative:page;mso-height-relative:page;" fillcolor="#FFFFFF" filled="t" stroked="f" coordsize="1165,1832" o:gfxdata="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" path="m66,732l63,725,59,719,57,715,56,715,56,734,56,749,55,756,51,762,47,767,41,770,25,770,19,768,15,762,11,758,10,752,10,734,12,727,16,723,20,718,26,715,40,715,46,718,50,723,54,728,56,734,56,715,54,711,44,707,21,707,12,712,3,726,0,734,0,753,3,762,8,768,14,775,22,779,44,779,52,775,55,770,58,767,63,760,66,752,66,732xm131,709l121,709,121,737,86,737,86,709,77,709,77,777,86,777,86,745,121,745,121,777,131,777,131,709xm283,90l274,90,274,315,28,456,28,688,38,688,38,462,283,320,283,90xm311,25l309,18,304,11,301,8,301,7,301,27,301,42,300,49,293,60,286,63,270,63,264,61,260,55,257,50,254,44,254,27,257,20,266,11,271,8,286,8,291,11,295,16,300,20,301,27,301,7,298,3,290,0,266,0,258,4,252,13,247,19,245,27,245,46,247,54,253,61,259,68,267,71,288,71,297,67,300,63,303,59,308,53,311,44,311,25xm375,2l366,2,366,30,332,30,332,2,322,2,322,69,332,69,332,37,366,37,366,69,375,69,375,2xm563,865l558,857,363,970,120,830,115,837,358,978,358,1258,367,1258,367,978,563,865xm563,428l362,312,357,320,558,436,563,428xm592,513l583,513,583,687,592,687,592,513xm626,513l617,513,617,687,626,687,626,513xm632,468l629,463,625,460,622,458,619,456,615,456,598,452,595,451,593,449,590,448,588,446,588,439,590,436,592,434,594,432,598,431,610,431,615,433,618,436,619,438,620,441,621,444,629,444,629,437,627,431,626,431,622,428,617,424,611,423,596,423,591,425,586,429,582,433,580,438,580,449,582,453,586,456,588,458,593,460,599,461,608,463,613,464,617,465,619,467,621,468,622,471,622,480,619,483,615,485,612,486,608,487,597,487,592,484,589,480,587,477,586,474,586,470,578,470,578,477,580,484,585,488,589,492,596,494,612,494,617,492,623,489,628,487,629,486,632,481,632,468xm637,731l635,724,631,717,628,714,628,732,628,748,626,755,622,760,619,766,613,769,596,769,591,766,586,761,583,756,581,750,581,733,583,726,588,721,592,717,598,714,612,714,617,717,622,721,626,726,628,732,628,714,624,709,616,706,593,706,584,710,578,718,574,725,572,732,571,752,574,760,579,767,586,774,593,777,615,777,624,773,627,769,629,765,634,759,637,751,637,731xm640,1785l638,1778,634,1772,631,1768,631,1787,631,1802,629,1809,626,1814,622,1821,616,1824,600,1824,593,1821,590,1816,586,1810,584,1805,584,1788,586,1781,595,1771,600,1768,615,1768,621,1771,624,1776,629,1781,631,1787,631,1768,628,1764,619,1760,595,1760,587,1764,577,1779,574,1787,574,1806,577,1814,583,1822,588,1828,597,1831,618,1831,627,1828,630,1824,633,1820,638,1813,640,1805,640,1785xm640,824l638,816,634,811,631,807,631,825,631,841,629,847,626,853,622,859,616,862,600,862,593,859,590,854,586,850,584,843,584,826,586,819,591,814,595,809,600,807,615,807,621,809,624,814,629,819,631,825,631,807,628,803,619,799,595,799,587,803,577,818,574,825,574,845,577,853,583,860,588,867,597,870,618,870,627,867,630,862,633,859,638,852,640,843,640,824xm705,1762l696,1762,696,1790,660,1790,660,1762,651,1762,651,1829,660,1829,660,1798,696,1798,696,1829,705,1829,705,1762xm852,320l847,312,646,428,651,436,852,320xm855,1374l850,1367,607,1507,365,1367,360,1374,602,1515,602,1742,612,1742,612,1515,855,1374xm1100,837l1096,830,853,970,657,857,652,865,848,978,848,1258,857,1258,857,978,1100,837xm1128,476l900,344,895,353,1123,484,1128,476xm1164,458l917,315,912,323,1155,463,1155,743,1164,743,1164,458xe">
                <v:path o:connectlocs="35560,8331835;9525,8340090;16510,8310245;34290,8307705;1905,8340090;36830,8343265;54610,8324215;76835,8349615;17780,8293100;193040,7863205;181610,7896225;163195,7868920;191135,7873365;156845,7868285;182880,7901305;238125,7857490;210820,7900035;354330,8400415;233045,8477250;375920,8181975;391795,8292465;393065,8145780;373380,8134985;392430,8133080;397510,8129905;369570,8131175;380365,8148955;394970,8161020;374015,8161020;371475,8166100;399415,8164830;398780,8321040;375285,8342630;375920,8311515;398780,8309610;364490,8316595;390525,8349615;406400,8989695;399415,9004935;372110,9005570;394335,8980805;377825,8973820;373380,9017000;406400,9002395;400685,8380095;376555,8401685;377825,8369935;400685,8368665;364490,8392795;400050,8403590;441960,8992870;441960,8997950;413385,8133080;382270,8818245;541655,8472170;698500,8387715;582295,8056245" o:connectangles="0,0,0,0,0,0,0,0,0,0,0,0,0,0,0,0,0,0,0,0,0,0,0,0,0,0,0,0,0,0,0,0,0,0,0,0,0,0,0,0,0,0,0,0,0,0,0,0,0,0,0,0,0,0,0,0,0"/>
                <v:fill on="t" focussize="0,0"/>
                <v:stroke on="f"/>
                <v:imagedata o:title=""/>
                <o:lock v:ext="edit" aspectratio="f"/>
              </v:shape>
            </w:pict>
          </mc:Fallback>
        </mc:AlternateContent>
      </w:r>
      <w:r>
        <w:br w:type="page"/>
      </w:r>
    </w:p>
    <w:sdt>
      <w:sdtPr>
        <w:rPr>
          <w:lang w:val="zh-CN"/>
        </w:rPr>
        <w:id w:val="1473016257"/>
        <w:docPartObj>
          <w:docPartGallery w:val="Table of Contents"/>
          <w:docPartUnique/>
        </w:docPartObj>
      </w:sdtPr>
      <w:sdtEndPr>
        <w:rPr>
          <w:rFonts w:ascii="仿宋" w:hAnsi="仿宋" w:eastAsia="宋体" w:cs="仿宋"/>
          <w:b/>
          <w:bCs/>
          <w:color w:val="auto"/>
          <w:sz w:val="21"/>
          <w:szCs w:val="22"/>
          <w:lang w:val="zh-CN"/>
        </w:rPr>
      </w:sdtEndPr>
      <w:sdtContent>
        <w:p>
          <w:pPr>
            <w:pStyle w:val="18"/>
            <w:spacing w:before="156" w:after="156"/>
            <w:ind w:firstLine="420"/>
            <w:jc w:val="center"/>
            <w:rPr>
              <w:rStyle w:val="16"/>
              <w:b/>
              <w:bCs/>
            </w:rPr>
          </w:pPr>
          <w:r>
            <w:rPr>
              <w:rStyle w:val="16"/>
              <w:b/>
              <w:bCs/>
            </w:rPr>
            <w:t>目录</w:t>
          </w:r>
        </w:p>
        <w:p>
          <w:pPr>
            <w:pStyle w:val="10"/>
            <w:tabs>
              <w:tab w:val="right" w:leader="dot" w:pos="8296"/>
            </w:tabs>
            <w:spacing w:before="156" w:after="156"/>
            <w:ind w:firstLine="420"/>
          </w:pPr>
          <w:r>
            <w:fldChar w:fldCharType="begin"/>
          </w:r>
          <w:r>
            <w:instrText xml:space="preserve"> TOC \o "1-3" \h \z \u </w:instrText>
          </w:r>
          <w:r>
            <w:fldChar w:fldCharType="separate"/>
          </w:r>
          <w:r>
            <w:fldChar w:fldCharType="begin"/>
          </w:r>
          <w:r>
            <w:instrText xml:space="preserve"> HYPERLINK \l "_Toc141272010" </w:instrText>
          </w:r>
          <w:r>
            <w:fldChar w:fldCharType="separate"/>
          </w:r>
          <w:r>
            <w:rPr>
              <w:rStyle w:val="15"/>
            </w:rPr>
            <w:t>第一章 总论</w:t>
          </w:r>
          <w:r>
            <w:tab/>
          </w:r>
          <w:r>
            <w:fldChar w:fldCharType="begin"/>
          </w:r>
          <w:r>
            <w:instrText xml:space="preserve"> PAGEREF _Toc141272010 \h </w:instrText>
          </w:r>
          <w:r>
            <w:fldChar w:fldCharType="separate"/>
          </w:r>
          <w:r>
            <w:t>3</w:t>
          </w:r>
          <w:r>
            <w:fldChar w:fldCharType="end"/>
          </w:r>
          <w:r>
            <w:fldChar w:fldCharType="end"/>
          </w:r>
        </w:p>
        <w:p>
          <w:pPr>
            <w:pStyle w:val="11"/>
            <w:tabs>
              <w:tab w:val="right" w:leader="dot" w:pos="8296"/>
            </w:tabs>
            <w:spacing w:before="156" w:after="156"/>
            <w:ind w:firstLine="420"/>
          </w:pPr>
          <w:r>
            <w:fldChar w:fldCharType="begin"/>
          </w:r>
          <w:r>
            <w:instrText xml:space="preserve"> HYPERLINK \l "_Toc141272011" </w:instrText>
          </w:r>
          <w:r>
            <w:fldChar w:fldCharType="separate"/>
          </w:r>
          <w:r>
            <w:rPr>
              <w:rStyle w:val="15"/>
            </w:rPr>
            <w:t>1.1 项目背景</w:t>
          </w:r>
          <w:r>
            <w:tab/>
          </w:r>
          <w:r>
            <w:fldChar w:fldCharType="begin"/>
          </w:r>
          <w:r>
            <w:instrText xml:space="preserve"> PAGEREF _Toc141272011 \h </w:instrText>
          </w:r>
          <w:r>
            <w:fldChar w:fldCharType="separate"/>
          </w:r>
          <w:r>
            <w:t>3</w:t>
          </w:r>
          <w:r>
            <w:fldChar w:fldCharType="end"/>
          </w:r>
          <w:r>
            <w:fldChar w:fldCharType="end"/>
          </w:r>
        </w:p>
        <w:p>
          <w:pPr>
            <w:pStyle w:val="11"/>
            <w:tabs>
              <w:tab w:val="right" w:leader="dot" w:pos="8296"/>
            </w:tabs>
            <w:spacing w:before="156" w:after="156"/>
            <w:ind w:firstLine="420"/>
          </w:pPr>
          <w:r>
            <w:fldChar w:fldCharType="begin"/>
          </w:r>
          <w:r>
            <w:instrText xml:space="preserve"> HYPERLINK \l "_Toc141272012" </w:instrText>
          </w:r>
          <w:r>
            <w:fldChar w:fldCharType="separate"/>
          </w:r>
          <w:r>
            <w:rPr>
              <w:rStyle w:val="15"/>
            </w:rPr>
            <w:t>1.2 编制依据</w:t>
          </w:r>
          <w:r>
            <w:tab/>
          </w:r>
          <w:r>
            <w:fldChar w:fldCharType="begin"/>
          </w:r>
          <w:r>
            <w:instrText xml:space="preserve"> PAGEREF _Toc141272012 \h </w:instrText>
          </w:r>
          <w:r>
            <w:fldChar w:fldCharType="separate"/>
          </w:r>
          <w:r>
            <w:t>4</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"_Toc141272013" </w:instrText>
          </w:r>
          <w:r>
            <w:fldChar w:fldCharType="separate"/>
          </w:r>
          <w:r>
            <w:rPr>
              <w:rStyle w:val="15"/>
              <w:lang w:val="zh-CN"/>
            </w:rPr>
            <w:t>1.2.1 环境保护法律法规及有关政策</w:t>
          </w:r>
          <w:r>
            <w:tab/>
          </w:r>
          <w:r>
            <w:fldChar w:fldCharType="begin"/>
          </w:r>
          <w:r>
            <w:instrText xml:space="preserve"> PAGEREF _Toc141272013 \h </w:instrText>
          </w:r>
          <w:r>
            <w:fldChar w:fldCharType="separate"/>
          </w:r>
          <w:r>
            <w:t>4</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"_Toc141272014" </w:instrText>
          </w:r>
          <w:r>
            <w:fldChar w:fldCharType="separate"/>
          </w:r>
          <w:r>
            <w:rPr>
              <w:rStyle w:val="15"/>
              <w:lang w:val="zh-CN"/>
            </w:rPr>
            <w:t>1.2.2 环境评价技术规范</w:t>
          </w:r>
          <w:r>
            <w:tab/>
          </w:r>
          <w:r>
            <w:fldChar w:fldCharType="begin"/>
          </w:r>
          <w:r>
            <w:instrText xml:space="preserve"> PAGEREF _Toc141272014 \h </w:instrText>
          </w:r>
          <w:r>
            <w:fldChar w:fldCharType="separate"/>
          </w:r>
          <w:r>
            <w:t>5</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"_Toc141272015" </w:instrText>
          </w:r>
          <w:r>
            <w:fldChar w:fldCharType="separate"/>
          </w:r>
          <w:r>
            <w:rPr>
              <w:rStyle w:val="15"/>
              <w:lang w:val="zh-CN"/>
            </w:rPr>
            <w:t>1.2.3 相关产业政策</w:t>
          </w:r>
          <w:r>
            <w:tab/>
          </w:r>
          <w:r>
            <w:fldChar w:fldCharType="begin"/>
          </w:r>
          <w:r>
            <w:instrText xml:space="preserve"> PAGEREF _Toc141272015 \h </w:instrText>
          </w:r>
          <w:r>
            <w:fldChar w:fldCharType="separate"/>
          </w:r>
          <w:r>
            <w:t>5</w:t>
          </w:r>
          <w:r>
            <w:fldChar w:fldCharType="end"/>
          </w:r>
          <w:r>
            <w:fldChar w:fldCharType="end"/>
          </w:r>
        </w:p>
        <w:p>
          <w:pPr>
            <w:pStyle w:val="11"/>
            <w:tabs>
              <w:tab w:val="right" w:leader="dot" w:pos="8296"/>
            </w:tabs>
            <w:spacing w:before="156" w:after="156"/>
            <w:ind w:firstLine="420"/>
          </w:pPr>
          <w:r>
            <w:fldChar w:fldCharType="begin"/>
          </w:r>
          <w:r>
            <w:instrText xml:space="preserve"> HYPERLINK \l "_Toc141272016" </w:instrText>
          </w:r>
          <w:r>
            <w:fldChar w:fldCharType="separate"/>
          </w:r>
          <w:r>
            <w:rPr>
              <w:rStyle w:val="15"/>
              <w:lang w:val="zh-CN"/>
            </w:rPr>
            <w:t>1.3 建设项目有关资料</w:t>
          </w:r>
          <w:r>
            <w:tab/>
          </w:r>
          <w:r>
            <w:fldChar w:fldCharType="begin"/>
          </w:r>
          <w:r>
            <w:instrText xml:space="preserve"> PAGEREF _Toc141272016 \h </w:instrText>
          </w:r>
          <w:r>
            <w:fldChar w:fldCharType="separate"/>
          </w:r>
          <w:r>
            <w:t>5</w:t>
          </w:r>
          <w:r>
            <w:fldChar w:fldCharType="end"/>
          </w:r>
          <w:r>
            <w:fldChar w:fldCharType="end"/>
          </w:r>
        </w:p>
        <w:p>
          <w:pPr>
            <w:pStyle w:val="11"/>
            <w:tabs>
              <w:tab w:val="right" w:leader="dot" w:pos="8296"/>
            </w:tabs>
            <w:spacing w:before="156" w:after="156"/>
            <w:ind w:firstLine="420"/>
          </w:pPr>
          <w:r>
            <w:fldChar w:fldCharType="begin"/>
          </w:r>
          <w:r>
            <w:instrText xml:space="preserve"> HYPERLINK \l "_Toc141272017" </w:instrText>
          </w:r>
          <w:r>
            <w:fldChar w:fldCharType="separate"/>
          </w:r>
          <w:r>
            <w:rPr>
              <w:rStyle w:val="15"/>
              <w:lang w:val="zh-CN"/>
            </w:rPr>
            <w:t>1.4 编制目的和原则</w:t>
          </w:r>
          <w:r>
            <w:tab/>
          </w:r>
          <w:r>
            <w:fldChar w:fldCharType="begin"/>
          </w:r>
          <w:r>
            <w:instrText xml:space="preserve"> PAGEREF _Toc141272017 \h </w:instrText>
          </w:r>
          <w:r>
            <w:fldChar w:fldCharType="separate"/>
          </w:r>
          <w:r>
            <w:t>6</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"_Toc141272018" </w:instrText>
          </w:r>
          <w:r>
            <w:fldChar w:fldCharType="separate"/>
          </w:r>
          <w:r>
            <w:rPr>
              <w:rStyle w:val="15"/>
              <w:lang w:val="zh-CN"/>
            </w:rPr>
            <w:t>1.4.1 编制目的</w:t>
          </w:r>
          <w:r>
            <w:tab/>
          </w:r>
          <w:r>
            <w:fldChar w:fldCharType="begin"/>
          </w:r>
          <w:r>
            <w:instrText xml:space="preserve"> PAGEREF _Toc141272018 \h </w:instrText>
          </w:r>
          <w:r>
            <w:fldChar w:fldCharType="separate"/>
          </w:r>
          <w:r>
            <w:t>6</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"_Toc141272019" </w:instrText>
          </w:r>
          <w:r>
            <w:fldChar w:fldCharType="separate"/>
          </w:r>
          <w:r>
            <w:rPr>
              <w:rStyle w:val="15"/>
              <w:lang w:val="zh-CN"/>
            </w:rPr>
            <w:t>1.4.2 编制原则</w:t>
          </w:r>
          <w:r>
            <w:tab/>
          </w:r>
          <w:r>
            <w:fldChar w:fldCharType="begin"/>
          </w:r>
          <w:r>
            <w:instrText xml:space="preserve"> PAGEREF _Toc141272019 \h </w:instrText>
          </w:r>
          <w:r>
            <w:fldChar w:fldCharType="separate"/>
          </w:r>
          <w:r>
            <w:t>7</w:t>
          </w:r>
          <w:r>
            <w:fldChar w:fldCharType="end"/>
          </w:r>
          <w:r>
            <w:fldChar w:fldCharType="end"/>
          </w:r>
        </w:p>
        <w:p>
          <w:pPr>
            <w:pStyle w:val="11"/>
            <w:tabs>
              <w:tab w:val="right" w:leader="dot" w:pos="8296"/>
            </w:tabs>
            <w:spacing w:before="156" w:after="156"/>
            <w:ind w:firstLine="420"/>
          </w:pPr>
          <w:r>
            <w:fldChar w:fldCharType="begin"/>
          </w:r>
          <w:r>
            <w:instrText xml:space="preserve"> HYPERLINK \l "_Toc141272020" </w:instrText>
          </w:r>
          <w:r>
            <w:fldChar w:fldCharType="separate"/>
          </w:r>
          <w:r>
            <w:rPr>
              <w:rStyle w:val="15"/>
              <w:lang w:val="zh-CN"/>
            </w:rPr>
            <w:t>1.5 评价的目的、原则及指导思想</w:t>
          </w:r>
          <w:r>
            <w:tab/>
          </w:r>
          <w:r>
            <w:fldChar w:fldCharType="begin"/>
          </w:r>
          <w:r>
            <w:instrText xml:space="preserve"> PAGEREF _Toc141272020 \h </w:instrText>
          </w:r>
          <w:r>
            <w:fldChar w:fldCharType="separate"/>
          </w:r>
          <w:r>
            <w:t>8</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"_Toc141272021" </w:instrText>
          </w:r>
          <w:r>
            <w:fldChar w:fldCharType="separate"/>
          </w:r>
          <w:r>
            <w:rPr>
              <w:rStyle w:val="15"/>
              <w:lang w:val="zh-CN"/>
            </w:rPr>
            <w:t>1.5.1 评价的目的</w:t>
          </w:r>
          <w:r>
            <w:tab/>
          </w:r>
          <w:r>
            <w:fldChar w:fldCharType="begin"/>
          </w:r>
          <w:r>
            <w:instrText xml:space="preserve"> PAGEREF _Toc141272021 \h </w:instrText>
          </w:r>
          <w:r>
            <w:fldChar w:fldCharType="separate"/>
          </w:r>
          <w:r>
            <w:t>8</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"_Toc141272022" </w:instrText>
          </w:r>
          <w:r>
            <w:fldChar w:fldCharType="separate"/>
          </w:r>
          <w:r>
            <w:rPr>
              <w:rStyle w:val="15"/>
              <w:lang w:val="zh-CN"/>
            </w:rPr>
            <w:t>1.5.2 评价的原则</w:t>
          </w:r>
          <w:r>
            <w:tab/>
          </w:r>
          <w:r>
            <w:fldChar w:fldCharType="begin"/>
          </w:r>
          <w:r>
            <w:instrText xml:space="preserve"> PAGEREF _Toc141272022 \h </w:instrText>
          </w:r>
          <w:r>
            <w:fldChar w:fldCharType="separate"/>
          </w:r>
          <w:r>
            <w:t>8</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"_Toc141272023" </w:instrText>
          </w:r>
          <w:r>
            <w:fldChar w:fldCharType="separate"/>
          </w:r>
          <w:r>
            <w:rPr>
              <w:rStyle w:val="15"/>
              <w:lang w:val="zh-CN"/>
            </w:rPr>
            <w:t>1.5.3 技术路线</w:t>
          </w:r>
          <w:r>
            <w:tab/>
          </w:r>
          <w:r>
            <w:fldChar w:fldCharType="begin"/>
          </w:r>
          <w:r>
            <w:instrText xml:space="preserve"> PAGEREF _Toc141272023 \h </w:instrText>
          </w:r>
          <w:r>
            <w:fldChar w:fldCharType="separate"/>
          </w:r>
          <w:r>
            <w:t>9</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"_Toc141272024" </w:instrText>
          </w:r>
          <w:r>
            <w:fldChar w:fldCharType="separate"/>
          </w:r>
          <w:r>
            <w:rPr>
              <w:rStyle w:val="15"/>
              <w:lang w:val="zh-CN"/>
            </w:rPr>
            <w:t>1.5.4 指导思想</w:t>
          </w:r>
          <w:r>
            <w:tab/>
          </w:r>
          <w:r>
            <w:fldChar w:fldCharType="begin"/>
          </w:r>
          <w:r>
            <w:instrText xml:space="preserve"> PAGEREF _Toc141272024 \h </w:instrText>
          </w:r>
          <w:r>
            <w:fldChar w:fldCharType="separate"/>
          </w:r>
          <w:r>
            <w:t>9</w:t>
          </w:r>
          <w:r>
            <w:fldChar w:fldCharType="end"/>
          </w:r>
          <w:r>
            <w:fldChar w:fldCharType="end"/>
          </w:r>
        </w:p>
        <w:p>
          <w:pPr>
            <w:pStyle w:val="11"/>
            <w:tabs>
              <w:tab w:val="right" w:leader="dot" w:pos="8296"/>
            </w:tabs>
            <w:spacing w:before="156" w:after="156"/>
            <w:ind w:firstLine="420"/>
          </w:pPr>
          <w:r>
            <w:fldChar w:fldCharType="begin"/>
          </w:r>
          <w:r>
            <w:instrText xml:space="preserve"> HYPERLINK \l "_Toc141272025" </w:instrText>
          </w:r>
          <w:r>
            <w:fldChar w:fldCharType="separate"/>
          </w:r>
          <w:r>
            <w:rPr>
              <w:rStyle w:val="15"/>
              <w:lang w:val="zh-CN"/>
            </w:rPr>
            <w:t>1.6 环境影响因子的识别及评价因子的确定</w:t>
          </w:r>
          <w:r>
            <w:tab/>
          </w:r>
          <w:r>
            <w:fldChar w:fldCharType="begin"/>
          </w:r>
          <w:r>
            <w:instrText xml:space="preserve"> PAGEREF _Toc141272025 \h </w:instrText>
          </w:r>
          <w:r>
            <w:fldChar w:fldCharType="separate"/>
          </w:r>
          <w:r>
            <w:t>9</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"_Toc141272026" </w:instrText>
          </w:r>
          <w:r>
            <w:fldChar w:fldCharType="separate"/>
          </w:r>
          <w:r>
            <w:rPr>
              <w:rStyle w:val="15"/>
              <w:lang w:val="zh-CN"/>
            </w:rPr>
            <w:t>1.6.1 施工期环境影响因素识别</w:t>
          </w:r>
          <w:r>
            <w:tab/>
          </w:r>
          <w:r>
            <w:fldChar w:fldCharType="begin"/>
          </w:r>
          <w:r>
            <w:instrText xml:space="preserve"> PAGEREF _Toc141272026 \h </w:instrText>
          </w:r>
          <w:r>
            <w:fldChar w:fldCharType="separate"/>
          </w:r>
          <w:r>
            <w:t>10</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"_Toc141272027" </w:instrText>
          </w:r>
          <w:r>
            <w:fldChar w:fldCharType="separate"/>
          </w:r>
          <w:r>
            <w:rPr>
              <w:rStyle w:val="15"/>
              <w:lang w:val="zh-CN"/>
            </w:rPr>
            <w:t>1.6.2 营运期环境影响因素识别及确定</w:t>
          </w:r>
          <w:r>
            <w:tab/>
          </w:r>
          <w:r>
            <w:fldChar w:fldCharType="begin"/>
          </w:r>
          <w:r>
            <w:instrText xml:space="preserve"> PAGEREF _Toc141272027 \h </w:instrText>
          </w:r>
          <w:r>
            <w:fldChar w:fldCharType="separate"/>
          </w:r>
          <w:r>
            <w:t>10</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"_Toc141272028" </w:instrText>
          </w:r>
          <w:r>
            <w:fldChar w:fldCharType="separate"/>
          </w:r>
          <w:r>
            <w:rPr>
              <w:rStyle w:val="15"/>
              <w:lang w:val="zh-CN"/>
            </w:rPr>
            <w:t>1.6.3 环境影响因子的确定</w:t>
          </w:r>
          <w:r>
            <w:tab/>
          </w:r>
          <w:r>
            <w:fldChar w:fldCharType="begin"/>
          </w:r>
          <w:r>
            <w:instrText xml:space="preserve"> PAGEREF _Toc141272028 \h </w:instrText>
          </w:r>
          <w:r>
            <w:fldChar w:fldCharType="separate"/>
          </w:r>
          <w:r>
            <w:t>10</w:t>
          </w:r>
          <w:r>
            <w:fldChar w:fldCharType="end"/>
          </w:r>
          <w:r>
            <w:fldChar w:fldCharType="end"/>
          </w:r>
        </w:p>
        <w:p>
          <w:pPr>
            <w:pStyle w:val="11"/>
            <w:tabs>
              <w:tab w:val="right" w:leader="dot" w:pos="8296"/>
            </w:tabs>
            <w:spacing w:before="156" w:after="156"/>
            <w:ind w:firstLine="420"/>
          </w:pPr>
          <w:r>
            <w:fldChar w:fldCharType="begin"/>
          </w:r>
          <w:r>
            <w:instrText xml:space="preserve"> HYPERLINK \l "_Toc141272029" </w:instrText>
          </w:r>
          <w:r>
            <w:fldChar w:fldCharType="separate"/>
          </w:r>
          <w:r>
            <w:rPr>
              <w:rStyle w:val="15"/>
              <w:lang w:val="zh-CN"/>
            </w:rPr>
            <w:t>1.</w:t>
          </w:r>
          <w:r>
            <w:rPr>
              <w:rStyle w:val="15"/>
            </w:rPr>
            <w:t>7</w:t>
          </w:r>
          <w:r>
            <w:rPr>
              <w:rStyle w:val="15"/>
              <w:lang w:val="zh-CN"/>
            </w:rPr>
            <w:t xml:space="preserve"> 评价因子、范围及等级</w:t>
          </w:r>
          <w:r>
            <w:tab/>
          </w:r>
          <w:r>
            <w:fldChar w:fldCharType="begin"/>
          </w:r>
          <w:r>
            <w:instrText xml:space="preserve"> PAGEREF _Toc141272029 \h </w:instrText>
          </w:r>
          <w:r>
            <w:fldChar w:fldCharType="separate"/>
          </w:r>
          <w:r>
            <w:t>11</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"_Toc141272030" </w:instrText>
          </w:r>
          <w:r>
            <w:fldChar w:fldCharType="separate"/>
          </w:r>
          <w:r>
            <w:rPr>
              <w:rStyle w:val="15"/>
              <w:lang w:val="zh-CN"/>
            </w:rPr>
            <w:t>1.</w:t>
          </w:r>
          <w:r>
            <w:rPr>
              <w:rStyle w:val="15"/>
            </w:rPr>
            <w:t>7</w:t>
          </w:r>
          <w:r>
            <w:rPr>
              <w:rStyle w:val="15"/>
              <w:lang w:val="zh-CN"/>
            </w:rPr>
            <w:t>.1 评价工作等级的确定</w:t>
          </w:r>
          <w:r>
            <w:tab/>
          </w:r>
          <w:r>
            <w:fldChar w:fldCharType="begin"/>
          </w:r>
          <w:r>
            <w:instrText xml:space="preserve"> PAGEREF _Toc141272030 \h </w:instrText>
          </w:r>
          <w:r>
            <w:fldChar w:fldCharType="separate"/>
          </w:r>
          <w:r>
            <w:t>11</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"_Toc141272031" </w:instrText>
          </w:r>
          <w:r>
            <w:fldChar w:fldCharType="separate"/>
          </w:r>
          <w:r>
            <w:rPr>
              <w:rStyle w:val="15"/>
              <w:lang w:val="zh-CN"/>
            </w:rPr>
            <w:t>1.</w:t>
          </w:r>
          <w:r>
            <w:rPr>
              <w:rStyle w:val="15"/>
            </w:rPr>
            <w:t>7</w:t>
          </w:r>
          <w:r>
            <w:rPr>
              <w:rStyle w:val="15"/>
              <w:lang w:val="zh-CN"/>
            </w:rPr>
            <w:t>.2 评价的范围</w:t>
          </w:r>
          <w:r>
            <w:tab/>
          </w:r>
          <w:r>
            <w:fldChar w:fldCharType="begin"/>
          </w:r>
          <w:r>
            <w:instrText xml:space="preserve"> PAGEREF _Toc141272031 \h </w:instrText>
          </w:r>
          <w:r>
            <w:fldChar w:fldCharType="separate"/>
          </w:r>
          <w:r>
            <w:t>12</w:t>
          </w:r>
          <w:r>
            <w:fldChar w:fldCharType="end"/>
          </w:r>
          <w:r>
            <w:fldChar w:fldCharType="end"/>
          </w:r>
        </w:p>
        <w:p>
          <w:pPr>
            <w:pStyle w:val="11"/>
            <w:tabs>
              <w:tab w:val="right" w:leader="dot" w:pos="8296"/>
            </w:tabs>
            <w:spacing w:before="156" w:after="156"/>
            <w:ind w:firstLine="420"/>
          </w:pPr>
          <w:r>
            <w:fldChar w:fldCharType="begin"/>
          </w:r>
          <w:r>
            <w:instrText xml:space="preserve"> HYPERLINK \l "_Toc141272032" </w:instrText>
          </w:r>
          <w:r>
            <w:fldChar w:fldCharType="separate"/>
          </w:r>
          <w:r>
            <w:rPr>
              <w:rStyle w:val="15"/>
              <w:lang w:val="zh-CN"/>
            </w:rPr>
            <w:t>1.</w:t>
          </w:r>
          <w:r>
            <w:rPr>
              <w:rStyle w:val="15"/>
            </w:rPr>
            <w:t>8</w:t>
          </w:r>
          <w:r>
            <w:rPr>
              <w:rStyle w:val="15"/>
              <w:lang w:val="zh-CN"/>
            </w:rPr>
            <w:t xml:space="preserve"> 评价内容和重点</w:t>
          </w:r>
          <w:r>
            <w:tab/>
          </w:r>
          <w:r>
            <w:fldChar w:fldCharType="begin"/>
          </w:r>
          <w:r>
            <w:instrText xml:space="preserve"> PAGEREF _Toc141272032 \h </w:instrText>
          </w:r>
          <w:r>
            <w:fldChar w:fldCharType="separate"/>
          </w:r>
          <w:r>
            <w:t>13</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"_Toc141272033" </w:instrText>
          </w:r>
          <w:r>
            <w:fldChar w:fldCharType="separate"/>
          </w:r>
          <w:r>
            <w:rPr>
              <w:rStyle w:val="15"/>
              <w:lang w:val="zh-CN"/>
            </w:rPr>
            <w:t>1.</w:t>
          </w:r>
          <w:r>
            <w:rPr>
              <w:rStyle w:val="15"/>
            </w:rPr>
            <w:t>8</w:t>
          </w:r>
          <w:r>
            <w:rPr>
              <w:rStyle w:val="15"/>
              <w:lang w:val="zh-CN"/>
            </w:rPr>
            <w:t>.1 评价的内容</w:t>
          </w:r>
          <w:r>
            <w:tab/>
          </w:r>
          <w:r>
            <w:fldChar w:fldCharType="begin"/>
          </w:r>
          <w:r>
            <w:instrText xml:space="preserve"> PAGEREF _Toc141272033 \h </w:instrText>
          </w:r>
          <w:r>
            <w:fldChar w:fldCharType="separate"/>
          </w:r>
          <w:r>
            <w:t>13</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"_Toc141272034" </w:instrText>
          </w:r>
          <w:r>
            <w:fldChar w:fldCharType="separate"/>
          </w:r>
          <w:r>
            <w:rPr>
              <w:rStyle w:val="15"/>
              <w:lang w:val="zh-CN"/>
            </w:rPr>
            <w:t>1.</w:t>
          </w:r>
          <w:r>
            <w:rPr>
              <w:rStyle w:val="15"/>
            </w:rPr>
            <w:t>8</w:t>
          </w:r>
          <w:r>
            <w:rPr>
              <w:rStyle w:val="15"/>
              <w:lang w:val="zh-CN"/>
            </w:rPr>
            <w:t>.2 评价的重点</w:t>
          </w:r>
          <w:r>
            <w:tab/>
          </w:r>
          <w:r>
            <w:fldChar w:fldCharType="begin"/>
          </w:r>
          <w:r>
            <w:instrText xml:space="preserve"> PAGEREF _Toc141272034 \h </w:instrText>
          </w:r>
          <w:r>
            <w:fldChar w:fldCharType="separate"/>
          </w:r>
          <w:r>
            <w:t>14</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"_Toc141272035" </w:instrText>
          </w:r>
          <w:r>
            <w:fldChar w:fldCharType="separate"/>
          </w:r>
          <w:r>
            <w:rPr>
              <w:rStyle w:val="15"/>
              <w:lang w:val="zh-CN"/>
            </w:rPr>
            <w:t>1.</w:t>
          </w:r>
          <w:r>
            <w:rPr>
              <w:rStyle w:val="15"/>
            </w:rPr>
            <w:t>8</w:t>
          </w:r>
          <w:r>
            <w:rPr>
              <w:rStyle w:val="15"/>
              <w:lang w:val="zh-CN"/>
            </w:rPr>
            <w:t>.3 评价时段</w:t>
          </w:r>
          <w:r>
            <w:tab/>
          </w:r>
          <w:r>
            <w:fldChar w:fldCharType="begin"/>
          </w:r>
          <w:r>
            <w:instrText xml:space="preserve"> PAGEREF _Toc141272035 \h </w:instrText>
          </w:r>
          <w:r>
            <w:fldChar w:fldCharType="separate"/>
          </w:r>
          <w:r>
            <w:t>14</w:t>
          </w:r>
          <w:r>
            <w:fldChar w:fldCharType="end"/>
          </w:r>
          <w:r>
            <w:fldChar w:fldCharType="end"/>
          </w:r>
        </w:p>
        <w:p>
          <w:pPr>
            <w:pStyle w:val="11"/>
            <w:tabs>
              <w:tab w:val="right" w:leader="dot" w:pos="8296"/>
            </w:tabs>
            <w:spacing w:before="156" w:after="156"/>
            <w:ind w:firstLine="420"/>
          </w:pPr>
          <w:r>
            <w:fldChar w:fldCharType="begin"/>
          </w:r>
          <w:r>
            <w:instrText xml:space="preserve"> HYPERLINK \l "_Toc141272036" </w:instrText>
          </w:r>
          <w:r>
            <w:fldChar w:fldCharType="separate"/>
          </w:r>
          <w:r>
            <w:rPr>
              <w:rStyle w:val="15"/>
              <w:lang w:val="zh-CN"/>
            </w:rPr>
            <w:t>1.</w:t>
          </w:r>
          <w:r>
            <w:rPr>
              <w:rStyle w:val="15"/>
            </w:rPr>
            <w:t>9</w:t>
          </w:r>
          <w:r>
            <w:rPr>
              <w:rStyle w:val="15"/>
              <w:lang w:val="zh-CN"/>
            </w:rPr>
            <w:t xml:space="preserve"> 环境保护目标</w:t>
          </w:r>
          <w:r>
            <w:tab/>
          </w:r>
          <w:r>
            <w:fldChar w:fldCharType="begin"/>
          </w:r>
          <w:r>
            <w:instrText xml:space="preserve"> PAGEREF _Toc141272036 \h </w:instrText>
          </w:r>
          <w:r>
            <w:fldChar w:fldCharType="separate"/>
          </w:r>
          <w:r>
            <w:t>14</w:t>
          </w:r>
          <w:r>
            <w:fldChar w:fldCharType="end"/>
          </w:r>
          <w:r>
            <w:fldChar w:fldCharType="end"/>
          </w:r>
        </w:p>
        <w:p>
          <w:pPr>
            <w:pStyle w:val="11"/>
            <w:tabs>
              <w:tab w:val="right" w:leader="dot" w:pos="8296"/>
            </w:tabs>
            <w:spacing w:before="156" w:after="156"/>
            <w:ind w:firstLine="420"/>
          </w:pPr>
          <w:r>
            <w:fldChar w:fldCharType="begin"/>
          </w:r>
          <w:r>
            <w:instrText xml:space="preserve"> HYPERLINK \l "_Toc141272037" </w:instrText>
          </w:r>
          <w:r>
            <w:fldChar w:fldCharType="separate"/>
          </w:r>
          <w:r>
            <w:rPr>
              <w:rStyle w:val="15"/>
              <w:lang w:val="zh-CN"/>
            </w:rPr>
            <w:t>1.</w:t>
          </w:r>
          <w:r>
            <w:rPr>
              <w:rStyle w:val="15"/>
            </w:rPr>
            <w:t>10</w:t>
          </w:r>
          <w:r>
            <w:rPr>
              <w:rStyle w:val="15"/>
              <w:lang w:val="zh-CN"/>
            </w:rPr>
            <w:t xml:space="preserve"> 环境质量标准及污染物排放标准</w:t>
          </w:r>
          <w:r>
            <w:tab/>
          </w:r>
          <w:r>
            <w:fldChar w:fldCharType="begin"/>
          </w:r>
          <w:r>
            <w:instrText xml:space="preserve"> PAGEREF _Toc141272037 \h </w:instrText>
          </w:r>
          <w:r>
            <w:fldChar w:fldCharType="separate"/>
          </w:r>
          <w:r>
            <w:t>15</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"_Toc141272038" </w:instrText>
          </w:r>
          <w:r>
            <w:fldChar w:fldCharType="separate"/>
          </w:r>
          <w:r>
            <w:rPr>
              <w:rStyle w:val="15"/>
              <w:lang w:val="zh-CN"/>
            </w:rPr>
            <w:t>1.</w:t>
          </w:r>
          <w:r>
            <w:rPr>
              <w:rStyle w:val="15"/>
            </w:rPr>
            <w:t>10</w:t>
          </w:r>
          <w:r>
            <w:rPr>
              <w:rStyle w:val="15"/>
              <w:lang w:val="zh-CN"/>
            </w:rPr>
            <w:t>.1 环境质量标准</w:t>
          </w:r>
          <w:r>
            <w:tab/>
          </w:r>
          <w:r>
            <w:fldChar w:fldCharType="begin"/>
          </w:r>
          <w:r>
            <w:instrText xml:space="preserve"> PAGEREF _Toc141272038 \h </w:instrText>
          </w:r>
          <w:r>
            <w:fldChar w:fldCharType="separate"/>
          </w:r>
          <w:r>
            <w:t>15</w:t>
          </w:r>
          <w:r>
            <w:fldChar w:fldCharType="end"/>
          </w:r>
          <w:r>
            <w:fldChar w:fldCharType="end"/>
          </w:r>
        </w:p>
        <w:p>
          <w:pPr>
            <w:pStyle w:val="7"/>
            <w:tabs>
              <w:tab w:val="right" w:leader="dot" w:pos="8296"/>
            </w:tabs>
            <w:spacing w:before="156" w:after="156"/>
            <w:ind w:firstLine="420"/>
          </w:pPr>
          <w:r>
            <w:fldChar w:fldCharType="begin"/>
          </w:r>
          <w:r>
            <w:instrText xml:space="preserve"> HYPERLINK \l "_Toc141272039" </w:instrText>
          </w:r>
          <w:r>
            <w:fldChar w:fldCharType="separate"/>
          </w:r>
          <w:r>
            <w:rPr>
              <w:rStyle w:val="15"/>
              <w:lang w:val="zh-CN"/>
            </w:rPr>
            <w:t>1.</w:t>
          </w:r>
          <w:r>
            <w:rPr>
              <w:rStyle w:val="15"/>
            </w:rPr>
            <w:t>10</w:t>
          </w:r>
          <w:r>
            <w:rPr>
              <w:rStyle w:val="15"/>
              <w:lang w:val="zh-CN"/>
            </w:rPr>
            <w:t>.2 污染物排放标准</w:t>
          </w:r>
          <w:r>
            <w:tab/>
          </w:r>
          <w:r>
            <w:fldChar w:fldCharType="begin"/>
          </w:r>
          <w:r>
            <w:instrText xml:space="preserve"> PAGEREF _Toc141272039 \h </w:instrText>
          </w:r>
          <w:r>
            <w:fldChar w:fldCharType="separate"/>
          </w:r>
          <w:r>
            <w:t>18</w:t>
          </w:r>
          <w:r>
            <w:fldChar w:fldCharType="end"/>
          </w:r>
          <w:r>
            <w:fldChar w:fldCharType="end"/>
          </w:r>
        </w:p>
        <w:p>
          <w:pPr>
            <w:spacing w:before="156" w:after="156"/>
            <w:ind w:firstLine="422"/>
          </w:pPr>
          <w:r>
            <w:rPr>
              <w:b/>
              <w:bCs/>
              <w:lang w:val="zh-CN"/>
            </w:rPr>
            <w:fldChar w:fldCharType="end"/>
          </w:r>
        </w:p>
      </w:sdtContent>
    </w:sdt>
    <w:p>
      <w:pPr>
        <w:spacing w:before="156" w:after="156"/>
        <w:ind w:firstLine="420"/>
      </w:pPr>
    </w:p>
    <w:p>
      <w:pPr>
        <w:widowControl/>
        <w:autoSpaceDE/>
        <w:autoSpaceDN/>
        <w:spacing w:before="0" w:beforeLines="0" w:after="0" w:afterLines="0" w:line="240" w:lineRule="auto"/>
        <w:ind w:firstLine="0" w:firstLineChars="0"/>
      </w:pPr>
      <w:r>
        <w:br w:type="page"/>
      </w:r>
    </w:p>
    <w:p>
      <w:pPr>
        <w:pStyle w:val="2"/>
        <w:spacing w:before="156" w:after="156"/>
        <w:ind w:firstLine="883"/>
      </w:pPr>
      <w:bookmarkStart w:id="9" w:name="_Toc108109680"/>
      <w:bookmarkStart w:id="10" w:name="_Toc141272010"/>
      <w:r>
        <w:rPr>
          <w:rFonts w:hint="eastAsia"/>
        </w:rPr>
        <w:t>第一章 总论</w:t>
      </w:r>
      <w:bookmarkEnd w:id="9"/>
      <w:bookmarkEnd w:id="10"/>
    </w:p>
    <w:p>
      <w:pPr>
        <w:pStyle w:val="3"/>
        <w:spacing w:before="156" w:after="156"/>
        <w:ind w:firstLine="562"/>
      </w:pPr>
      <w:bookmarkStart w:id="11" w:name="_Toc141272011"/>
      <w:bookmarkStart w:id="12" w:name="_Toc108109681"/>
      <w:r>
        <w:rPr>
          <w:rFonts w:hint="eastAsia"/>
        </w:rPr>
        <w:t>1</w:t>
      </w:r>
      <w:r>
        <w:t xml:space="preserve">.1 </w:t>
      </w:r>
      <w:r>
        <w:rPr>
          <w:rFonts w:hint="eastAsia"/>
        </w:rPr>
        <w:t>项目背景</w:t>
      </w:r>
      <w:bookmarkEnd w:id="11"/>
      <w:bookmarkEnd w:id="12"/>
    </w:p>
    <w:p>
      <w:pPr>
        <w:spacing w:before="156" w:after="156"/>
        <w:ind w:firstLine="420"/>
      </w:pPr>
      <w:r>
        <w:rPr>
          <w:rFonts w:hint="eastAsia"/>
        </w:rPr>
        <w:t>《中国制造2025》的出台，对作为立国之本、兴国之器、强国之基的制造业提出了新的发展要求。改革开放以来，我国制造业持续快速发展，建成了门类齐全、独立完整的产业体系，但是仍然存在大而不强的问题，转型升级和跨越发展的任务紧迫而艰巨。尤其是对于化学工业这一传统制造业，资源和环境约束不断强化，碳排放问题也逐渐重视起来，唯有坚持绿色发展，以创新驱动，加强节能环保技术、工艺、装备推广应用，全面推行清洁生产，发展循环经济，提高资源回收利用效率，构建绿色制造体系，走生态文明的发展道路，满足日益多元化和个性化的市场需求，才能实现我国化学工业的转型升级，促进我国工业、经济和环境协同发展。</w:t>
      </w:r>
    </w:p>
    <w:p>
      <w:pPr>
        <w:spacing w:before="156" w:after="156"/>
        <w:ind w:firstLine="420"/>
      </w:pPr>
      <w:r>
        <w:rPr>
          <w:rFonts w:hint="eastAsia"/>
        </w:rPr>
        <w:t>BDO是一种重要的化工原料，其下游产品附价值高，广泛用于溶剂、医药、化妆品、增塑剂、固化剂、农药、泡沫人造革、纤维、工程塑料等方面。随着国家限塑政策的推行及实施，可降解塑料的需求量将持续快速增长，PBAT/PBS作为当今主流的可降解材料，需求量和产量也将大幅增长，导致BDO作为上游原料的需求量急剧增长如再考虑其他可降解材料产品，以及PTMEG、PBT等主流下游应用的增长，现有BDO的产能远不能满足未来的需求，因此BDO具有相当可观的市场发展空间。但目前我国主要生产方式为炔醛法，能耗较高，唯有遵循《中国制造2025》指出的发展方针，以创新驱动，发展资源多元化、低耗、高效、安全、清洁的绿色制造技术，才能迎来我国BDO产业可持续稳定发展的前景。</w:t>
      </w:r>
    </w:p>
    <w:p>
      <w:pPr>
        <w:spacing w:before="156" w:after="156"/>
        <w:ind w:firstLine="420"/>
      </w:pPr>
      <w:r>
        <w:rPr>
          <w:rFonts w:hint="eastAsia"/>
        </w:rPr>
        <w:t>本项目经过前期可行性研究及多方面技术论证，评估其在技术及经济上切实可行。对本项目建设区域开发进行环境影响评价，清楚区域环境承载能力，对今后发展过程中可能产生或出现的环境问题进行预测，对区域建设以及发展规划进行环境可行性论证是十分重要的。同时为了完善大亚湾石化化工园区厂区的环境管理，实现厂区的可持续发展，按国务院令第253号《建设项目环境保护管理条例》的要求，执行《中华人民共和国环境影响评价法》的规定，进行区域环境评价工作。</w:t>
      </w:r>
    </w:p>
    <w:p>
      <w:pPr>
        <w:pStyle w:val="3"/>
        <w:spacing w:before="156" w:after="156"/>
        <w:ind w:firstLine="562"/>
      </w:pPr>
      <w:bookmarkStart w:id="13" w:name="_Toc108109682"/>
      <w:bookmarkStart w:id="14" w:name="_Toc141272012"/>
      <w:r>
        <w:rPr>
          <w:rFonts w:hint="eastAsia"/>
        </w:rPr>
        <w:t>1</w:t>
      </w:r>
      <w:r>
        <w:t xml:space="preserve">.2 </w:t>
      </w:r>
      <w:r>
        <w:rPr>
          <w:rFonts w:hint="eastAsia"/>
        </w:rPr>
        <w:t>编制依据</w:t>
      </w:r>
      <w:bookmarkEnd w:id="13"/>
      <w:bookmarkEnd w:id="14"/>
    </w:p>
    <w:p>
      <w:pPr>
        <w:pStyle w:val="4"/>
        <w:spacing w:before="156" w:after="156"/>
        <w:ind w:firstLine="482"/>
        <w:rPr>
          <w:lang w:val="zh-CN"/>
        </w:rPr>
      </w:pPr>
      <w:bookmarkStart w:id="15" w:name="_Toc108109683"/>
      <w:bookmarkStart w:id="16" w:name="_Toc141272013"/>
      <w:r>
        <w:rPr>
          <w:rFonts w:hint="eastAsia"/>
          <w:lang w:val="zh-CN"/>
        </w:rPr>
        <w:t>1</w:t>
      </w:r>
      <w:r>
        <w:rPr>
          <w:lang w:val="zh-CN"/>
        </w:rPr>
        <w:t xml:space="preserve">.2.1 </w:t>
      </w:r>
      <w:r>
        <w:rPr>
          <w:rFonts w:hint="eastAsia"/>
          <w:lang w:val="zh-CN"/>
        </w:rPr>
        <w:t>环境保护法律法规及有关政策</w:t>
      </w:r>
      <w:bookmarkEnd w:id="15"/>
      <w:bookmarkEnd w:id="16"/>
    </w:p>
    <w:p>
      <w:pPr>
        <w:spacing w:before="156" w:after="156"/>
        <w:ind w:firstLine="420"/>
      </w:pPr>
      <w:r>
        <w:rPr>
          <w:rFonts w:hint="eastAsia"/>
        </w:rPr>
        <w:t>（1）《中华人民共国环境保护法》(中华人民共和国主席令[2015]第9号)；</w:t>
      </w:r>
    </w:p>
    <w:p>
      <w:pPr>
        <w:spacing w:before="156" w:after="156"/>
        <w:ind w:firstLine="420"/>
      </w:pPr>
      <w:r>
        <w:rPr>
          <w:rFonts w:hint="eastAsia"/>
        </w:rPr>
        <w:t>（2）《中华人民共和国环境影响评价法》(中华人民共和国主席令[2016]第48号)；</w:t>
      </w:r>
    </w:p>
    <w:p>
      <w:pPr>
        <w:spacing w:before="156" w:after="156"/>
        <w:ind w:firstLine="420"/>
      </w:pPr>
      <w:r>
        <w:rPr>
          <w:rFonts w:hint="eastAsia"/>
        </w:rPr>
        <w:t>（3）《中华人民共和国水污染防治法》 (中华人民共和国主席令[2008]第87号)；</w:t>
      </w:r>
    </w:p>
    <w:p>
      <w:pPr>
        <w:spacing w:before="156" w:after="156"/>
        <w:ind w:firstLine="420"/>
      </w:pPr>
      <w:r>
        <w:rPr>
          <w:rFonts w:hint="eastAsia"/>
        </w:rPr>
        <w:t>（4）《中华人民共和国大气污染防治法》(中华人民共和国主席令[2015]第31号)；</w:t>
      </w:r>
      <w:r>
        <w:t xml:space="preserve"> </w:t>
      </w:r>
    </w:p>
    <w:p>
      <w:pPr>
        <w:spacing w:before="156" w:after="156"/>
        <w:ind w:firstLine="420"/>
      </w:pPr>
      <w:r>
        <w:rPr>
          <w:rFonts w:hint="eastAsia"/>
        </w:rPr>
        <w:t>（5）《中华人民共和国环境噪声污染防治法》(中华人民共和国主席令[1996]第77号)；</w:t>
      </w:r>
      <w:r>
        <w:t xml:space="preserve"> </w:t>
      </w:r>
    </w:p>
    <w:p>
      <w:pPr>
        <w:spacing w:before="156" w:after="156"/>
        <w:ind w:firstLine="420"/>
      </w:pPr>
      <w:r>
        <w:rPr>
          <w:rFonts w:hint="eastAsia"/>
        </w:rPr>
        <w:t>（6）《中华人民共和国固体废弃物污染防治法》(中华人民共和国主席令[2004]第31号)；</w:t>
      </w:r>
    </w:p>
    <w:p>
      <w:pPr>
        <w:spacing w:before="156" w:after="156"/>
        <w:ind w:firstLine="420"/>
      </w:pPr>
      <w:r>
        <w:rPr>
          <w:rFonts w:hint="eastAsia"/>
        </w:rPr>
        <w:t>（7）《中华人民共和国清洁生产促进法》(中华人民共和国主席令[2012]第54号)；</w:t>
      </w:r>
    </w:p>
    <w:p>
      <w:pPr>
        <w:spacing w:before="156" w:after="156"/>
        <w:ind w:firstLine="420"/>
      </w:pPr>
      <w:r>
        <w:rPr>
          <w:rFonts w:hint="eastAsia"/>
        </w:rPr>
        <w:t>（</w:t>
      </w:r>
      <w:r>
        <w:t>8</w:t>
      </w:r>
      <w:r>
        <w:rPr>
          <w:rFonts w:hint="eastAsia"/>
        </w:rPr>
        <w:t>）《国务院关于落实科学发展观加强环境保护的决定》(国务院国发[2005]39号)；</w:t>
      </w:r>
    </w:p>
    <w:p>
      <w:pPr>
        <w:spacing w:before="156" w:after="156"/>
        <w:ind w:firstLine="420"/>
      </w:pPr>
      <w:r>
        <w:rPr>
          <w:rFonts w:hint="eastAsia"/>
        </w:rPr>
        <w:t>（</w:t>
      </w:r>
      <w:r>
        <w:t>9</w:t>
      </w:r>
      <w:r>
        <w:rPr>
          <w:rFonts w:hint="eastAsia"/>
        </w:rPr>
        <w:t>）《环境影响评价公众参与暂行办法》（国家环保总局环发[2006]28号）；</w:t>
      </w:r>
    </w:p>
    <w:p>
      <w:pPr>
        <w:spacing w:before="156" w:after="156"/>
        <w:ind w:firstLine="420"/>
      </w:pPr>
      <w:r>
        <w:rPr>
          <w:rFonts w:hint="eastAsia"/>
        </w:rPr>
        <w:t>（1</w:t>
      </w:r>
      <w:r>
        <w:t>0</w:t>
      </w:r>
      <w:r>
        <w:rPr>
          <w:rFonts w:hint="eastAsia"/>
        </w:rPr>
        <w:t>）《废弃危险化学品污染环境防治办法》（国家环保总局）；</w:t>
      </w:r>
    </w:p>
    <w:p>
      <w:pPr>
        <w:spacing w:before="156" w:after="156"/>
        <w:ind w:firstLine="420"/>
      </w:pPr>
      <w:r>
        <w:rPr>
          <w:rFonts w:hint="eastAsia"/>
        </w:rPr>
        <w:t>（1</w:t>
      </w:r>
      <w:r>
        <w:t>1</w:t>
      </w:r>
      <w:r>
        <w:rPr>
          <w:rFonts w:hint="eastAsia"/>
        </w:rPr>
        <w:t>）《危险废物转移联单管理办法》（国家环境保护总局令第5号）；</w:t>
      </w:r>
    </w:p>
    <w:p>
      <w:pPr>
        <w:spacing w:before="156" w:after="156"/>
        <w:ind w:firstLine="420"/>
      </w:pPr>
      <w:r>
        <w:rPr>
          <w:rFonts w:hint="eastAsia"/>
        </w:rPr>
        <w:t>（1</w:t>
      </w:r>
      <w:r>
        <w:t>2</w:t>
      </w:r>
      <w:r>
        <w:rPr>
          <w:rFonts w:hint="eastAsia"/>
        </w:rPr>
        <w:t>）《危险化学品安全管理条例》（中华人民共和国国务院令第591号）；</w:t>
      </w:r>
    </w:p>
    <w:p>
      <w:pPr>
        <w:spacing w:before="156" w:after="156"/>
        <w:ind w:firstLine="420"/>
      </w:pPr>
      <w:r>
        <w:rPr>
          <w:rFonts w:hint="eastAsia"/>
        </w:rPr>
        <w:t>（</w:t>
      </w:r>
      <w:r>
        <w:t>13</w:t>
      </w:r>
      <w:r>
        <w:rPr>
          <w:rFonts w:hint="eastAsia"/>
        </w:rPr>
        <w:t>）《关于开展危险废物产生单位建立台帐试点工作的通知》（环办函[2008]175号）；</w:t>
      </w:r>
    </w:p>
    <w:p>
      <w:pPr>
        <w:spacing w:before="156" w:after="156"/>
        <w:ind w:firstLine="420"/>
      </w:pPr>
      <w:r>
        <w:rPr>
          <w:rFonts w:hint="eastAsia"/>
        </w:rPr>
        <w:t>（</w:t>
      </w:r>
      <w:r>
        <w:t>14</w:t>
      </w:r>
      <w:r>
        <w:rPr>
          <w:rFonts w:hint="eastAsia"/>
        </w:rPr>
        <w:t>）《关于加强环境保护重点工作的意见》（国发〔2011〕35号）；</w:t>
      </w:r>
    </w:p>
    <w:p>
      <w:pPr>
        <w:spacing w:before="156" w:after="156"/>
        <w:ind w:firstLine="420"/>
      </w:pPr>
      <w:r>
        <w:rPr>
          <w:rFonts w:hint="eastAsia"/>
        </w:rPr>
        <w:t>（</w:t>
      </w:r>
      <w:r>
        <w:t>15</w:t>
      </w:r>
      <w:r>
        <w:rPr>
          <w:rFonts w:hint="eastAsia"/>
        </w:rPr>
        <w:t>）《关于进一步加强环境影响评价管理防范环境风险的通知》（环发[2012]77号）；</w:t>
      </w:r>
    </w:p>
    <w:p>
      <w:pPr>
        <w:spacing w:before="156" w:after="156"/>
        <w:ind w:firstLine="420"/>
      </w:pPr>
      <w:r>
        <w:rPr>
          <w:rFonts w:hint="eastAsia"/>
        </w:rPr>
        <w:t>（</w:t>
      </w:r>
      <w:r>
        <w:t>16</w:t>
      </w:r>
      <w:r>
        <w:rPr>
          <w:rFonts w:hint="eastAsia"/>
        </w:rPr>
        <w:t>）《关于切实加强风险防范严格环境影响评价管理的通知》（环发[2012]98号文）。</w:t>
      </w:r>
    </w:p>
    <w:p>
      <w:pPr>
        <w:pStyle w:val="4"/>
        <w:spacing w:before="156" w:after="156"/>
        <w:ind w:firstLine="482"/>
        <w:rPr>
          <w:lang w:val="zh-CN"/>
        </w:rPr>
      </w:pPr>
      <w:bookmarkStart w:id="17" w:name="_Toc108109684"/>
      <w:bookmarkStart w:id="18" w:name="_Toc141272014"/>
      <w:r>
        <w:rPr>
          <w:rFonts w:hint="eastAsia"/>
          <w:lang w:val="zh-CN"/>
        </w:rPr>
        <w:t>1</w:t>
      </w:r>
      <w:r>
        <w:rPr>
          <w:lang w:val="zh-CN"/>
        </w:rPr>
        <w:t xml:space="preserve">.2.2 </w:t>
      </w:r>
      <w:r>
        <w:rPr>
          <w:rFonts w:hint="eastAsia"/>
          <w:lang w:val="zh-CN"/>
        </w:rPr>
        <w:t>环境评价技术规范</w:t>
      </w:r>
      <w:bookmarkEnd w:id="17"/>
      <w:bookmarkEnd w:id="18"/>
    </w:p>
    <w:p>
      <w:pPr>
        <w:spacing w:before="156" w:after="156"/>
        <w:ind w:firstLine="420"/>
        <w:rPr>
          <w:lang w:val="zh-CN"/>
        </w:rPr>
      </w:pPr>
      <w:r>
        <w:rPr>
          <w:rFonts w:hint="eastAsia"/>
          <w:lang w:val="zh-CN"/>
        </w:rPr>
        <w:t>《环境影响评价技术导则总纲》(HJ 2.1-2016)；</w:t>
      </w:r>
    </w:p>
    <w:p>
      <w:pPr>
        <w:spacing w:before="156" w:after="156"/>
        <w:ind w:firstLine="420"/>
        <w:rPr>
          <w:lang w:val="zh-CN"/>
        </w:rPr>
      </w:pPr>
      <w:r>
        <w:rPr>
          <w:rFonts w:hint="eastAsia"/>
          <w:lang w:val="zh-CN"/>
        </w:rPr>
        <w:t>《环境影响评价技术导则生态影响》(HJ 19-2011)；</w:t>
      </w:r>
    </w:p>
    <w:p>
      <w:pPr>
        <w:spacing w:before="156" w:after="156"/>
        <w:ind w:firstLine="420"/>
        <w:rPr>
          <w:lang w:val="zh-CN"/>
        </w:rPr>
      </w:pPr>
      <w:r>
        <w:rPr>
          <w:rFonts w:hint="eastAsia"/>
          <w:lang w:val="zh-CN"/>
        </w:rPr>
        <w:t>《环境影响评价技术导则地下水环境》(HJ 610-2016)；</w:t>
      </w:r>
    </w:p>
    <w:p>
      <w:pPr>
        <w:spacing w:before="156" w:after="156"/>
        <w:ind w:firstLine="420"/>
        <w:rPr>
          <w:lang w:val="zh-CN"/>
        </w:rPr>
      </w:pPr>
      <w:r>
        <w:rPr>
          <w:rFonts w:hint="eastAsia"/>
          <w:lang w:val="zh-CN"/>
        </w:rPr>
        <w:t>《建设项目环境影响评价技术导则总纲》（HJ 2.1-2016）；</w:t>
      </w:r>
    </w:p>
    <w:p>
      <w:pPr>
        <w:spacing w:before="156" w:after="156"/>
        <w:ind w:firstLine="420"/>
        <w:rPr>
          <w:lang w:val="zh-CN"/>
        </w:rPr>
      </w:pPr>
      <w:r>
        <w:rPr>
          <w:rFonts w:hint="eastAsia"/>
          <w:lang w:val="zh-CN"/>
        </w:rPr>
        <w:t>《公路环境保护设计规范》（JBGB04-2010）。</w:t>
      </w:r>
    </w:p>
    <w:p>
      <w:pPr>
        <w:pStyle w:val="4"/>
        <w:spacing w:before="156" w:after="156"/>
        <w:ind w:firstLine="482"/>
        <w:rPr>
          <w:lang w:val="zh-CN"/>
        </w:rPr>
      </w:pPr>
      <w:bookmarkStart w:id="19" w:name="_Toc108109685"/>
      <w:bookmarkStart w:id="20" w:name="_Toc141272015"/>
      <w:r>
        <w:rPr>
          <w:rFonts w:hint="eastAsia"/>
          <w:lang w:val="zh-CN"/>
        </w:rPr>
        <w:t>1</w:t>
      </w:r>
      <w:r>
        <w:rPr>
          <w:lang w:val="zh-CN"/>
        </w:rPr>
        <w:t xml:space="preserve">.2.3 </w:t>
      </w:r>
      <w:r>
        <w:rPr>
          <w:rFonts w:hint="eastAsia"/>
          <w:lang w:val="zh-CN"/>
        </w:rPr>
        <w:t>相关产业政策</w:t>
      </w:r>
      <w:bookmarkEnd w:id="19"/>
      <w:bookmarkEnd w:id="20"/>
    </w:p>
    <w:p>
      <w:pPr>
        <w:spacing w:before="156" w:after="156"/>
        <w:ind w:firstLine="420"/>
      </w:pPr>
      <w:r>
        <w:rPr>
          <w:rFonts w:hint="eastAsia"/>
        </w:rPr>
        <w:t>（1）国家发改委《产业结构调整指导目录（201</w:t>
      </w:r>
      <w:r>
        <w:t>9</w:t>
      </w:r>
      <w:r>
        <w:rPr>
          <w:rFonts w:hint="eastAsia"/>
        </w:rPr>
        <w:t>年本）》；</w:t>
      </w:r>
    </w:p>
    <w:p>
      <w:pPr>
        <w:spacing w:before="156" w:after="156"/>
        <w:ind w:firstLine="420"/>
      </w:pPr>
      <w:r>
        <w:rPr>
          <w:rFonts w:hint="eastAsia"/>
        </w:rPr>
        <w:t>（2）国务院《“十四五”生态环境保护规划》</w:t>
      </w:r>
    </w:p>
    <w:p>
      <w:pPr>
        <w:spacing w:before="156" w:after="156"/>
        <w:ind w:firstLine="420"/>
      </w:pPr>
      <w:r>
        <w:rPr>
          <w:rFonts w:hint="eastAsia"/>
        </w:rPr>
        <w:t>（3）国务院《大气污染防治行动计划》</w:t>
      </w:r>
    </w:p>
    <w:p>
      <w:pPr>
        <w:spacing w:before="156" w:after="156"/>
        <w:ind w:firstLine="420"/>
      </w:pPr>
      <w:r>
        <w:rPr>
          <w:rFonts w:hint="eastAsia"/>
        </w:rPr>
        <w:t>（4）国务院《石化和化学工业“十四五”发展规划》；</w:t>
      </w:r>
    </w:p>
    <w:p>
      <w:pPr>
        <w:spacing w:before="156" w:after="156"/>
        <w:ind w:firstLine="420"/>
      </w:pPr>
      <w:r>
        <w:rPr>
          <w:rFonts w:hint="eastAsia"/>
        </w:rPr>
        <w:t>（5）《惠州大亚湾石化产业园区“十四五”及中长期（2021-2035 年）发展规划》</w:t>
      </w:r>
    </w:p>
    <w:p>
      <w:pPr>
        <w:spacing w:before="156" w:after="156"/>
        <w:ind w:firstLine="420"/>
      </w:pPr>
      <w:r>
        <w:rPr>
          <w:rFonts w:hint="eastAsia"/>
        </w:rPr>
        <w:t>（6）</w:t>
      </w:r>
      <w:r>
        <w:t>《涪陵区“十四五”能源发展规划》</w:t>
      </w:r>
    </w:p>
    <w:p>
      <w:pPr>
        <w:spacing w:before="156" w:after="156"/>
        <w:ind w:firstLine="420"/>
      </w:pPr>
      <w:r>
        <w:rPr>
          <w:rFonts w:hint="eastAsia"/>
        </w:rPr>
        <w:t>（7）《重庆市涪陵区水生态环境保护“十四五”规划</w:t>
      </w:r>
      <w:r>
        <w:t>(2021—2025年)</w:t>
      </w:r>
      <w:r>
        <w:rPr>
          <w:rFonts w:hint="eastAsia"/>
        </w:rPr>
        <w:t>》</w:t>
      </w:r>
    </w:p>
    <w:p>
      <w:pPr>
        <w:spacing w:before="156" w:after="156"/>
        <w:ind w:firstLine="420"/>
      </w:pPr>
      <w:r>
        <w:rPr>
          <w:rFonts w:hint="eastAsia"/>
        </w:rPr>
        <w:t>（8）</w:t>
      </w:r>
      <w:r>
        <w:t>《重庆市涪陵区国民经济和社会发展第十四个五年规划和二〇三五年远景目标纲要》</w:t>
      </w:r>
    </w:p>
    <w:p>
      <w:pPr>
        <w:spacing w:before="156" w:after="156"/>
        <w:ind w:firstLine="420"/>
      </w:pPr>
      <w:r>
        <w:rPr>
          <w:rFonts w:hint="eastAsia"/>
        </w:rPr>
        <w:t>（9）《重庆市“十四五”节能减排综合工作实施方案》</w:t>
      </w:r>
    </w:p>
    <w:p>
      <w:pPr>
        <w:pStyle w:val="3"/>
        <w:spacing w:before="156" w:after="156"/>
        <w:ind w:firstLine="562"/>
        <w:rPr>
          <w:lang w:val="zh-CN"/>
        </w:rPr>
      </w:pPr>
      <w:bookmarkStart w:id="21" w:name="_Toc141272016"/>
      <w:bookmarkStart w:id="22" w:name="_Toc108109686"/>
      <w:r>
        <w:rPr>
          <w:rFonts w:hint="eastAsia"/>
          <w:lang w:val="zh-CN"/>
        </w:rPr>
        <w:t>1</w:t>
      </w:r>
      <w:r>
        <w:rPr>
          <w:lang w:val="zh-CN"/>
        </w:rPr>
        <w:t xml:space="preserve">.3 </w:t>
      </w:r>
      <w:r>
        <w:rPr>
          <w:rFonts w:hint="eastAsia"/>
          <w:lang w:val="zh-CN"/>
        </w:rPr>
        <w:t>建设项目有关资料</w:t>
      </w:r>
      <w:bookmarkEnd w:id="21"/>
      <w:bookmarkEnd w:id="22"/>
    </w:p>
    <w:p>
      <w:pPr>
        <w:spacing w:before="156" w:after="156"/>
        <w:ind w:firstLine="420"/>
      </w:pPr>
      <w:r>
        <w:rPr>
          <w:rFonts w:hint="eastAsia"/>
        </w:rPr>
        <w:t>己二腈（A</w:t>
      </w:r>
      <w:r>
        <w:t>DN</w:t>
      </w:r>
      <w:r>
        <w:rPr>
          <w:rFonts w:hint="eastAsia"/>
        </w:rPr>
        <w:t>）是重要的化工生产中间体，主要用于尼龙</w:t>
      </w:r>
      <w:r>
        <w:t>66的生产，该用途约占全球全年己二腈产量的90％，而尼龙66在新能源汽车、芯片等领域发挥重要作用。</w:t>
      </w:r>
      <w:r>
        <w:rPr>
          <w:rFonts w:hint="eastAsia"/>
        </w:rPr>
        <w:t>目前A</w:t>
      </w:r>
      <w:r>
        <w:t>DN</w:t>
      </w:r>
      <w:r>
        <w:rPr>
          <w:rFonts w:hint="eastAsia"/>
        </w:rPr>
        <w:t>的生产主要有己二酸催化氨化法、丁二烯直接氰化法和丙烯腈法等路径。考虑到现有工艺技术水平以及产品价值，本项目拟为重庆华峰化工有限公司新建</w:t>
      </w:r>
      <w:r>
        <w:t>10</w:t>
      </w:r>
      <w:r>
        <w:rPr>
          <w:rFonts w:hint="eastAsia"/>
        </w:rPr>
        <w:t>.5万吨/年</w:t>
      </w:r>
      <w:r>
        <w:t>ADN</w:t>
      </w:r>
      <w:r>
        <w:rPr>
          <w:rFonts w:hint="eastAsia"/>
        </w:rPr>
        <w:t>生产项目，以己二酸和氨为主要原料，通过氨化、脱水、精制等工艺制取</w:t>
      </w:r>
      <w:r>
        <w:t>ADN</w:t>
      </w:r>
      <w:r>
        <w:rPr>
          <w:rFonts w:hint="eastAsia"/>
        </w:rPr>
        <w:t>，并将生产技术优化提升到《中国制造2025》中提出的绿色发展2025年指标。该项目能够充分利用公司通过己二酸催化氨化法生产A</w:t>
      </w:r>
      <w:r>
        <w:t>DN</w:t>
      </w:r>
      <w:r>
        <w:rPr>
          <w:rFonts w:hint="eastAsia"/>
        </w:rPr>
        <w:t>时的副产物I</w:t>
      </w:r>
      <w:r>
        <w:t>CCP</w:t>
      </w:r>
      <w:r>
        <w:rPr>
          <w:rFonts w:hint="eastAsia"/>
        </w:rPr>
        <w:t>，有效增加产品附加值，在此基础上，该项目尽可能减少三废排放，节约能源，使之更加符合市场需求，取得经济、社会双获益的局面。</w:t>
      </w:r>
    </w:p>
    <w:p>
      <w:pPr>
        <w:spacing w:before="156" w:after="156"/>
        <w:ind w:firstLine="420"/>
      </w:pPr>
      <w:r>
        <w:rPr>
          <w:rFonts w:hint="eastAsia"/>
        </w:rPr>
        <w:t>项目建设地位于重庆白涛化工园区预留发展空地上，依托当地发达的交通网络，充足的原料供应，庞大的市场需求以及完善的公共设施，本项目经过前期可行性研究及多方面技术论证，评估其在技术及经济上切实可行。</w:t>
      </w:r>
    </w:p>
    <w:p>
      <w:pPr>
        <w:spacing w:before="156" w:after="156"/>
        <w:ind w:firstLine="420"/>
      </w:pPr>
      <w:r>
        <w:rPr>
          <w:rFonts w:hint="eastAsia"/>
        </w:rPr>
        <w:t>(一)</w:t>
      </w:r>
      <w:r>
        <w:rPr>
          <w:rFonts w:hint="eastAsia"/>
        </w:rPr>
        <w:tab/>
      </w:r>
      <w:r>
        <w:rPr>
          <w:rFonts w:hint="eastAsia"/>
        </w:rPr>
        <w:t>项目名称：重庆华峰化工有限公司</w:t>
      </w:r>
      <w:r>
        <w:t>10.</w:t>
      </w:r>
      <w:r>
        <w:rPr>
          <w:rFonts w:hint="eastAsia"/>
        </w:rPr>
        <w:t>5万吨/年</w:t>
      </w:r>
      <w:r>
        <w:t>ADN</w:t>
      </w:r>
      <w:r>
        <w:rPr>
          <w:rFonts w:hint="eastAsia"/>
        </w:rPr>
        <w:t>生产项目</w:t>
      </w:r>
    </w:p>
    <w:p>
      <w:pPr>
        <w:spacing w:before="156" w:after="156"/>
        <w:ind w:firstLine="420"/>
      </w:pPr>
      <w:r>
        <w:rPr>
          <w:rFonts w:hint="eastAsia"/>
        </w:rPr>
        <w:t>(二)</w:t>
      </w:r>
      <w:r>
        <w:rPr>
          <w:rFonts w:hint="eastAsia"/>
        </w:rPr>
        <w:tab/>
      </w:r>
      <w:r>
        <w:rPr>
          <w:rFonts w:hint="eastAsia"/>
        </w:rPr>
        <w:t>主办单位名称及性质：重庆华峰化工有限公司（私营企业）</w:t>
      </w:r>
    </w:p>
    <w:p>
      <w:pPr>
        <w:spacing w:before="156" w:after="156"/>
        <w:ind w:firstLine="420"/>
      </w:pPr>
      <w:r>
        <w:rPr>
          <w:rFonts w:hint="eastAsia"/>
        </w:rPr>
        <w:t>(三)</w:t>
      </w:r>
      <w:r>
        <w:rPr>
          <w:rFonts w:hint="eastAsia"/>
        </w:rPr>
        <w:tab/>
      </w:r>
      <w:r>
        <w:rPr>
          <w:rFonts w:hint="eastAsia"/>
        </w:rPr>
        <w:t>项目建设内容、规模、目标：本项目针对现有生产工艺技术水平，将技术提升到《中国制造2025》中提出的绿色发展2025年指标，为重庆华峰化工有限公司设计一座</w:t>
      </w:r>
      <w:r>
        <w:t>ADN</w:t>
      </w:r>
      <w:r>
        <w:rPr>
          <w:rFonts w:hint="eastAsia"/>
        </w:rPr>
        <w:t>生产分厂，年产</w:t>
      </w:r>
      <w:r>
        <w:t>10.5</w:t>
      </w:r>
      <w:r>
        <w:rPr>
          <w:rFonts w:hint="eastAsia"/>
        </w:rPr>
        <w:t>万吨</w:t>
      </w:r>
      <w:r>
        <w:rPr>
          <w:rFonts w:hint="eastAsia"/>
          <w:lang w:val="en-US" w:eastAsia="zh-CN"/>
        </w:rPr>
        <w:t>ADN</w:t>
      </w:r>
      <w:r>
        <w:rPr>
          <w:rFonts w:hint="eastAsia"/>
        </w:rPr>
        <w:t>，纯度为99.</w:t>
      </w:r>
      <w:r>
        <w:t>99</w:t>
      </w:r>
      <w:r>
        <w:rPr>
          <w:rFonts w:hint="eastAsia"/>
        </w:rPr>
        <w:t>%，项目预期</w:t>
      </w:r>
      <w:r>
        <w:rPr>
          <w:rFonts w:hint="eastAsia"/>
          <w:highlight w:val="none"/>
        </w:rPr>
        <w:t>总投资</w:t>
      </w:r>
      <w:r>
        <w:rPr>
          <w:rFonts w:hint="eastAsia"/>
          <w:highlight w:val="none"/>
          <w:lang w:val="en-US" w:eastAsia="zh-CN"/>
        </w:rPr>
        <w:t>42897</w:t>
      </w:r>
      <w:r>
        <w:rPr>
          <w:rFonts w:hint="eastAsia"/>
          <w:highlight w:val="none"/>
        </w:rPr>
        <w:t>万元</w:t>
      </w:r>
      <w:r>
        <w:rPr>
          <w:rFonts w:hint="eastAsia"/>
        </w:rPr>
        <w:t>。</w:t>
      </w:r>
    </w:p>
    <w:p>
      <w:pPr>
        <w:spacing w:before="156" w:after="156"/>
        <w:ind w:firstLine="420"/>
      </w:pPr>
      <w:r>
        <w:rPr>
          <w:rFonts w:hint="eastAsia"/>
        </w:rPr>
        <w:t>(四)</w:t>
      </w:r>
      <w:r>
        <w:rPr>
          <w:rFonts w:hint="eastAsia"/>
        </w:rPr>
        <w:tab/>
      </w:r>
      <w:r>
        <w:rPr>
          <w:rFonts w:hint="eastAsia"/>
        </w:rPr>
        <w:t>项目建设地点：重庆白涛化工园区</w:t>
      </w:r>
    </w:p>
    <w:p>
      <w:pPr>
        <w:pStyle w:val="3"/>
        <w:spacing w:before="156" w:after="156"/>
        <w:ind w:firstLine="562"/>
        <w:rPr>
          <w:szCs w:val="21"/>
        </w:rPr>
      </w:pPr>
      <w:bookmarkStart w:id="23" w:name="_Toc141272017"/>
      <w:bookmarkStart w:id="24" w:name="_Toc108109687"/>
      <w:r>
        <w:rPr>
          <w:rFonts w:hint="eastAsia"/>
          <w:lang w:val="zh-CN"/>
        </w:rPr>
        <w:t>1</w:t>
      </w:r>
      <w:r>
        <w:rPr>
          <w:lang w:val="zh-CN"/>
        </w:rPr>
        <w:t xml:space="preserve">.4 </w:t>
      </w:r>
      <w:r>
        <w:rPr>
          <w:rFonts w:hint="eastAsia"/>
          <w:lang w:val="zh-CN"/>
        </w:rPr>
        <w:t>编制目的和原则</w:t>
      </w:r>
      <w:bookmarkEnd w:id="23"/>
      <w:bookmarkEnd w:id="24"/>
    </w:p>
    <w:p>
      <w:pPr>
        <w:pStyle w:val="4"/>
        <w:spacing w:before="156" w:after="156"/>
        <w:ind w:firstLine="482"/>
        <w:rPr>
          <w:sz w:val="21"/>
          <w:szCs w:val="21"/>
        </w:rPr>
      </w:pPr>
      <w:bookmarkStart w:id="25" w:name="_Toc108109688"/>
      <w:bookmarkStart w:id="26" w:name="_Toc141272018"/>
      <w:r>
        <w:rPr>
          <w:rFonts w:hint="eastAsia"/>
          <w:lang w:val="zh-CN"/>
        </w:rPr>
        <w:t>1</w:t>
      </w:r>
      <w:r>
        <w:rPr>
          <w:lang w:val="zh-CN"/>
        </w:rPr>
        <w:t xml:space="preserve">.4.1 </w:t>
      </w:r>
      <w:r>
        <w:rPr>
          <w:rFonts w:hint="eastAsia"/>
          <w:lang w:val="zh-CN"/>
        </w:rPr>
        <w:t>编制目的</w:t>
      </w:r>
      <w:bookmarkEnd w:id="25"/>
      <w:bookmarkEnd w:id="26"/>
    </w:p>
    <w:p>
      <w:pPr>
        <w:spacing w:before="156" w:after="156"/>
        <w:ind w:firstLine="420"/>
      </w:pPr>
      <w:r>
        <w:rPr>
          <w:rFonts w:hint="eastAsia"/>
        </w:rPr>
        <w:t>本环境影响评价的对象是化工拟建设项目的建设及运营行为，其目的是通过环境影响评价以强化环境管理，完善区域开发活动规划，保证区域开发的可持续发展。根据环境影响评价在区域开发规划与环境管理中的地位和作用，本项目开发活动的环境影响评价具有以下目的：</w:t>
      </w:r>
    </w:p>
    <w:p>
      <w:pPr>
        <w:spacing w:before="156" w:after="156"/>
        <w:ind w:firstLine="420"/>
      </w:pPr>
      <w:r>
        <w:rPr>
          <w:rFonts w:hint="eastAsia"/>
        </w:rPr>
        <w:t>（</w:t>
      </w:r>
      <w:r>
        <w:t>1</w:t>
      </w:r>
      <w:r>
        <w:rPr>
          <w:rFonts w:hint="eastAsia"/>
        </w:rPr>
        <w:t>）了解区域的环境状况及化工建设项目对区域开发带来的环境问题，从而进行区域环境污染总量控制规划，建立区域环境保护管理体系，促进地区的可持续发展；</w:t>
      </w:r>
    </w:p>
    <w:p>
      <w:pPr>
        <w:spacing w:before="156" w:after="156"/>
        <w:ind w:firstLine="420"/>
      </w:pPr>
      <w:r>
        <w:rPr>
          <w:rFonts w:hint="eastAsia"/>
        </w:rPr>
        <w:t>（</w:t>
      </w:r>
      <w:r>
        <w:t>2</w:t>
      </w:r>
      <w:r>
        <w:rPr>
          <w:rFonts w:hint="eastAsia"/>
        </w:rPr>
        <w:t>）环境影响评价可以作为化工新建项目的审批依据和区域内工程评价的基础和依据，减少工程环境影响评价的工作内容，也使工程的环境影响评价兼顾区域宏观特，使其更具有科学性、指导性。</w:t>
      </w:r>
    </w:p>
    <w:p>
      <w:pPr>
        <w:spacing w:before="156" w:after="156"/>
        <w:ind w:firstLine="420"/>
      </w:pPr>
      <w:r>
        <w:rPr>
          <w:rFonts w:hint="eastAsia"/>
        </w:rPr>
        <w:t>（3）从宏观角度对本项目的选址、规模、性质等进行论证，分析其利弊，扬长避短或避免重大决策失误，最大限度地防止或减少对该区域自然生态环境和资源的破坏；</w:t>
      </w:r>
    </w:p>
    <w:p>
      <w:pPr>
        <w:spacing w:before="156" w:after="156"/>
        <w:ind w:firstLine="420"/>
      </w:pPr>
      <w:r>
        <w:rPr>
          <w:rFonts w:hint="eastAsia"/>
        </w:rPr>
        <w:t>（</w:t>
      </w:r>
      <w:r>
        <w:t>4</w:t>
      </w:r>
      <w:r>
        <w:rPr>
          <w:rFonts w:hint="eastAsia"/>
        </w:rPr>
        <w:t>）为区域开发各功能的合理布局、入区项目的调整或筛选提供依据；</w:t>
      </w:r>
    </w:p>
    <w:p>
      <w:pPr>
        <w:pStyle w:val="4"/>
        <w:spacing w:before="156" w:after="156"/>
        <w:ind w:firstLine="482"/>
        <w:rPr>
          <w:lang w:val="zh-CN"/>
        </w:rPr>
      </w:pPr>
      <w:bookmarkStart w:id="27" w:name="_Toc108109689"/>
      <w:bookmarkStart w:id="28" w:name="_Toc141272019"/>
      <w:r>
        <w:rPr>
          <w:rFonts w:hint="eastAsia"/>
          <w:lang w:val="zh-CN"/>
        </w:rPr>
        <w:t>1</w:t>
      </w:r>
      <w:r>
        <w:rPr>
          <w:lang w:val="zh-CN"/>
        </w:rPr>
        <w:t xml:space="preserve">.4.2 </w:t>
      </w:r>
      <w:r>
        <w:rPr>
          <w:rFonts w:hint="eastAsia"/>
          <w:lang w:val="zh-CN"/>
        </w:rPr>
        <w:t>编制原则</w:t>
      </w:r>
      <w:bookmarkEnd w:id="27"/>
      <w:bookmarkEnd w:id="28"/>
    </w:p>
    <w:p>
      <w:pPr>
        <w:spacing w:before="156" w:after="156"/>
        <w:ind w:firstLine="420"/>
      </w:pPr>
      <w:r>
        <w:rPr>
          <w:rFonts w:hint="eastAsia"/>
        </w:rPr>
        <w:t>（1）同一性原则</w:t>
      </w:r>
    </w:p>
    <w:p>
      <w:pPr>
        <w:spacing w:before="156" w:after="156"/>
        <w:ind w:firstLine="420"/>
      </w:pPr>
      <w:r>
        <w:rPr>
          <w:rFonts w:hint="eastAsia"/>
        </w:rPr>
        <w:t>化工拟建设项目的环境评价纳入到区域环境评价中，与区域环境保护法律法规相一致。</w:t>
      </w:r>
    </w:p>
    <w:p>
      <w:pPr>
        <w:spacing w:before="156" w:after="156"/>
        <w:ind w:firstLine="420"/>
      </w:pPr>
      <w:r>
        <w:rPr>
          <w:rFonts w:hint="eastAsia"/>
        </w:rPr>
        <w:t>（2）整体性原则</w:t>
      </w:r>
    </w:p>
    <w:p>
      <w:pPr>
        <w:spacing w:before="156" w:after="156"/>
        <w:ind w:firstLine="420"/>
      </w:pPr>
      <w:r>
        <w:rPr>
          <w:rFonts w:hint="eastAsia"/>
        </w:rPr>
        <w:t>化工拟建设项目的环境影响评价涉及区域开发规划中拟进行的活动产生的各种环境影响评估，并且追溯到所有产生污染和生态破坏的各个部门、工段、车间，并且还须全面评估拟规划进入区域内各建设项目的开发行为以及各开发项目之间的相互影响。因此，必须以整体的观点认识、预测和评价环境影响，提出各种缓解措施和协调开发与环保的对策，提出本建设项目的环境保护措施，以及区域开发的各种影响集中控制的对策与措施。</w:t>
      </w:r>
    </w:p>
    <w:p>
      <w:pPr>
        <w:spacing w:before="156" w:after="156"/>
        <w:ind w:firstLine="420"/>
      </w:pPr>
      <w:r>
        <w:rPr>
          <w:rFonts w:hint="eastAsia"/>
        </w:rPr>
        <w:t>（3）综合性原则</w:t>
      </w:r>
    </w:p>
    <w:p>
      <w:pPr>
        <w:spacing w:before="156" w:after="156"/>
        <w:ind w:firstLine="420"/>
      </w:pPr>
      <w:r>
        <w:rPr>
          <w:rFonts w:hint="eastAsia"/>
        </w:rPr>
        <w:t>评价工作不仅要考虑社会和经济环境，还要考虑生态和自然环境以及生活质量影响。因此，在评价分析中必须采用综合的方法，以期得到全面正确的评价结论。</w:t>
      </w:r>
    </w:p>
    <w:p>
      <w:pPr>
        <w:spacing w:before="156" w:after="156"/>
        <w:ind w:firstLine="420"/>
      </w:pPr>
      <w:r>
        <w:rPr>
          <w:rFonts w:hint="eastAsia"/>
        </w:rPr>
        <w:t>（4）实用性原则</w:t>
      </w:r>
    </w:p>
    <w:p>
      <w:pPr>
        <w:spacing w:before="156" w:after="156"/>
        <w:ind w:firstLine="420"/>
      </w:pPr>
      <w:r>
        <w:rPr>
          <w:rFonts w:hint="eastAsia"/>
        </w:rPr>
        <w:t>在制定优化方案和污染防治对策方面，应该是技术上可行合理、效果上可靠，能为建设部门所采纳。</w:t>
      </w:r>
    </w:p>
    <w:p>
      <w:pPr>
        <w:spacing w:before="156" w:after="156"/>
        <w:ind w:firstLine="420"/>
      </w:pPr>
      <w:r>
        <w:rPr>
          <w:rFonts w:hint="eastAsia"/>
        </w:rPr>
        <w:t>（5）战略性原则</w:t>
      </w:r>
    </w:p>
    <w:p>
      <w:pPr>
        <w:spacing w:before="156" w:after="156"/>
        <w:ind w:firstLine="420"/>
      </w:pPr>
      <w:r>
        <w:rPr>
          <w:rFonts w:hint="eastAsia"/>
        </w:rPr>
        <w:t>环境影响评价应从战略层次，评价区域开发规划拟进行的活动与其所在区域的总体规划的一致性、区域开发的可持续性、区域拟进行的活动内部功能布局的合理性，并按总量控制的限制提出建设项目污染物允许排放总量和削减方案。</w:t>
      </w:r>
    </w:p>
    <w:p>
      <w:pPr>
        <w:spacing w:before="156" w:after="156"/>
        <w:ind w:firstLine="420"/>
      </w:pPr>
      <w:r>
        <w:rPr>
          <w:rFonts w:hint="eastAsia"/>
        </w:rPr>
        <w:t>（6）可持续性原则</w:t>
      </w:r>
    </w:p>
    <w:p>
      <w:pPr>
        <w:spacing w:before="156" w:after="156"/>
        <w:ind w:firstLine="420"/>
      </w:pPr>
      <w:r>
        <w:rPr>
          <w:rFonts w:hint="eastAsia"/>
        </w:rPr>
        <w:t>化工拟建设项目的环境影响评价应该通过对区域开发规划拟进行的活动及其环境影响的分析与评价，帮助建立一种具有可持续改进功能的环境管理体制，以确保区域开发的可持续性。</w:t>
      </w:r>
    </w:p>
    <w:p>
      <w:pPr>
        <w:pStyle w:val="3"/>
        <w:spacing w:before="156" w:after="156"/>
        <w:ind w:firstLine="562"/>
        <w:rPr>
          <w:lang w:val="zh-CN"/>
        </w:rPr>
      </w:pPr>
      <w:bookmarkStart w:id="29" w:name="_Toc108109690"/>
      <w:bookmarkStart w:id="30" w:name="_Toc141272020"/>
      <w:r>
        <w:rPr>
          <w:rFonts w:hint="eastAsia"/>
          <w:lang w:val="zh-CN"/>
        </w:rPr>
        <w:t>1</w:t>
      </w:r>
      <w:r>
        <w:rPr>
          <w:lang w:val="zh-CN"/>
        </w:rPr>
        <w:t xml:space="preserve">.5 </w:t>
      </w:r>
      <w:r>
        <w:rPr>
          <w:rFonts w:hint="eastAsia"/>
          <w:lang w:val="zh-CN"/>
        </w:rPr>
        <w:t>评价的目的、原则及指导思想</w:t>
      </w:r>
      <w:bookmarkEnd w:id="29"/>
      <w:bookmarkEnd w:id="30"/>
    </w:p>
    <w:p>
      <w:pPr>
        <w:pStyle w:val="4"/>
        <w:spacing w:before="156" w:after="156"/>
        <w:ind w:firstLine="482"/>
        <w:rPr>
          <w:lang w:val="zh-CN"/>
        </w:rPr>
      </w:pPr>
      <w:bookmarkStart w:id="31" w:name="_Toc108109691"/>
      <w:bookmarkStart w:id="32" w:name="_Toc141272021"/>
      <w:r>
        <w:rPr>
          <w:rFonts w:hint="eastAsia"/>
          <w:lang w:val="zh-CN"/>
        </w:rPr>
        <w:t>1</w:t>
      </w:r>
      <w:r>
        <w:rPr>
          <w:lang w:val="zh-CN"/>
        </w:rPr>
        <w:t xml:space="preserve">.5.1 </w:t>
      </w:r>
      <w:r>
        <w:rPr>
          <w:rFonts w:hint="eastAsia"/>
          <w:lang w:val="zh-CN"/>
        </w:rPr>
        <w:t>评价的目的</w:t>
      </w:r>
      <w:bookmarkEnd w:id="31"/>
      <w:bookmarkEnd w:id="32"/>
    </w:p>
    <w:p>
      <w:pPr>
        <w:spacing w:before="156" w:after="156"/>
        <w:ind w:firstLine="420"/>
      </w:pPr>
      <w:r>
        <w:rPr>
          <w:rFonts w:hint="eastAsia"/>
        </w:rPr>
        <w:t>按照可持续发展思想，通过评价拟规划方案可能涉及的环境问题，提出在规划编制和实施过程中应采取的环境保护措施，进而协调经济增长、社会进步与环境保护的关系。</w:t>
      </w:r>
    </w:p>
    <w:p>
      <w:pPr>
        <w:pStyle w:val="4"/>
        <w:spacing w:before="156" w:after="156"/>
        <w:ind w:firstLine="482"/>
        <w:rPr>
          <w:lang w:val="zh-CN"/>
        </w:rPr>
      </w:pPr>
      <w:bookmarkStart w:id="33" w:name="_Toc108109692"/>
      <w:bookmarkStart w:id="34" w:name="_Toc141272022"/>
      <w:r>
        <w:rPr>
          <w:rFonts w:hint="eastAsia"/>
          <w:lang w:val="zh-CN"/>
        </w:rPr>
        <w:t>1</w:t>
      </w:r>
      <w:r>
        <w:rPr>
          <w:lang w:val="zh-CN"/>
        </w:rPr>
        <w:t xml:space="preserve">.5.2 </w:t>
      </w:r>
      <w:r>
        <w:rPr>
          <w:rFonts w:hint="eastAsia"/>
          <w:lang w:val="zh-CN"/>
        </w:rPr>
        <w:t>评价的原则</w:t>
      </w:r>
      <w:bookmarkEnd w:id="33"/>
      <w:bookmarkEnd w:id="34"/>
    </w:p>
    <w:p>
      <w:pPr>
        <w:spacing w:before="156" w:after="156"/>
        <w:ind w:firstLine="420"/>
      </w:pPr>
      <w:r>
        <w:rPr>
          <w:rFonts w:hint="eastAsia"/>
        </w:rPr>
        <w:t>突出环境影响评价的源头预防作用，坚持保护和改善环境质量。</w:t>
      </w:r>
    </w:p>
    <w:p>
      <w:pPr>
        <w:spacing w:before="156" w:after="156"/>
        <w:ind w:firstLine="420"/>
      </w:pPr>
      <w:r>
        <w:rPr>
          <w:rFonts w:hint="eastAsia"/>
        </w:rPr>
        <w:t>（1）依法评价</w:t>
      </w:r>
    </w:p>
    <w:p>
      <w:pPr>
        <w:spacing w:before="156" w:after="156"/>
        <w:ind w:firstLine="420"/>
      </w:pPr>
      <w:r>
        <w:rPr>
          <w:rFonts w:hint="eastAsia"/>
        </w:rPr>
        <w:t>贯彻执行我国环境保护相关法律法规、标准、政策和规划等，优化项目建设，服务环境管理。</w:t>
      </w:r>
    </w:p>
    <w:p>
      <w:pPr>
        <w:spacing w:before="156" w:after="156"/>
        <w:ind w:firstLine="420"/>
      </w:pPr>
      <w:r>
        <w:rPr>
          <w:rFonts w:hint="eastAsia"/>
        </w:rPr>
        <w:t>（2）科学评价</w:t>
      </w:r>
    </w:p>
    <w:p>
      <w:pPr>
        <w:spacing w:before="156" w:after="156"/>
        <w:ind w:firstLine="420"/>
      </w:pPr>
      <w:r>
        <w:rPr>
          <w:rFonts w:hint="eastAsia"/>
        </w:rPr>
        <w:t>规范环境影响评价方法，科学分析项目建设对环境质量的影响。</w:t>
      </w:r>
    </w:p>
    <w:p>
      <w:pPr>
        <w:spacing w:before="156" w:after="156"/>
        <w:ind w:firstLine="420"/>
      </w:pPr>
      <w:r>
        <w:rPr>
          <w:rFonts w:hint="eastAsia"/>
        </w:rPr>
        <w:t>（3）突出重点</w:t>
      </w:r>
    </w:p>
    <w:p>
      <w:pPr>
        <w:spacing w:before="156" w:after="156"/>
        <w:ind w:firstLine="420"/>
      </w:pPr>
      <w:r>
        <w:rPr>
          <w:rFonts w:hint="eastAsia"/>
        </w:rPr>
        <w:t>根据建设项目的工程内容及其特点，明确与环境要素间的作用效应关系，根据规划环境影响评价结论和审查意见，充分利用符合时效的数据资料及成果，对建设项目主要环境影响予以重点分析和评价。</w:t>
      </w:r>
    </w:p>
    <w:p>
      <w:pPr>
        <w:pStyle w:val="4"/>
        <w:spacing w:before="156" w:after="156"/>
        <w:ind w:firstLine="482"/>
        <w:rPr>
          <w:lang w:val="zh-CN"/>
        </w:rPr>
      </w:pPr>
      <w:bookmarkStart w:id="35" w:name="_Toc141272023"/>
      <w:bookmarkStart w:id="36" w:name="_Toc108109693"/>
      <w:r>
        <w:rPr>
          <w:rFonts w:hint="eastAsia"/>
          <w:lang w:val="zh-CN"/>
        </w:rPr>
        <w:t>1</w:t>
      </w:r>
      <w:r>
        <w:rPr>
          <w:lang w:val="zh-CN"/>
        </w:rPr>
        <w:t xml:space="preserve">.5.3 </w:t>
      </w:r>
      <w:r>
        <w:rPr>
          <w:rFonts w:hint="eastAsia"/>
          <w:lang w:val="zh-CN"/>
        </w:rPr>
        <w:t>技术路线</w:t>
      </w:r>
      <w:bookmarkEnd w:id="35"/>
      <w:bookmarkEnd w:id="36"/>
    </w:p>
    <w:p>
      <w:pPr>
        <w:spacing w:before="156" w:after="156"/>
        <w:ind w:firstLine="0" w:firstLineChars="0"/>
        <w:jc w:val="center"/>
        <w:rPr>
          <w:szCs w:val="21"/>
          <w:lang w:val="zh-CN"/>
        </w:rPr>
      </w:pPr>
      <w:r>
        <w:rPr>
          <w:szCs w:val="21"/>
        </w:rPr>
        <w:drawing>
          <wp:inline distT="0" distB="0" distL="0" distR="0">
            <wp:extent cx="4359910" cy="414020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cstate="print">
                      <a:extLst>
                        <a:ext uri="{28A0092B-C50C-407E-A947-70E740481C1C}">
                          <a14:useLocalDpi xmlns:a14="http://schemas.microsoft.com/office/drawing/2010/main" val="0"/>
                        </a:ext>
                      </a:extLst>
                    </a:blip>
                    <a:srcRect b="4438"/>
                    <a:stretch>
                      <a:fillRect/>
                    </a:stretch>
                  </pic:blipFill>
                  <pic:spPr>
                    <a:xfrm>
                      <a:off x="0" y="0"/>
                      <a:ext cx="4391602" cy="4170405"/>
                    </a:xfrm>
                    <a:prstGeom prst="rect">
                      <a:avLst/>
                    </a:prstGeom>
                    <a:ln>
                      <a:noFill/>
                    </a:ln>
                  </pic:spPr>
                </pic:pic>
              </a:graphicData>
            </a:graphic>
          </wp:inline>
        </w:drawing>
      </w:r>
    </w:p>
    <w:p>
      <w:pPr>
        <w:pStyle w:val="24"/>
        <w:spacing w:before="156" w:after="156"/>
        <w:ind w:firstLine="420"/>
        <w:rPr>
          <w:sz w:val="18"/>
          <w:szCs w:val="18"/>
        </w:rPr>
      </w:pPr>
      <w:r>
        <w:rPr>
          <w:rFonts w:hint="eastAsia"/>
          <w:sz w:val="18"/>
          <w:szCs w:val="18"/>
        </w:rPr>
        <w:t>图</w:t>
      </w:r>
      <w:r>
        <w:rPr>
          <w:sz w:val="18"/>
          <w:szCs w:val="18"/>
        </w:rPr>
        <w:fldChar w:fldCharType="begin"/>
      </w:r>
      <w:r>
        <w:rPr>
          <w:sz w:val="18"/>
          <w:szCs w:val="18"/>
        </w:rPr>
        <w:instrText xml:space="preserve"> SET myBK "一九一一年一月</w:instrText>
      </w:r>
      <w:r>
        <w:rPr>
          <w:sz w:val="18"/>
          <w:szCs w:val="18"/>
        </w:rPr>
        <w:fldChar w:fldCharType="begin"/>
      </w:r>
      <w:r>
        <w:rPr>
          <w:sz w:val="18"/>
          <w:szCs w:val="18"/>
        </w:rPr>
        <w:instrText xml:space="preserve"> STYLEREF 1 \s </w:instrText>
      </w:r>
      <w:r>
        <w:rPr>
          <w:sz w:val="18"/>
          <w:szCs w:val="18"/>
        </w:rPr>
        <w:fldChar w:fldCharType="separate"/>
      </w:r>
      <w:r>
        <w:rPr>
          <w:rFonts w:hint="eastAsia"/>
          <w:sz w:val="18"/>
          <w:szCs w:val="18"/>
        </w:rPr>
        <w:instrText xml:space="preserve">一</w:instrText>
      </w:r>
      <w:r>
        <w:rPr>
          <w:sz w:val="18"/>
          <w:szCs w:val="18"/>
        </w:rPr>
        <w:fldChar w:fldCharType="end"/>
      </w:r>
      <w:r>
        <w:rPr>
          <w:sz w:val="18"/>
          <w:szCs w:val="18"/>
        </w:rPr>
        <w:instrText xml:space="preserve">日" </w:instrText>
      </w:r>
      <w:r>
        <w:rPr>
          <w:sz w:val="18"/>
          <w:szCs w:val="18"/>
        </w:rPr>
        <w:fldChar w:fldCharType="separate"/>
      </w:r>
      <w:r>
        <w:rPr>
          <w:sz w:val="18"/>
          <w:szCs w:val="18"/>
        </w:rPr>
        <w:t>一九一一年一月日</w:t>
      </w:r>
      <w:r>
        <w:rPr>
          <w:sz w:val="18"/>
          <w:szCs w:val="18"/>
        </w:rPr>
        <w:fldChar w:fldCharType="end"/>
      </w:r>
      <w:r>
        <w:rPr>
          <w:sz w:val="18"/>
          <w:szCs w:val="18"/>
        </w:rPr>
        <w:t>1</w:t>
      </w:r>
      <w:r>
        <w:rPr>
          <w:sz w:val="18"/>
          <w:szCs w:val="18"/>
        </w:rPr>
        <w:noBreakHyphen/>
      </w:r>
      <w:r>
        <w:rPr>
          <w:sz w:val="18"/>
          <w:szCs w:val="18"/>
        </w:rPr>
        <w:t>1</w:t>
      </w:r>
      <w:r>
        <w:rPr>
          <w:rFonts w:hint="eastAsia"/>
          <w:sz w:val="18"/>
          <w:szCs w:val="18"/>
        </w:rPr>
        <w:t>技术路线</w:t>
      </w:r>
    </w:p>
    <w:p>
      <w:pPr>
        <w:pStyle w:val="4"/>
        <w:spacing w:before="156" w:after="156"/>
        <w:ind w:firstLine="482"/>
        <w:rPr>
          <w:lang w:val="zh-CN"/>
        </w:rPr>
      </w:pPr>
      <w:bookmarkStart w:id="37" w:name="_Toc108109694"/>
      <w:bookmarkStart w:id="38" w:name="_Toc141272024"/>
      <w:r>
        <w:rPr>
          <w:rFonts w:hint="eastAsia"/>
          <w:lang w:val="zh-CN"/>
        </w:rPr>
        <w:t>1</w:t>
      </w:r>
      <w:r>
        <w:rPr>
          <w:lang w:val="zh-CN"/>
        </w:rPr>
        <w:t xml:space="preserve">.5.4 </w:t>
      </w:r>
      <w:r>
        <w:rPr>
          <w:rFonts w:hint="eastAsia"/>
          <w:lang w:val="zh-CN"/>
        </w:rPr>
        <w:t>指导思想</w:t>
      </w:r>
      <w:bookmarkEnd w:id="37"/>
      <w:bookmarkEnd w:id="38"/>
    </w:p>
    <w:p>
      <w:pPr>
        <w:spacing w:before="156" w:after="156"/>
        <w:ind w:firstLine="420"/>
      </w:pPr>
      <w:r>
        <w:rPr>
          <w:rFonts w:hint="eastAsia"/>
        </w:rPr>
        <w:t>根据项目特点，抓住影响环境的主要因子，有重点、有针对性地进行评价；评价方法力求科学严谨，分析论证要客观公正；评价中自始至终贯彻“清洁生产”、“达标排放”和“总量控制”等原则；规定的环保措施力求技术可靠、经济合理；充分利用已有资料和类比调查资料，在保证报告书质量前提下尽量缩短评价周期；体现环境治理与管理相结合的精神，维护环境保护与社会经济持续发展相协调的原则，使本评价做到来源于工程、服务于工程并指导工程的环境管理精神。</w:t>
      </w:r>
    </w:p>
    <w:p>
      <w:pPr>
        <w:pStyle w:val="3"/>
        <w:spacing w:before="156" w:after="156"/>
        <w:ind w:firstLine="562"/>
        <w:rPr>
          <w:lang w:val="zh-CN"/>
        </w:rPr>
      </w:pPr>
      <w:bookmarkStart w:id="39" w:name="_Toc108109695"/>
      <w:bookmarkStart w:id="40" w:name="_Toc141272025"/>
      <w:r>
        <w:rPr>
          <w:rFonts w:hint="eastAsia"/>
          <w:lang w:val="zh-CN"/>
        </w:rPr>
        <w:t>1</w:t>
      </w:r>
      <w:r>
        <w:rPr>
          <w:lang w:val="zh-CN"/>
        </w:rPr>
        <w:t xml:space="preserve">.6 </w:t>
      </w:r>
      <w:r>
        <w:rPr>
          <w:rFonts w:hint="eastAsia"/>
          <w:lang w:val="zh-CN"/>
        </w:rPr>
        <w:t>环境影响因子的识别及评价因子的确定</w:t>
      </w:r>
      <w:bookmarkEnd w:id="39"/>
      <w:bookmarkEnd w:id="40"/>
    </w:p>
    <w:p>
      <w:pPr>
        <w:spacing w:before="156" w:after="156"/>
        <w:ind w:firstLine="420"/>
      </w:pPr>
      <w:r>
        <w:rPr>
          <w:rFonts w:hint="eastAsia"/>
        </w:rPr>
        <w:t>本工程建设实施过程分为建设过程（施工期）和生产运行（营运期）两个阶段，其环境影响因素识别分别进行。</w:t>
      </w:r>
    </w:p>
    <w:p>
      <w:pPr>
        <w:pStyle w:val="4"/>
        <w:spacing w:before="156" w:after="156"/>
        <w:ind w:firstLine="482"/>
        <w:rPr>
          <w:lang w:val="zh-CN"/>
        </w:rPr>
      </w:pPr>
      <w:bookmarkStart w:id="41" w:name="_Toc108109696"/>
      <w:bookmarkStart w:id="42" w:name="_Toc141272026"/>
      <w:r>
        <w:rPr>
          <w:rFonts w:hint="eastAsia"/>
          <w:lang w:val="zh-CN"/>
        </w:rPr>
        <w:t>1</w:t>
      </w:r>
      <w:r>
        <w:rPr>
          <w:lang w:val="zh-CN"/>
        </w:rPr>
        <w:t xml:space="preserve">.6.1 </w:t>
      </w:r>
      <w:r>
        <w:rPr>
          <w:rFonts w:hint="eastAsia"/>
          <w:lang w:val="zh-CN"/>
        </w:rPr>
        <w:t>施工期环境影响因素识别</w:t>
      </w:r>
      <w:bookmarkEnd w:id="41"/>
      <w:bookmarkEnd w:id="42"/>
    </w:p>
    <w:p>
      <w:pPr>
        <w:spacing w:before="156" w:after="156"/>
        <w:ind w:firstLine="420"/>
      </w:pPr>
      <w:r>
        <w:rPr>
          <w:rFonts w:hint="eastAsia"/>
        </w:rPr>
        <w:t>拟建工程建设工期为2年。施工期间对环境的影响很大程度上取决于工程特点、施工季节以及工程所处的地形、地貌等环境因素。经分析，施工期主要环境影响情况见表1-1。</w:t>
      </w:r>
    </w:p>
    <w:p>
      <w:pPr>
        <w:pStyle w:val="24"/>
        <w:spacing w:before="156" w:after="156"/>
        <w:ind w:firstLine="420"/>
      </w:pPr>
      <w:r>
        <w:rPr>
          <w:rFonts w:hint="eastAsia"/>
        </w:rPr>
        <w:t>表</w:t>
      </w:r>
      <w:r>
        <w:fldChar w:fldCharType="begin"/>
      </w:r>
      <w:r>
        <w:instrText xml:space="preserve"> SET myBK "一九一一年一月</w:instrText>
      </w:r>
      <w:r>
        <w:fldChar w:fldCharType="begin"/>
      </w:r>
      <w:r>
        <w:instrText xml:space="preserve"> STYLEREF 1 \s </w:instrText>
      </w:r>
      <w:r>
        <w:fldChar w:fldCharType="separate"/>
      </w:r>
      <w:r>
        <w:rPr>
          <w:rFonts w:hint="eastAsia"/>
        </w:rPr>
        <w:instrText xml:space="preserve">一</w:instrText>
      </w:r>
      <w:r>
        <w:rPr>
          <w:rFonts w:hint="eastAsia"/>
        </w:rPr>
        <w:fldChar w:fldCharType="end"/>
      </w:r>
      <w:r>
        <w:instrText xml:space="preserve">日" </w:instrText>
      </w:r>
      <w:r>
        <w:fldChar w:fldCharType="separate"/>
      </w:r>
      <w:r>
        <w:t>日</w:t>
      </w:r>
      <w:r>
        <w:fldChar w:fldCharType="end"/>
      </w:r>
      <w:r>
        <w:t>1</w:t>
      </w:r>
      <w:r>
        <w:noBreakHyphen/>
      </w:r>
      <w:r>
        <w:t xml:space="preserve">1 </w:t>
      </w:r>
      <w:r>
        <w:rPr>
          <w:rFonts w:hint="eastAsia"/>
        </w:rPr>
        <w:t>施工期主要环境影响因素</w:t>
      </w:r>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215"/>
        <w:gridCol w:w="4876"/>
        <w:gridCol w:w="2205"/>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215"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28"/>
              <w:spacing w:line="240" w:lineRule="auto"/>
              <w:jc w:val="center"/>
              <w:rPr>
                <w:rFonts w:asciiTheme="minorHAnsi" w:hAnsiTheme="minorHAnsi" w:eastAsiaTheme="minorEastAsia"/>
                <w:b/>
                <w:bCs w:val="0"/>
                <w:color w:val="FFFFFF" w:themeColor="background1"/>
                <w14:textFill>
                  <w14:solidFill>
                    <w14:schemeClr w14:val="bg1"/>
                  </w14:solidFill>
                </w14:textFill>
              </w:rPr>
            </w:pPr>
            <w:r>
              <w:rPr>
                <w:rFonts w:asciiTheme="minorHAnsi" w:hAnsiTheme="minorHAnsi" w:eastAsiaTheme="minorEastAsia"/>
                <w:b/>
                <w:bCs w:val="0"/>
                <w:color w:val="FFFFFF" w:themeColor="background1"/>
                <w14:textFill>
                  <w14:solidFill>
                    <w14:schemeClr w14:val="bg1"/>
                  </w14:solidFill>
                </w14:textFill>
              </w:rPr>
              <w:t>名称</w:t>
            </w:r>
          </w:p>
        </w:tc>
        <w:tc>
          <w:tcPr>
            <w:tcW w:w="48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28"/>
              <w:spacing w:line="240" w:lineRule="auto"/>
              <w:jc w:val="center"/>
              <w:rPr>
                <w:rFonts w:asciiTheme="minorHAnsi" w:hAnsiTheme="minorHAnsi" w:eastAsiaTheme="minorEastAsia"/>
                <w:b/>
                <w:bCs w:val="0"/>
                <w:color w:val="FFFFFF" w:themeColor="background1"/>
                <w14:textFill>
                  <w14:solidFill>
                    <w14:schemeClr w14:val="bg1"/>
                  </w14:solidFill>
                </w14:textFill>
              </w:rPr>
            </w:pPr>
            <w:r>
              <w:rPr>
                <w:rFonts w:asciiTheme="minorHAnsi" w:hAnsiTheme="minorHAnsi" w:eastAsiaTheme="minorEastAsia"/>
                <w:b/>
                <w:bCs w:val="0"/>
                <w:color w:val="FFFFFF" w:themeColor="background1"/>
                <w14:textFill>
                  <w14:solidFill>
                    <w14:schemeClr w14:val="bg1"/>
                  </w14:solidFill>
                </w14:textFill>
              </w:rPr>
              <w:t>产生影响的主要内容</w:t>
            </w:r>
          </w:p>
        </w:tc>
        <w:tc>
          <w:tcPr>
            <w:tcW w:w="2205"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28"/>
              <w:spacing w:line="240" w:lineRule="auto"/>
              <w:jc w:val="center"/>
              <w:rPr>
                <w:rFonts w:asciiTheme="minorHAnsi" w:hAnsiTheme="minorHAnsi" w:eastAsiaTheme="minorEastAsia"/>
                <w:b/>
                <w:bCs w:val="0"/>
                <w:color w:val="FFFFFF" w:themeColor="background1"/>
                <w14:textFill>
                  <w14:solidFill>
                    <w14:schemeClr w14:val="bg1"/>
                  </w14:solidFill>
                </w14:textFill>
              </w:rPr>
            </w:pPr>
            <w:r>
              <w:rPr>
                <w:rFonts w:asciiTheme="minorHAnsi" w:hAnsiTheme="minorHAnsi" w:eastAsiaTheme="minorEastAsia"/>
                <w:b/>
                <w:bCs w:val="0"/>
                <w:color w:val="FFFFFF" w:themeColor="background1"/>
                <w14:textFill>
                  <w14:solidFill>
                    <w14:schemeClr w14:val="bg1"/>
                  </w14:solidFill>
                </w14:textFill>
              </w:rPr>
              <w:t>主要影响因素</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215" w:type="dxa"/>
            <w:vMerge w:val="restart"/>
            <w:shd w:val="clear" w:color="auto" w:fill="D9E2F3" w:themeFill="accent1" w:themeFillTint="33"/>
            <w:vAlign w:val="center"/>
          </w:tcPr>
          <w:p>
            <w:pPr>
              <w:pStyle w:val="28"/>
              <w:spacing w:line="240" w:lineRule="auto"/>
              <w:jc w:val="center"/>
              <w:rPr>
                <w:rFonts w:asciiTheme="minorHAnsi" w:hAnsiTheme="minorHAnsi" w:eastAsiaTheme="minorEastAsia"/>
                <w:b/>
                <w:bCs w:val="0"/>
              </w:rPr>
            </w:pPr>
            <w:r>
              <w:rPr>
                <w:rFonts w:asciiTheme="minorHAnsi" w:hAnsiTheme="minorHAnsi" w:eastAsiaTheme="minorEastAsia"/>
                <w:b/>
                <w:bCs w:val="0"/>
              </w:rPr>
              <w:t>环境空气</w:t>
            </w:r>
          </w:p>
        </w:tc>
        <w:tc>
          <w:tcPr>
            <w:tcW w:w="4876" w:type="dxa"/>
            <w:shd w:val="clear" w:color="auto" w:fill="D9E2F3" w:themeFill="accent1" w:themeFillTint="33"/>
            <w:vAlign w:val="center"/>
          </w:tcPr>
          <w:p>
            <w:pPr>
              <w:pStyle w:val="28"/>
              <w:spacing w:line="240" w:lineRule="auto"/>
              <w:jc w:val="center"/>
              <w:rPr>
                <w:rFonts w:asciiTheme="minorHAnsi" w:hAnsiTheme="minorHAnsi" w:eastAsiaTheme="minorEastAsia"/>
              </w:rPr>
            </w:pPr>
            <w:r>
              <w:rPr>
                <w:rFonts w:asciiTheme="minorHAnsi" w:hAnsiTheme="minorHAnsi" w:eastAsiaTheme="minorEastAsia"/>
              </w:rPr>
              <w:t>土地平整、挖掘，土石方、建材运输、存放、使用</w:t>
            </w:r>
          </w:p>
        </w:tc>
        <w:tc>
          <w:tcPr>
            <w:tcW w:w="2205" w:type="dxa"/>
            <w:shd w:val="clear" w:color="auto" w:fill="D9E2F3" w:themeFill="accent1" w:themeFillTint="33"/>
            <w:vAlign w:val="center"/>
          </w:tcPr>
          <w:p>
            <w:pPr>
              <w:pStyle w:val="28"/>
              <w:spacing w:line="240" w:lineRule="auto"/>
              <w:jc w:val="center"/>
              <w:rPr>
                <w:rFonts w:asciiTheme="minorHAnsi" w:hAnsiTheme="minorHAnsi" w:eastAsiaTheme="minorEastAsia"/>
              </w:rPr>
            </w:pPr>
            <w:r>
              <w:rPr>
                <w:rFonts w:asciiTheme="minorHAnsi" w:hAnsiTheme="minorHAnsi" w:eastAsiaTheme="minorEastAsia"/>
              </w:rPr>
              <w:t>扬尘</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215" w:type="dxa"/>
            <w:vMerge w:val="continue"/>
            <w:vAlign w:val="center"/>
          </w:tcPr>
          <w:p>
            <w:pPr>
              <w:pStyle w:val="28"/>
              <w:spacing w:line="240" w:lineRule="auto"/>
              <w:jc w:val="center"/>
              <w:rPr>
                <w:rFonts w:asciiTheme="minorHAnsi" w:hAnsiTheme="minorHAnsi" w:eastAsiaTheme="minorEastAsia"/>
                <w:b/>
                <w:bCs w:val="0"/>
              </w:rPr>
            </w:pPr>
          </w:p>
        </w:tc>
        <w:tc>
          <w:tcPr>
            <w:tcW w:w="4876" w:type="dxa"/>
            <w:vAlign w:val="center"/>
          </w:tcPr>
          <w:p>
            <w:pPr>
              <w:pStyle w:val="28"/>
              <w:spacing w:line="240" w:lineRule="auto"/>
              <w:jc w:val="center"/>
              <w:rPr>
                <w:rFonts w:asciiTheme="minorHAnsi" w:hAnsiTheme="minorHAnsi" w:eastAsiaTheme="minorEastAsia"/>
              </w:rPr>
            </w:pPr>
            <w:r>
              <w:rPr>
                <w:rFonts w:asciiTheme="minorHAnsi" w:hAnsiTheme="minorHAnsi" w:eastAsiaTheme="minorEastAsia"/>
              </w:rPr>
              <w:t>施工车辆尾气</w:t>
            </w:r>
          </w:p>
        </w:tc>
        <w:tc>
          <w:tcPr>
            <w:tcW w:w="2205" w:type="dxa"/>
            <w:vAlign w:val="center"/>
          </w:tcPr>
          <w:p>
            <w:pPr>
              <w:pStyle w:val="28"/>
              <w:spacing w:line="240" w:lineRule="auto"/>
              <w:jc w:val="center"/>
              <w:rPr>
                <w:rFonts w:asciiTheme="minorHAnsi" w:hAnsiTheme="minorHAnsi" w:eastAsiaTheme="minorEastAsia"/>
              </w:rPr>
            </w:pPr>
            <w:r>
              <w:rPr>
                <w:rFonts w:asciiTheme="minorHAnsi" w:hAnsiTheme="minorHAnsi" w:eastAsiaTheme="minorEastAsia"/>
              </w:rPr>
              <w:t>NO</w:t>
            </w:r>
            <w:r>
              <w:rPr>
                <w:rFonts w:asciiTheme="minorHAnsi" w:hAnsiTheme="minorHAnsi" w:eastAsiaTheme="minorEastAsia"/>
                <w:vertAlign w:val="subscript"/>
              </w:rPr>
              <w:t>X</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215" w:type="dxa"/>
            <w:shd w:val="clear" w:color="auto" w:fill="D9E2F3" w:themeFill="accent1" w:themeFillTint="33"/>
            <w:vAlign w:val="center"/>
          </w:tcPr>
          <w:p>
            <w:pPr>
              <w:pStyle w:val="28"/>
              <w:spacing w:line="240" w:lineRule="auto"/>
              <w:jc w:val="center"/>
              <w:rPr>
                <w:rFonts w:asciiTheme="minorHAnsi" w:hAnsiTheme="minorHAnsi" w:eastAsiaTheme="minorEastAsia"/>
                <w:b/>
                <w:bCs w:val="0"/>
              </w:rPr>
            </w:pPr>
            <w:r>
              <w:rPr>
                <w:rFonts w:asciiTheme="minorHAnsi" w:hAnsiTheme="minorHAnsi" w:eastAsiaTheme="minorEastAsia"/>
                <w:b/>
                <w:bCs w:val="0"/>
              </w:rPr>
              <w:t>水环境</w:t>
            </w:r>
          </w:p>
        </w:tc>
        <w:tc>
          <w:tcPr>
            <w:tcW w:w="4876" w:type="dxa"/>
            <w:shd w:val="clear" w:color="auto" w:fill="D9E2F3" w:themeFill="accent1" w:themeFillTint="33"/>
            <w:vAlign w:val="center"/>
          </w:tcPr>
          <w:p>
            <w:pPr>
              <w:pStyle w:val="28"/>
              <w:spacing w:line="240" w:lineRule="auto"/>
              <w:jc w:val="center"/>
              <w:rPr>
                <w:rFonts w:asciiTheme="minorHAnsi" w:hAnsiTheme="minorHAnsi" w:eastAsiaTheme="minorEastAsia"/>
              </w:rPr>
            </w:pPr>
            <w:r>
              <w:rPr>
                <w:rFonts w:asciiTheme="minorHAnsi" w:hAnsiTheme="minorHAnsi" w:eastAsiaTheme="minorEastAsia"/>
              </w:rPr>
              <w:t>施工人员生活废水等</w:t>
            </w:r>
          </w:p>
        </w:tc>
        <w:tc>
          <w:tcPr>
            <w:tcW w:w="2205" w:type="dxa"/>
            <w:shd w:val="clear" w:color="auto" w:fill="D9E2F3" w:themeFill="accent1" w:themeFillTint="33"/>
            <w:vAlign w:val="center"/>
          </w:tcPr>
          <w:p>
            <w:pPr>
              <w:pStyle w:val="28"/>
              <w:spacing w:line="240" w:lineRule="auto"/>
              <w:jc w:val="center"/>
              <w:rPr>
                <w:rFonts w:asciiTheme="minorHAnsi" w:hAnsiTheme="minorHAnsi" w:eastAsiaTheme="minorEastAsia"/>
              </w:rPr>
            </w:pPr>
            <w:r>
              <w:rPr>
                <w:rFonts w:asciiTheme="minorHAnsi" w:hAnsiTheme="minorHAnsi" w:eastAsiaTheme="minorEastAsia"/>
              </w:rPr>
              <w:t>COD、SS、BOD</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215" w:type="dxa"/>
            <w:vAlign w:val="center"/>
          </w:tcPr>
          <w:p>
            <w:pPr>
              <w:pStyle w:val="28"/>
              <w:spacing w:line="240" w:lineRule="auto"/>
              <w:jc w:val="center"/>
              <w:rPr>
                <w:rFonts w:asciiTheme="minorHAnsi" w:hAnsiTheme="minorHAnsi" w:eastAsiaTheme="minorEastAsia"/>
                <w:b/>
                <w:bCs w:val="0"/>
              </w:rPr>
            </w:pPr>
            <w:r>
              <w:rPr>
                <w:rFonts w:asciiTheme="minorHAnsi" w:hAnsiTheme="minorHAnsi" w:eastAsiaTheme="minorEastAsia"/>
                <w:b/>
                <w:bCs w:val="0"/>
              </w:rPr>
              <w:t>声环境</w:t>
            </w:r>
          </w:p>
        </w:tc>
        <w:tc>
          <w:tcPr>
            <w:tcW w:w="4876" w:type="dxa"/>
            <w:vAlign w:val="center"/>
          </w:tcPr>
          <w:p>
            <w:pPr>
              <w:pStyle w:val="28"/>
              <w:spacing w:line="240" w:lineRule="auto"/>
              <w:jc w:val="center"/>
              <w:rPr>
                <w:rFonts w:asciiTheme="minorHAnsi" w:hAnsiTheme="minorHAnsi" w:eastAsiaTheme="minorEastAsia"/>
              </w:rPr>
            </w:pPr>
            <w:r>
              <w:rPr>
                <w:rFonts w:asciiTheme="minorHAnsi" w:hAnsiTheme="minorHAnsi" w:eastAsiaTheme="minorEastAsia"/>
              </w:rPr>
              <w:t>施工机械作业、车辆运输噪声</w:t>
            </w:r>
          </w:p>
        </w:tc>
        <w:tc>
          <w:tcPr>
            <w:tcW w:w="2205" w:type="dxa"/>
            <w:vAlign w:val="center"/>
          </w:tcPr>
          <w:p>
            <w:pPr>
              <w:pStyle w:val="28"/>
              <w:spacing w:line="240" w:lineRule="auto"/>
              <w:jc w:val="center"/>
              <w:rPr>
                <w:rFonts w:asciiTheme="minorHAnsi" w:hAnsiTheme="minorHAnsi" w:eastAsiaTheme="minorEastAsia"/>
              </w:rPr>
            </w:pPr>
            <w:r>
              <w:rPr>
                <w:rFonts w:asciiTheme="minorHAnsi" w:hAnsiTheme="minorHAnsi" w:eastAsiaTheme="minorEastAsia"/>
              </w:rPr>
              <w:t>噪声</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215" w:type="dxa"/>
            <w:shd w:val="clear" w:color="auto" w:fill="D9E2F3" w:themeFill="accent1" w:themeFillTint="33"/>
            <w:vAlign w:val="center"/>
          </w:tcPr>
          <w:p>
            <w:pPr>
              <w:pStyle w:val="28"/>
              <w:spacing w:line="240" w:lineRule="auto"/>
              <w:jc w:val="center"/>
              <w:rPr>
                <w:rFonts w:asciiTheme="minorHAnsi" w:hAnsiTheme="minorHAnsi" w:eastAsiaTheme="minorEastAsia"/>
                <w:b/>
                <w:bCs w:val="0"/>
              </w:rPr>
            </w:pPr>
            <w:r>
              <w:rPr>
                <w:rFonts w:asciiTheme="minorHAnsi" w:hAnsiTheme="minorHAnsi" w:eastAsiaTheme="minorEastAsia"/>
                <w:b/>
                <w:bCs w:val="0"/>
              </w:rPr>
              <w:t>生态环境</w:t>
            </w:r>
          </w:p>
        </w:tc>
        <w:tc>
          <w:tcPr>
            <w:tcW w:w="4876" w:type="dxa"/>
            <w:shd w:val="clear" w:color="auto" w:fill="D9E2F3" w:themeFill="accent1" w:themeFillTint="33"/>
            <w:vAlign w:val="center"/>
          </w:tcPr>
          <w:p>
            <w:pPr>
              <w:pStyle w:val="28"/>
              <w:spacing w:line="240" w:lineRule="auto"/>
              <w:jc w:val="center"/>
              <w:rPr>
                <w:rFonts w:asciiTheme="minorHAnsi" w:hAnsiTheme="minorHAnsi" w:eastAsiaTheme="minorEastAsia"/>
              </w:rPr>
            </w:pPr>
            <w:r>
              <w:rPr>
                <w:rFonts w:asciiTheme="minorHAnsi" w:hAnsiTheme="minorHAnsi" w:eastAsiaTheme="minorEastAsia"/>
              </w:rPr>
              <w:t>土地平整、挖掘及工程占地</w:t>
            </w:r>
          </w:p>
        </w:tc>
        <w:tc>
          <w:tcPr>
            <w:tcW w:w="2205" w:type="dxa"/>
            <w:shd w:val="clear" w:color="auto" w:fill="D9E2F3" w:themeFill="accent1" w:themeFillTint="33"/>
            <w:vAlign w:val="center"/>
          </w:tcPr>
          <w:p>
            <w:pPr>
              <w:pStyle w:val="28"/>
              <w:spacing w:line="240" w:lineRule="auto"/>
              <w:jc w:val="center"/>
              <w:rPr>
                <w:rFonts w:asciiTheme="minorHAnsi" w:hAnsiTheme="minorHAnsi" w:eastAsiaTheme="minorEastAsia"/>
              </w:rPr>
            </w:pPr>
            <w:r>
              <w:rPr>
                <w:rFonts w:asciiTheme="minorHAnsi" w:hAnsiTheme="minorHAnsi" w:eastAsiaTheme="minorEastAsia"/>
              </w:rPr>
              <w:t>水土流失、植被破坏</w:t>
            </w:r>
          </w:p>
        </w:tc>
      </w:tr>
    </w:tbl>
    <w:p>
      <w:pPr>
        <w:pStyle w:val="4"/>
        <w:spacing w:before="156" w:after="156"/>
        <w:ind w:firstLine="482"/>
        <w:rPr>
          <w:lang w:val="zh-CN"/>
        </w:rPr>
      </w:pPr>
      <w:bookmarkStart w:id="43" w:name="_Toc141272027"/>
      <w:bookmarkStart w:id="44" w:name="_Toc108109697"/>
      <w:r>
        <w:rPr>
          <w:rFonts w:hint="eastAsia"/>
          <w:lang w:val="zh-CN"/>
        </w:rPr>
        <w:t>1</w:t>
      </w:r>
      <w:r>
        <w:rPr>
          <w:lang w:val="zh-CN"/>
        </w:rPr>
        <w:t xml:space="preserve">.6.2 </w:t>
      </w:r>
      <w:r>
        <w:rPr>
          <w:rFonts w:hint="eastAsia"/>
          <w:lang w:val="zh-CN"/>
        </w:rPr>
        <w:t>营运期环境影响因素识别及确定</w:t>
      </w:r>
      <w:bookmarkEnd w:id="43"/>
      <w:bookmarkEnd w:id="44"/>
    </w:p>
    <w:p>
      <w:pPr>
        <w:spacing w:before="156" w:after="156"/>
        <w:ind w:firstLine="420"/>
      </w:pPr>
      <w:r>
        <w:rPr>
          <w:rFonts w:hint="eastAsia"/>
        </w:rPr>
        <w:t>根据拟建工程的排污特点以及其所处环境特征，环境影响因子的识别见表1-2。</w:t>
      </w:r>
    </w:p>
    <w:p>
      <w:pPr>
        <w:pStyle w:val="24"/>
        <w:spacing w:before="156" w:after="156"/>
        <w:ind w:firstLine="420"/>
        <w:rPr>
          <w:sz w:val="18"/>
          <w:szCs w:val="18"/>
        </w:rPr>
      </w:pPr>
      <w:r>
        <w:rPr>
          <w:rFonts w:hint="eastAsia"/>
          <w:sz w:val="18"/>
          <w:szCs w:val="18"/>
        </w:rPr>
        <w:t>表</w:t>
      </w:r>
      <w:r>
        <w:rPr>
          <w:sz w:val="18"/>
          <w:szCs w:val="18"/>
        </w:rPr>
        <w:fldChar w:fldCharType="begin"/>
      </w:r>
      <w:r>
        <w:rPr>
          <w:sz w:val="18"/>
          <w:szCs w:val="18"/>
        </w:rPr>
        <w:instrText xml:space="preserve"> SET myBK "一九一一年一月</w:instrText>
      </w:r>
      <w:r>
        <w:rPr>
          <w:sz w:val="18"/>
          <w:szCs w:val="18"/>
        </w:rPr>
        <w:fldChar w:fldCharType="begin"/>
      </w:r>
      <w:r>
        <w:rPr>
          <w:sz w:val="18"/>
          <w:szCs w:val="18"/>
        </w:rPr>
        <w:instrText xml:space="preserve"> STYLEREF 1 \s </w:instrText>
      </w:r>
      <w:r>
        <w:rPr>
          <w:sz w:val="18"/>
          <w:szCs w:val="18"/>
        </w:rPr>
        <w:fldChar w:fldCharType="separate"/>
      </w:r>
      <w:r>
        <w:rPr>
          <w:rFonts w:hint="eastAsia"/>
          <w:sz w:val="18"/>
          <w:szCs w:val="18"/>
        </w:rPr>
        <w:instrText xml:space="preserve">一</w:instrText>
      </w:r>
      <w:r>
        <w:rPr>
          <w:sz w:val="18"/>
          <w:szCs w:val="18"/>
        </w:rPr>
        <w:fldChar w:fldCharType="end"/>
      </w:r>
      <w:r>
        <w:rPr>
          <w:sz w:val="18"/>
          <w:szCs w:val="18"/>
        </w:rPr>
        <w:instrText xml:space="preserve">日" </w:instrText>
      </w:r>
      <w:r>
        <w:rPr>
          <w:sz w:val="18"/>
          <w:szCs w:val="18"/>
        </w:rPr>
        <w:fldChar w:fldCharType="separate"/>
      </w:r>
      <w:r>
        <w:rPr>
          <w:sz w:val="18"/>
          <w:szCs w:val="18"/>
        </w:rPr>
        <w:t>日</w:t>
      </w:r>
      <w:r>
        <w:rPr>
          <w:sz w:val="18"/>
          <w:szCs w:val="18"/>
        </w:rPr>
        <w:fldChar w:fldCharType="end"/>
      </w:r>
      <w:r>
        <w:rPr>
          <w:sz w:val="18"/>
          <w:szCs w:val="18"/>
        </w:rPr>
        <w:fldChar w:fldCharType="begin"/>
      </w:r>
      <w:r>
        <w:rPr>
          <w:sz w:val="18"/>
          <w:szCs w:val="18"/>
        </w:rPr>
        <w:instrText xml:space="preserve"> myBK \@ "D" </w:instrText>
      </w:r>
      <w:r>
        <w:rPr>
          <w:sz w:val="18"/>
          <w:szCs w:val="18"/>
        </w:rPr>
        <w:fldChar w:fldCharType="separate"/>
      </w:r>
      <w:r>
        <w:rPr>
          <w:sz w:val="18"/>
          <w:szCs w:val="18"/>
        </w:rPr>
        <w:t>1</w:t>
      </w:r>
      <w:r>
        <w:rPr>
          <w:sz w:val="18"/>
          <w:szCs w:val="18"/>
        </w:rPr>
        <w:fldChar w:fldCharType="end"/>
      </w:r>
      <w:r>
        <w:rPr>
          <w:sz w:val="18"/>
          <w:szCs w:val="18"/>
        </w:rPr>
        <w:noBreakHyphen/>
      </w:r>
      <w:r>
        <w:rPr>
          <w:sz w:val="18"/>
          <w:szCs w:val="18"/>
        </w:rPr>
        <w:t xml:space="preserve">2 </w:t>
      </w:r>
      <w:r>
        <w:rPr>
          <w:rFonts w:hint="eastAsia"/>
          <w:sz w:val="18"/>
          <w:szCs w:val="18"/>
        </w:rPr>
        <w:t>环境影响因素识别表</w:t>
      </w:r>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660"/>
        <w:gridCol w:w="1661"/>
        <w:gridCol w:w="1661"/>
        <w:gridCol w:w="1662"/>
        <w:gridCol w:w="1662"/>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34" w:hRule="atLeast"/>
          <w:jc w:val="center"/>
        </w:trPr>
        <w:tc>
          <w:tcPr>
            <w:tcW w:w="1660" w:type="dxa"/>
            <w:vMerge w:val="restart"/>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28"/>
              <w:spacing w:line="240" w:lineRule="auto"/>
              <w:jc w:val="center"/>
              <w:rPr>
                <w:rFonts w:ascii="宋体" w:hAnsi="宋体" w:eastAsiaTheme="minorEastAsia"/>
                <w:b/>
                <w:bCs w:val="0"/>
                <w:color w:val="FFFFFF" w:themeColor="background1"/>
                <w14:textFill>
                  <w14:solidFill>
                    <w14:schemeClr w14:val="bg1"/>
                  </w14:solidFill>
                </w14:textFill>
              </w:rPr>
            </w:pPr>
            <w:r>
              <w:rPr>
                <w:rFonts w:hint="eastAsia" w:ascii="宋体" w:hAnsi="宋体" w:eastAsiaTheme="minorEastAsia"/>
                <w:b/>
                <w:bCs w:val="0"/>
                <w:color w:val="FFFFFF" w:themeColor="background1"/>
                <w14:textFill>
                  <w14:solidFill>
                    <w14:schemeClr w14:val="bg1"/>
                  </w14:solidFill>
                </w14:textFill>
              </w:rPr>
              <w:t>环境</w:t>
            </w:r>
            <w:r>
              <w:rPr>
                <w:rFonts w:ascii="宋体" w:hAnsi="宋体" w:eastAsiaTheme="minorEastAsia"/>
                <w:b/>
                <w:bCs w:val="0"/>
                <w:color w:val="FFFFFF" w:themeColor="background1"/>
                <w14:textFill>
                  <w14:solidFill>
                    <w14:schemeClr w14:val="bg1"/>
                  </w14:solidFill>
                </w14:textFill>
              </w:rPr>
              <w:t>要素</w:t>
            </w:r>
          </w:p>
        </w:tc>
        <w:tc>
          <w:tcPr>
            <w:tcW w:w="6646" w:type="dxa"/>
            <w:gridSpan w:val="4"/>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28"/>
              <w:spacing w:line="240" w:lineRule="auto"/>
              <w:jc w:val="center"/>
              <w:rPr>
                <w:rFonts w:ascii="宋体" w:hAnsi="宋体" w:eastAsiaTheme="minorEastAsia"/>
                <w:b/>
                <w:bCs w:val="0"/>
                <w:color w:val="FFFFFF" w:themeColor="background1"/>
                <w14:textFill>
                  <w14:solidFill>
                    <w14:schemeClr w14:val="bg1"/>
                  </w14:solidFill>
                </w14:textFill>
              </w:rPr>
            </w:pPr>
            <w:r>
              <w:rPr>
                <w:rFonts w:hint="eastAsia" w:ascii="宋体" w:hAnsi="宋体" w:eastAsiaTheme="minorEastAsia"/>
                <w:b/>
                <w:bCs w:val="0"/>
                <w:color w:val="FFFFFF" w:themeColor="background1"/>
                <w14:textFill>
                  <w14:solidFill>
                    <w14:schemeClr w14:val="bg1"/>
                  </w14:solidFill>
                </w14:textFill>
              </w:rPr>
              <w:t>影响</w:t>
            </w:r>
            <w:r>
              <w:rPr>
                <w:rFonts w:ascii="宋体" w:hAnsi="宋体" w:eastAsiaTheme="minorEastAsia"/>
                <w:b/>
                <w:bCs w:val="0"/>
                <w:color w:val="FFFFFF" w:themeColor="background1"/>
                <w14:textFill>
                  <w14:solidFill>
                    <w14:schemeClr w14:val="bg1"/>
                  </w14:solidFill>
                </w14:textFill>
              </w:rPr>
              <w:t>因子</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34" w:hRule="atLeast"/>
          <w:jc w:val="center"/>
        </w:trPr>
        <w:tc>
          <w:tcPr>
            <w:tcW w:w="1660" w:type="dxa"/>
            <w:vMerge w:val="continue"/>
            <w:shd w:val="clear" w:color="auto" w:fill="D9E2F3" w:themeFill="accent1" w:themeFillTint="33"/>
            <w:vAlign w:val="center"/>
          </w:tcPr>
          <w:p>
            <w:pPr>
              <w:pStyle w:val="28"/>
              <w:spacing w:line="240" w:lineRule="auto"/>
              <w:jc w:val="center"/>
              <w:rPr>
                <w:rFonts w:ascii="宋体" w:hAnsi="宋体" w:eastAsiaTheme="minorEastAsia"/>
                <w:b/>
                <w:bCs w:val="0"/>
              </w:rPr>
            </w:pPr>
          </w:p>
        </w:tc>
        <w:tc>
          <w:tcPr>
            <w:tcW w:w="1661" w:type="dxa"/>
            <w:shd w:val="clear" w:color="auto" w:fill="D9E2F3" w:themeFill="accent1" w:themeFillTint="33"/>
            <w:vAlign w:val="center"/>
          </w:tcPr>
          <w:p>
            <w:pPr>
              <w:pStyle w:val="28"/>
              <w:spacing w:line="240" w:lineRule="auto"/>
              <w:jc w:val="center"/>
              <w:rPr>
                <w:rFonts w:ascii="宋体" w:hAnsi="宋体" w:eastAsiaTheme="minorEastAsia"/>
              </w:rPr>
            </w:pPr>
            <w:r>
              <w:rPr>
                <w:rFonts w:hint="eastAsia" w:ascii="宋体" w:hAnsi="宋体" w:eastAsiaTheme="minorEastAsia"/>
              </w:rPr>
              <w:t>废气</w:t>
            </w:r>
          </w:p>
        </w:tc>
        <w:tc>
          <w:tcPr>
            <w:tcW w:w="1661" w:type="dxa"/>
            <w:shd w:val="clear" w:color="auto" w:fill="D9E2F3" w:themeFill="accent1" w:themeFillTint="33"/>
            <w:vAlign w:val="center"/>
          </w:tcPr>
          <w:p>
            <w:pPr>
              <w:pStyle w:val="28"/>
              <w:spacing w:line="240" w:lineRule="auto"/>
              <w:jc w:val="center"/>
              <w:rPr>
                <w:rFonts w:ascii="宋体" w:hAnsi="宋体" w:eastAsiaTheme="minorEastAsia"/>
              </w:rPr>
            </w:pPr>
            <w:r>
              <w:rPr>
                <w:rFonts w:hint="eastAsia" w:ascii="宋体" w:hAnsi="宋体" w:eastAsiaTheme="minorEastAsia"/>
              </w:rPr>
              <w:t>废水</w:t>
            </w:r>
          </w:p>
        </w:tc>
        <w:tc>
          <w:tcPr>
            <w:tcW w:w="1662" w:type="dxa"/>
            <w:shd w:val="clear" w:color="auto" w:fill="D9E2F3" w:themeFill="accent1" w:themeFillTint="33"/>
            <w:vAlign w:val="center"/>
          </w:tcPr>
          <w:p>
            <w:pPr>
              <w:pStyle w:val="28"/>
              <w:spacing w:line="240" w:lineRule="auto"/>
              <w:jc w:val="center"/>
              <w:rPr>
                <w:rFonts w:ascii="宋体" w:hAnsi="宋体" w:eastAsiaTheme="minorEastAsia"/>
              </w:rPr>
            </w:pPr>
            <w:r>
              <w:rPr>
                <w:rFonts w:hint="eastAsia" w:ascii="宋体" w:hAnsi="宋体" w:eastAsiaTheme="minorEastAsia"/>
              </w:rPr>
              <w:t>噪声</w:t>
            </w:r>
          </w:p>
        </w:tc>
        <w:tc>
          <w:tcPr>
            <w:tcW w:w="1662" w:type="dxa"/>
            <w:shd w:val="clear" w:color="auto" w:fill="D9E2F3" w:themeFill="accent1" w:themeFillTint="33"/>
            <w:vAlign w:val="center"/>
          </w:tcPr>
          <w:p>
            <w:pPr>
              <w:pStyle w:val="28"/>
              <w:spacing w:line="240" w:lineRule="auto"/>
              <w:jc w:val="center"/>
              <w:rPr>
                <w:rFonts w:ascii="宋体" w:hAnsi="宋体" w:eastAsiaTheme="minorEastAsia"/>
              </w:rPr>
            </w:pPr>
            <w:r>
              <w:rPr>
                <w:rFonts w:hint="eastAsia" w:ascii="宋体" w:hAnsi="宋体" w:eastAsiaTheme="minorEastAsia"/>
              </w:rPr>
              <w:t>固废</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60" w:type="dxa"/>
            <w:vAlign w:val="center"/>
          </w:tcPr>
          <w:p>
            <w:pPr>
              <w:pStyle w:val="28"/>
              <w:spacing w:line="240" w:lineRule="auto"/>
              <w:jc w:val="center"/>
              <w:rPr>
                <w:rFonts w:ascii="宋体" w:hAnsi="宋体" w:eastAsiaTheme="minorEastAsia"/>
                <w:b/>
                <w:bCs w:val="0"/>
              </w:rPr>
            </w:pPr>
            <w:r>
              <w:rPr>
                <w:rFonts w:hint="eastAsia" w:ascii="宋体" w:hAnsi="宋体" w:eastAsiaTheme="minorEastAsia"/>
                <w:b/>
                <w:bCs w:val="0"/>
              </w:rPr>
              <w:t>环境</w:t>
            </w:r>
            <w:r>
              <w:rPr>
                <w:rFonts w:ascii="宋体" w:hAnsi="宋体" w:eastAsiaTheme="minorEastAsia"/>
                <w:b/>
                <w:bCs w:val="0"/>
              </w:rPr>
              <w:t>空气</w:t>
            </w:r>
          </w:p>
        </w:tc>
        <w:tc>
          <w:tcPr>
            <w:tcW w:w="1661" w:type="dxa"/>
            <w:vAlign w:val="center"/>
          </w:tcPr>
          <w:p>
            <w:pPr>
              <w:pStyle w:val="28"/>
              <w:spacing w:line="240" w:lineRule="auto"/>
              <w:jc w:val="center"/>
              <w:rPr>
                <w:rFonts w:ascii="宋体" w:hAnsi="宋体" w:eastAsiaTheme="minorEastAsia"/>
              </w:rPr>
            </w:pPr>
            <w:r>
              <w:rPr>
                <w:rFonts w:hint="eastAsia" w:ascii="宋体" w:hAnsi="宋体" w:eastAsiaTheme="minorEastAsia"/>
              </w:rPr>
              <w:t>有影响</w:t>
            </w:r>
          </w:p>
        </w:tc>
        <w:tc>
          <w:tcPr>
            <w:tcW w:w="1661" w:type="dxa"/>
            <w:vAlign w:val="center"/>
          </w:tcPr>
          <w:p>
            <w:pPr>
              <w:pStyle w:val="28"/>
              <w:spacing w:line="240" w:lineRule="auto"/>
              <w:jc w:val="center"/>
              <w:rPr>
                <w:rFonts w:ascii="宋体" w:hAnsi="宋体" w:eastAsiaTheme="minorEastAsia"/>
              </w:rPr>
            </w:pPr>
            <w:r>
              <w:rPr>
                <w:rFonts w:hint="eastAsia" w:ascii="宋体" w:hAnsi="宋体" w:eastAsiaTheme="minorEastAsia"/>
              </w:rPr>
              <w:t>/</w:t>
            </w:r>
          </w:p>
        </w:tc>
        <w:tc>
          <w:tcPr>
            <w:tcW w:w="1662" w:type="dxa"/>
            <w:vAlign w:val="center"/>
          </w:tcPr>
          <w:p>
            <w:pPr>
              <w:pStyle w:val="28"/>
              <w:spacing w:line="240" w:lineRule="auto"/>
              <w:jc w:val="center"/>
              <w:rPr>
                <w:rFonts w:ascii="宋体" w:hAnsi="宋体" w:eastAsiaTheme="minorEastAsia"/>
              </w:rPr>
            </w:pPr>
            <w:r>
              <w:rPr>
                <w:rFonts w:hint="eastAsia" w:ascii="宋体" w:hAnsi="宋体" w:eastAsiaTheme="minorEastAsia"/>
              </w:rPr>
              <w:t>/</w:t>
            </w:r>
          </w:p>
        </w:tc>
        <w:tc>
          <w:tcPr>
            <w:tcW w:w="1662" w:type="dxa"/>
            <w:vAlign w:val="center"/>
          </w:tcPr>
          <w:p>
            <w:pPr>
              <w:pStyle w:val="28"/>
              <w:spacing w:line="240" w:lineRule="auto"/>
              <w:jc w:val="center"/>
              <w:rPr>
                <w:rFonts w:ascii="宋体" w:hAnsi="宋体" w:eastAsiaTheme="minorEastAsia"/>
              </w:rPr>
            </w:pPr>
            <w:r>
              <w:rPr>
                <w:rFonts w:hint="eastAsia" w:ascii="宋体" w:hAnsi="宋体" w:eastAsiaTheme="minorEastAsia"/>
              </w:rPr>
              <w:t>有影响</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60" w:type="dxa"/>
            <w:shd w:val="clear" w:color="auto" w:fill="D9E2F3" w:themeFill="accent1" w:themeFillTint="33"/>
            <w:vAlign w:val="center"/>
          </w:tcPr>
          <w:p>
            <w:pPr>
              <w:pStyle w:val="28"/>
              <w:spacing w:line="240" w:lineRule="auto"/>
              <w:jc w:val="center"/>
              <w:rPr>
                <w:rFonts w:ascii="宋体" w:hAnsi="宋体" w:eastAsiaTheme="minorEastAsia"/>
                <w:b/>
                <w:bCs w:val="0"/>
              </w:rPr>
            </w:pPr>
            <w:r>
              <w:rPr>
                <w:rFonts w:hint="eastAsia" w:ascii="宋体" w:hAnsi="宋体" w:eastAsiaTheme="minorEastAsia"/>
                <w:b/>
                <w:bCs w:val="0"/>
              </w:rPr>
              <w:t>地表水</w:t>
            </w:r>
          </w:p>
        </w:tc>
        <w:tc>
          <w:tcPr>
            <w:tcW w:w="1661" w:type="dxa"/>
            <w:shd w:val="clear" w:color="auto" w:fill="D9E2F3" w:themeFill="accent1" w:themeFillTint="33"/>
            <w:vAlign w:val="center"/>
          </w:tcPr>
          <w:p>
            <w:pPr>
              <w:pStyle w:val="28"/>
              <w:spacing w:line="240" w:lineRule="auto"/>
              <w:jc w:val="center"/>
              <w:rPr>
                <w:rFonts w:ascii="宋体" w:hAnsi="宋体" w:eastAsiaTheme="minorEastAsia"/>
              </w:rPr>
            </w:pPr>
            <w:r>
              <w:rPr>
                <w:rFonts w:hint="eastAsia" w:ascii="宋体" w:hAnsi="宋体" w:eastAsiaTheme="minorEastAsia"/>
              </w:rPr>
              <w:t>/</w:t>
            </w:r>
          </w:p>
        </w:tc>
        <w:tc>
          <w:tcPr>
            <w:tcW w:w="1661" w:type="dxa"/>
            <w:shd w:val="clear" w:color="auto" w:fill="D9E2F3" w:themeFill="accent1" w:themeFillTint="33"/>
            <w:vAlign w:val="center"/>
          </w:tcPr>
          <w:p>
            <w:pPr>
              <w:pStyle w:val="28"/>
              <w:spacing w:line="240" w:lineRule="auto"/>
              <w:jc w:val="center"/>
              <w:rPr>
                <w:rFonts w:ascii="宋体" w:hAnsi="宋体" w:eastAsiaTheme="minorEastAsia"/>
              </w:rPr>
            </w:pPr>
            <w:r>
              <w:rPr>
                <w:rFonts w:hint="eastAsia" w:ascii="宋体" w:hAnsi="宋体" w:eastAsiaTheme="minorEastAsia"/>
              </w:rPr>
              <w:t>有影响</w:t>
            </w:r>
          </w:p>
        </w:tc>
        <w:tc>
          <w:tcPr>
            <w:tcW w:w="1662" w:type="dxa"/>
            <w:shd w:val="clear" w:color="auto" w:fill="D9E2F3" w:themeFill="accent1" w:themeFillTint="33"/>
            <w:vAlign w:val="center"/>
          </w:tcPr>
          <w:p>
            <w:pPr>
              <w:pStyle w:val="28"/>
              <w:spacing w:line="240" w:lineRule="auto"/>
              <w:jc w:val="center"/>
              <w:rPr>
                <w:rFonts w:ascii="宋体" w:hAnsi="宋体" w:eastAsiaTheme="minorEastAsia"/>
              </w:rPr>
            </w:pPr>
            <w:r>
              <w:rPr>
                <w:rFonts w:hint="eastAsia" w:ascii="宋体" w:hAnsi="宋体" w:eastAsiaTheme="minorEastAsia"/>
              </w:rPr>
              <w:t>/</w:t>
            </w:r>
          </w:p>
        </w:tc>
        <w:tc>
          <w:tcPr>
            <w:tcW w:w="1662" w:type="dxa"/>
            <w:shd w:val="clear" w:color="auto" w:fill="D9E2F3" w:themeFill="accent1" w:themeFillTint="33"/>
            <w:vAlign w:val="center"/>
          </w:tcPr>
          <w:p>
            <w:pPr>
              <w:pStyle w:val="28"/>
              <w:spacing w:line="240" w:lineRule="auto"/>
              <w:jc w:val="center"/>
              <w:rPr>
                <w:rFonts w:ascii="宋体" w:hAnsi="宋体" w:eastAsiaTheme="minorEastAsia"/>
              </w:rPr>
            </w:pPr>
            <w:r>
              <w:rPr>
                <w:rFonts w:hint="eastAsia" w:ascii="宋体" w:hAnsi="宋体" w:eastAsiaTheme="minorEastAsia"/>
              </w:rPr>
              <w:t>/</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60" w:type="dxa"/>
            <w:vAlign w:val="center"/>
          </w:tcPr>
          <w:p>
            <w:pPr>
              <w:pStyle w:val="28"/>
              <w:spacing w:line="240" w:lineRule="auto"/>
              <w:jc w:val="center"/>
              <w:rPr>
                <w:rFonts w:ascii="宋体" w:hAnsi="宋体" w:eastAsiaTheme="minorEastAsia"/>
                <w:b/>
                <w:bCs w:val="0"/>
              </w:rPr>
            </w:pPr>
            <w:r>
              <w:rPr>
                <w:rFonts w:hint="eastAsia" w:ascii="宋体" w:hAnsi="宋体" w:eastAsiaTheme="minorEastAsia"/>
                <w:b/>
                <w:bCs w:val="0"/>
              </w:rPr>
              <w:t>地下水</w:t>
            </w:r>
          </w:p>
        </w:tc>
        <w:tc>
          <w:tcPr>
            <w:tcW w:w="1661" w:type="dxa"/>
            <w:vAlign w:val="center"/>
          </w:tcPr>
          <w:p>
            <w:pPr>
              <w:pStyle w:val="28"/>
              <w:spacing w:line="240" w:lineRule="auto"/>
              <w:jc w:val="center"/>
              <w:rPr>
                <w:rFonts w:ascii="宋体" w:hAnsi="宋体" w:eastAsiaTheme="minorEastAsia"/>
              </w:rPr>
            </w:pPr>
            <w:r>
              <w:rPr>
                <w:rFonts w:hint="eastAsia" w:ascii="宋体" w:hAnsi="宋体" w:eastAsiaTheme="minorEastAsia"/>
              </w:rPr>
              <w:t>/</w:t>
            </w:r>
          </w:p>
        </w:tc>
        <w:tc>
          <w:tcPr>
            <w:tcW w:w="1661" w:type="dxa"/>
            <w:vAlign w:val="center"/>
          </w:tcPr>
          <w:p>
            <w:pPr>
              <w:pStyle w:val="28"/>
              <w:spacing w:line="240" w:lineRule="auto"/>
              <w:jc w:val="center"/>
              <w:rPr>
                <w:rFonts w:ascii="宋体" w:hAnsi="宋体" w:eastAsiaTheme="minorEastAsia"/>
              </w:rPr>
            </w:pPr>
            <w:r>
              <w:rPr>
                <w:rFonts w:hint="eastAsia" w:ascii="宋体" w:hAnsi="宋体" w:eastAsiaTheme="minorEastAsia"/>
              </w:rPr>
              <w:t>有影响</w:t>
            </w:r>
          </w:p>
        </w:tc>
        <w:tc>
          <w:tcPr>
            <w:tcW w:w="1662" w:type="dxa"/>
            <w:vAlign w:val="center"/>
          </w:tcPr>
          <w:p>
            <w:pPr>
              <w:pStyle w:val="28"/>
              <w:spacing w:line="240" w:lineRule="auto"/>
              <w:jc w:val="center"/>
              <w:rPr>
                <w:rFonts w:ascii="宋体" w:hAnsi="宋体" w:eastAsiaTheme="minorEastAsia"/>
              </w:rPr>
            </w:pPr>
            <w:r>
              <w:rPr>
                <w:rFonts w:hint="eastAsia" w:ascii="宋体" w:hAnsi="宋体" w:eastAsiaTheme="minorEastAsia"/>
              </w:rPr>
              <w:t>/</w:t>
            </w:r>
          </w:p>
        </w:tc>
        <w:tc>
          <w:tcPr>
            <w:tcW w:w="1662" w:type="dxa"/>
            <w:vAlign w:val="center"/>
          </w:tcPr>
          <w:p>
            <w:pPr>
              <w:pStyle w:val="28"/>
              <w:spacing w:line="240" w:lineRule="auto"/>
              <w:jc w:val="center"/>
              <w:rPr>
                <w:rFonts w:ascii="宋体" w:hAnsi="宋体" w:eastAsiaTheme="minorEastAsia"/>
              </w:rPr>
            </w:pPr>
            <w:r>
              <w:rPr>
                <w:rFonts w:hint="eastAsia" w:ascii="宋体" w:hAnsi="宋体" w:eastAsiaTheme="minorEastAsia"/>
              </w:rPr>
              <w:t>有影响</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60" w:type="dxa"/>
            <w:shd w:val="clear" w:color="auto" w:fill="D9E2F3" w:themeFill="accent1" w:themeFillTint="33"/>
            <w:vAlign w:val="center"/>
          </w:tcPr>
          <w:p>
            <w:pPr>
              <w:pStyle w:val="28"/>
              <w:spacing w:line="240" w:lineRule="auto"/>
              <w:jc w:val="center"/>
              <w:rPr>
                <w:rFonts w:ascii="宋体" w:hAnsi="宋体" w:eastAsiaTheme="minorEastAsia"/>
                <w:b/>
                <w:bCs w:val="0"/>
              </w:rPr>
            </w:pPr>
            <w:r>
              <w:rPr>
                <w:rFonts w:hint="eastAsia" w:ascii="宋体" w:hAnsi="宋体" w:eastAsiaTheme="minorEastAsia"/>
                <w:b/>
                <w:bCs w:val="0"/>
              </w:rPr>
              <w:t>声环境</w:t>
            </w:r>
          </w:p>
        </w:tc>
        <w:tc>
          <w:tcPr>
            <w:tcW w:w="1661" w:type="dxa"/>
            <w:shd w:val="clear" w:color="auto" w:fill="D9E2F3" w:themeFill="accent1" w:themeFillTint="33"/>
            <w:vAlign w:val="center"/>
          </w:tcPr>
          <w:p>
            <w:pPr>
              <w:pStyle w:val="28"/>
              <w:spacing w:line="240" w:lineRule="auto"/>
              <w:jc w:val="center"/>
              <w:rPr>
                <w:rFonts w:ascii="宋体" w:hAnsi="宋体" w:eastAsiaTheme="minorEastAsia"/>
              </w:rPr>
            </w:pPr>
            <w:r>
              <w:rPr>
                <w:rFonts w:hint="eastAsia" w:ascii="宋体" w:hAnsi="宋体" w:eastAsiaTheme="minorEastAsia"/>
              </w:rPr>
              <w:t>/</w:t>
            </w:r>
          </w:p>
        </w:tc>
        <w:tc>
          <w:tcPr>
            <w:tcW w:w="1661" w:type="dxa"/>
            <w:shd w:val="clear" w:color="auto" w:fill="D9E2F3" w:themeFill="accent1" w:themeFillTint="33"/>
            <w:vAlign w:val="center"/>
          </w:tcPr>
          <w:p>
            <w:pPr>
              <w:pStyle w:val="28"/>
              <w:spacing w:line="240" w:lineRule="auto"/>
              <w:jc w:val="center"/>
              <w:rPr>
                <w:rFonts w:ascii="宋体" w:hAnsi="宋体" w:eastAsiaTheme="minorEastAsia"/>
              </w:rPr>
            </w:pPr>
            <w:r>
              <w:rPr>
                <w:rFonts w:hint="eastAsia" w:ascii="宋体" w:hAnsi="宋体" w:eastAsiaTheme="minorEastAsia"/>
              </w:rPr>
              <w:t>/</w:t>
            </w:r>
          </w:p>
        </w:tc>
        <w:tc>
          <w:tcPr>
            <w:tcW w:w="1662" w:type="dxa"/>
            <w:shd w:val="clear" w:color="auto" w:fill="D9E2F3" w:themeFill="accent1" w:themeFillTint="33"/>
            <w:vAlign w:val="center"/>
          </w:tcPr>
          <w:p>
            <w:pPr>
              <w:pStyle w:val="28"/>
              <w:spacing w:line="240" w:lineRule="auto"/>
              <w:jc w:val="center"/>
              <w:rPr>
                <w:rFonts w:ascii="宋体" w:hAnsi="宋体" w:eastAsiaTheme="minorEastAsia"/>
              </w:rPr>
            </w:pPr>
            <w:r>
              <w:rPr>
                <w:rFonts w:hint="eastAsia" w:ascii="宋体" w:hAnsi="宋体" w:eastAsiaTheme="minorEastAsia"/>
              </w:rPr>
              <w:t>有影响</w:t>
            </w:r>
          </w:p>
        </w:tc>
        <w:tc>
          <w:tcPr>
            <w:tcW w:w="1662" w:type="dxa"/>
            <w:shd w:val="clear" w:color="auto" w:fill="D9E2F3" w:themeFill="accent1" w:themeFillTint="33"/>
            <w:vAlign w:val="center"/>
          </w:tcPr>
          <w:p>
            <w:pPr>
              <w:pStyle w:val="28"/>
              <w:spacing w:line="240" w:lineRule="auto"/>
              <w:jc w:val="center"/>
              <w:rPr>
                <w:rFonts w:ascii="宋体" w:hAnsi="宋体" w:eastAsiaTheme="minorEastAsia"/>
              </w:rPr>
            </w:pPr>
            <w:r>
              <w:rPr>
                <w:rFonts w:hint="eastAsia" w:ascii="宋体" w:hAnsi="宋体" w:eastAsiaTheme="minorEastAsia"/>
              </w:rPr>
              <w:t>/</w:t>
            </w:r>
          </w:p>
        </w:tc>
      </w:tr>
    </w:tbl>
    <w:p>
      <w:pPr>
        <w:pStyle w:val="4"/>
        <w:spacing w:before="156" w:after="156"/>
        <w:ind w:firstLine="482"/>
        <w:rPr>
          <w:lang w:val="zh-CN"/>
        </w:rPr>
      </w:pPr>
      <w:bookmarkStart w:id="45" w:name="_Toc108109698"/>
      <w:bookmarkStart w:id="46" w:name="_Toc141272028"/>
      <w:r>
        <w:rPr>
          <w:rFonts w:hint="eastAsia"/>
          <w:lang w:val="zh-CN"/>
        </w:rPr>
        <w:t>1</w:t>
      </w:r>
      <w:r>
        <w:rPr>
          <w:lang w:val="zh-CN"/>
        </w:rPr>
        <w:t xml:space="preserve">.6.3 </w:t>
      </w:r>
      <w:r>
        <w:rPr>
          <w:rFonts w:hint="eastAsia"/>
          <w:lang w:val="zh-CN"/>
        </w:rPr>
        <w:t>环境影响因子的确定</w:t>
      </w:r>
      <w:bookmarkEnd w:id="45"/>
      <w:bookmarkEnd w:id="46"/>
    </w:p>
    <w:p>
      <w:pPr>
        <w:spacing w:before="156" w:after="156"/>
        <w:ind w:firstLine="420"/>
        <w:rPr>
          <w:szCs w:val="21"/>
        </w:rPr>
      </w:pPr>
      <w:r>
        <w:rPr>
          <w:rFonts w:hint="eastAsia"/>
          <w:szCs w:val="21"/>
        </w:rPr>
        <w:t>营运期主要环境影响因子见表1-3。</w:t>
      </w:r>
    </w:p>
    <w:p>
      <w:pPr>
        <w:pStyle w:val="24"/>
        <w:spacing w:before="156" w:after="156"/>
        <w:ind w:firstLine="420"/>
        <w:rPr>
          <w:sz w:val="18"/>
          <w:szCs w:val="18"/>
        </w:rPr>
      </w:pPr>
      <w:r>
        <w:rPr>
          <w:rFonts w:hint="eastAsia"/>
          <w:sz w:val="18"/>
          <w:szCs w:val="18"/>
        </w:rPr>
        <w:t>表</w:t>
      </w:r>
      <w:r>
        <w:rPr>
          <w:sz w:val="18"/>
          <w:szCs w:val="18"/>
        </w:rPr>
        <w:fldChar w:fldCharType="begin"/>
      </w:r>
      <w:r>
        <w:rPr>
          <w:sz w:val="18"/>
          <w:szCs w:val="18"/>
        </w:rPr>
        <w:instrText xml:space="preserve"> SET myBK "一九一一年一月</w:instrText>
      </w:r>
      <w:r>
        <w:rPr>
          <w:sz w:val="18"/>
          <w:szCs w:val="18"/>
        </w:rPr>
        <w:fldChar w:fldCharType="begin"/>
      </w:r>
      <w:r>
        <w:rPr>
          <w:sz w:val="18"/>
          <w:szCs w:val="18"/>
        </w:rPr>
        <w:instrText xml:space="preserve"> STYLEREF 1 \s </w:instrText>
      </w:r>
      <w:r>
        <w:rPr>
          <w:sz w:val="18"/>
          <w:szCs w:val="18"/>
        </w:rPr>
        <w:fldChar w:fldCharType="separate"/>
      </w:r>
      <w:r>
        <w:rPr>
          <w:rFonts w:hint="eastAsia"/>
          <w:sz w:val="18"/>
          <w:szCs w:val="18"/>
        </w:rPr>
        <w:instrText xml:space="preserve">一</w:instrText>
      </w:r>
      <w:r>
        <w:rPr>
          <w:sz w:val="18"/>
          <w:szCs w:val="18"/>
        </w:rPr>
        <w:fldChar w:fldCharType="end"/>
      </w:r>
      <w:r>
        <w:rPr>
          <w:sz w:val="18"/>
          <w:szCs w:val="18"/>
        </w:rPr>
        <w:instrText xml:space="preserve">日" </w:instrText>
      </w:r>
      <w:r>
        <w:rPr>
          <w:sz w:val="18"/>
          <w:szCs w:val="18"/>
        </w:rPr>
        <w:fldChar w:fldCharType="separate"/>
      </w:r>
      <w:r>
        <w:rPr>
          <w:sz w:val="18"/>
          <w:szCs w:val="18"/>
        </w:rPr>
        <w:t>日</w:t>
      </w:r>
      <w:r>
        <w:rPr>
          <w:sz w:val="18"/>
          <w:szCs w:val="18"/>
        </w:rPr>
        <w:fldChar w:fldCharType="end"/>
      </w:r>
      <w:r>
        <w:rPr>
          <w:sz w:val="18"/>
          <w:szCs w:val="18"/>
        </w:rPr>
        <w:t>1</w:t>
      </w:r>
      <w:r>
        <w:rPr>
          <w:sz w:val="18"/>
          <w:szCs w:val="18"/>
        </w:rPr>
        <w:noBreakHyphen/>
      </w:r>
      <w:r>
        <w:rPr>
          <w:sz w:val="18"/>
          <w:szCs w:val="18"/>
        </w:rPr>
        <w:t xml:space="preserve">3 </w:t>
      </w:r>
      <w:r>
        <w:rPr>
          <w:rFonts w:hint="eastAsia"/>
          <w:sz w:val="18"/>
          <w:szCs w:val="18"/>
        </w:rPr>
        <w:t>环境影响因子表</w:t>
      </w:r>
    </w:p>
    <w:tbl>
      <w:tblPr>
        <w:tblStyle w:val="30"/>
        <w:tblW w:w="9420"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520"/>
        <w:gridCol w:w="1663"/>
        <w:gridCol w:w="4574"/>
        <w:gridCol w:w="1663"/>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70" w:hRule="atLeast"/>
          <w:jc w:val="center"/>
        </w:trPr>
        <w:tc>
          <w:tcPr>
            <w:tcW w:w="1520"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专题</w:t>
            </w:r>
          </w:p>
        </w:tc>
        <w:tc>
          <w:tcPr>
            <w:tcW w:w="166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主要污染源</w:t>
            </w:r>
          </w:p>
        </w:tc>
        <w:tc>
          <w:tcPr>
            <w:tcW w:w="457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现状监测因子</w:t>
            </w:r>
          </w:p>
        </w:tc>
        <w:tc>
          <w:tcPr>
            <w:tcW w:w="1663"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影响评价因子</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13" w:hRule="atLeast"/>
          <w:jc w:val="center"/>
        </w:trPr>
        <w:tc>
          <w:tcPr>
            <w:tcW w:w="1520"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asciiTheme="minorHAnsi" w:hAnsiTheme="minorHAnsi" w:eastAsiaTheme="minorEastAsia" w:cstheme="minorBidi"/>
                <w:b/>
                <w:bCs/>
                <w:color w:val="000000"/>
                <w:szCs w:val="21"/>
              </w:rPr>
              <w:t>环境空气</w:t>
            </w:r>
          </w:p>
        </w:tc>
        <w:tc>
          <w:tcPr>
            <w:tcW w:w="1663"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工艺废气</w:t>
            </w:r>
          </w:p>
        </w:tc>
        <w:tc>
          <w:tcPr>
            <w:tcW w:w="4574"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S</w:t>
            </w:r>
            <w:r>
              <w:rPr>
                <w:rFonts w:asciiTheme="minorHAnsi" w:hAnsiTheme="minorHAnsi" w:eastAsiaTheme="minorEastAsia" w:cstheme="minorBidi"/>
                <w:color w:val="000000"/>
                <w:szCs w:val="21"/>
              </w:rPr>
              <w:t>O</w:t>
            </w:r>
            <w:r>
              <w:rPr>
                <w:rFonts w:hint="eastAsia" w:asciiTheme="minorHAnsi" w:hAnsiTheme="minorHAnsi" w:eastAsiaTheme="minorEastAsia" w:cstheme="minorBidi"/>
                <w:color w:val="000000"/>
                <w:szCs w:val="21"/>
                <w:vertAlign w:val="subscript"/>
              </w:rPr>
              <w:t>2</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NO</w:t>
            </w:r>
            <w:r>
              <w:rPr>
                <w:rFonts w:asciiTheme="minorHAnsi" w:hAnsiTheme="minorHAnsi" w:eastAsiaTheme="minorEastAsia" w:cstheme="minorBidi"/>
                <w:color w:val="000000"/>
                <w:szCs w:val="21"/>
                <w:vertAlign w:val="subscript"/>
              </w:rPr>
              <w:t>2</w:t>
            </w:r>
            <w:r>
              <w:rPr>
                <w:rFonts w:hint="eastAsia" w:asciiTheme="minorHAnsi" w:hAnsiTheme="minorHAnsi" w:eastAsiaTheme="minorEastAsia" w:cstheme="minorBidi"/>
                <w:color w:val="000000"/>
                <w:szCs w:val="21"/>
              </w:rPr>
              <w:t>、P</w:t>
            </w:r>
            <w:r>
              <w:rPr>
                <w:rFonts w:asciiTheme="minorHAnsi" w:hAnsiTheme="minorHAnsi" w:eastAsiaTheme="minorEastAsia" w:cstheme="minorBidi"/>
                <w:color w:val="000000"/>
                <w:szCs w:val="21"/>
              </w:rPr>
              <w:t>M</w:t>
            </w:r>
            <w:r>
              <w:rPr>
                <w:rFonts w:asciiTheme="minorHAnsi" w:hAnsiTheme="minorHAnsi" w:eastAsiaTheme="minorEastAsia" w:cstheme="minorBidi"/>
                <w:color w:val="000000"/>
                <w:szCs w:val="21"/>
                <w:vertAlign w:val="subscript"/>
              </w:rPr>
              <w:t>10</w:t>
            </w:r>
            <w:r>
              <w:rPr>
                <w:rFonts w:hint="eastAsia" w:asciiTheme="minorHAnsi" w:hAnsiTheme="minorHAnsi" w:eastAsiaTheme="minorEastAsia" w:cstheme="minorBidi"/>
                <w:color w:val="000000"/>
                <w:szCs w:val="21"/>
              </w:rPr>
              <w:t>、P</w:t>
            </w:r>
            <w:r>
              <w:rPr>
                <w:rFonts w:asciiTheme="minorHAnsi" w:hAnsiTheme="minorHAnsi" w:eastAsiaTheme="minorEastAsia" w:cstheme="minorBidi"/>
                <w:color w:val="000000"/>
                <w:szCs w:val="21"/>
              </w:rPr>
              <w:t>M</w:t>
            </w:r>
            <w:r>
              <w:rPr>
                <w:rFonts w:hint="eastAsia" w:asciiTheme="minorHAnsi" w:hAnsiTheme="minorHAnsi" w:eastAsiaTheme="minorEastAsia" w:cstheme="minorBidi"/>
                <w:color w:val="000000"/>
                <w:szCs w:val="21"/>
                <w:vertAlign w:val="subscript"/>
              </w:rPr>
              <w:t>25</w:t>
            </w:r>
          </w:p>
        </w:tc>
        <w:tc>
          <w:tcPr>
            <w:tcW w:w="1663"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NO</w:t>
            </w:r>
            <w:r>
              <w:rPr>
                <w:rFonts w:asciiTheme="minorHAnsi" w:hAnsiTheme="minorHAnsi" w:eastAsiaTheme="minorEastAsia" w:cstheme="minorBidi"/>
                <w:color w:val="000000"/>
                <w:szCs w:val="21"/>
                <w:vertAlign w:val="subscript"/>
              </w:rPr>
              <w:t>2</w:t>
            </w:r>
            <w:r>
              <w:rPr>
                <w:rFonts w:hint="eastAsia" w:asciiTheme="minorHAnsi" w:hAnsiTheme="minorHAnsi" w:eastAsiaTheme="minorEastAsia" w:cstheme="minorBidi"/>
                <w:color w:val="000000"/>
                <w:szCs w:val="21"/>
              </w:rPr>
              <w:t>、颗粒物、C</w:t>
            </w:r>
            <w:r>
              <w:rPr>
                <w:rFonts w:asciiTheme="minorHAnsi" w:hAnsiTheme="minorHAnsi" w:eastAsiaTheme="minorEastAsia" w:cstheme="minorBidi"/>
                <w:color w:val="000000"/>
                <w:szCs w:val="21"/>
              </w:rPr>
              <w:t>O</w:t>
            </w:r>
            <w:r>
              <w:rPr>
                <w:rFonts w:hint="eastAsia" w:asciiTheme="minorHAnsi" w:hAnsiTheme="minorHAnsi" w:eastAsiaTheme="minorEastAsia" w:cstheme="minorBidi"/>
                <w:color w:val="000000"/>
                <w:szCs w:val="21"/>
              </w:rPr>
              <w:t>、氨</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1169" w:hRule="atLeast"/>
          <w:jc w:val="center"/>
        </w:trPr>
        <w:tc>
          <w:tcPr>
            <w:tcW w:w="1520"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asciiTheme="minorHAnsi" w:hAnsiTheme="minorHAnsi" w:eastAsiaTheme="minorEastAsia" w:cstheme="minorBidi"/>
                <w:b/>
                <w:bCs/>
                <w:color w:val="000000"/>
                <w:szCs w:val="21"/>
              </w:rPr>
              <w:t>地表水</w:t>
            </w:r>
          </w:p>
        </w:tc>
        <w:tc>
          <w:tcPr>
            <w:tcW w:w="1663"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生活污水和工业废水</w:t>
            </w:r>
          </w:p>
        </w:tc>
        <w:tc>
          <w:tcPr>
            <w:tcW w:w="4574"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pH、高锰酸盐指数、溶解氧、总磷、挥发酚、硫化物、氰化物、化学需氧量、苯、甲苯、二甲苯、氟化物、五日生化需氧量、石油类、氨氮</w:t>
            </w:r>
          </w:p>
        </w:tc>
        <w:tc>
          <w:tcPr>
            <w:tcW w:w="1663"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C</w:t>
            </w:r>
            <w:r>
              <w:rPr>
                <w:rFonts w:asciiTheme="minorHAnsi" w:hAnsiTheme="minorHAnsi" w:eastAsiaTheme="minorEastAsia" w:cstheme="minorBidi"/>
                <w:color w:val="000000"/>
                <w:szCs w:val="21"/>
              </w:rPr>
              <w:t>OD</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1217" w:hRule="atLeast"/>
          <w:jc w:val="center"/>
        </w:trPr>
        <w:tc>
          <w:tcPr>
            <w:tcW w:w="1520"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asciiTheme="minorHAnsi" w:hAnsiTheme="minorHAnsi" w:eastAsiaTheme="minorEastAsia" w:cstheme="minorBidi"/>
                <w:b/>
                <w:bCs/>
                <w:color w:val="000000"/>
                <w:szCs w:val="21"/>
              </w:rPr>
              <w:t>地下水</w:t>
            </w:r>
          </w:p>
        </w:tc>
        <w:tc>
          <w:tcPr>
            <w:tcW w:w="1663"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厂区排水</w:t>
            </w:r>
          </w:p>
        </w:tc>
        <w:tc>
          <w:tcPr>
            <w:tcW w:w="4574"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K</w:t>
            </w:r>
            <w:r>
              <w:rPr>
                <w:rFonts w:hint="eastAsia" w:asciiTheme="minorHAnsi" w:hAnsiTheme="minorHAnsi" w:eastAsiaTheme="minorEastAsia" w:cstheme="minorBidi"/>
                <w:color w:val="000000"/>
                <w:szCs w:val="21"/>
                <w:vertAlign w:val="superscript"/>
              </w:rPr>
              <w:t>+</w:t>
            </w:r>
            <w:r>
              <w:rPr>
                <w:rFonts w:hint="eastAsia" w:asciiTheme="minorHAnsi" w:hAnsiTheme="minorHAnsi" w:eastAsiaTheme="minorEastAsia" w:cstheme="minorBidi"/>
                <w:color w:val="000000"/>
                <w:szCs w:val="21"/>
              </w:rPr>
              <w:t>、Na</w:t>
            </w:r>
            <w:r>
              <w:rPr>
                <w:rFonts w:hint="eastAsia" w:asciiTheme="minorHAnsi" w:hAnsiTheme="minorHAnsi" w:eastAsiaTheme="minorEastAsia" w:cstheme="minorBidi"/>
                <w:color w:val="000000"/>
                <w:szCs w:val="21"/>
                <w:vertAlign w:val="superscript"/>
              </w:rPr>
              <w:t>+</w:t>
            </w:r>
            <w:r>
              <w:rPr>
                <w:rFonts w:hint="eastAsia" w:asciiTheme="minorHAnsi" w:hAnsiTheme="minorHAnsi" w:eastAsiaTheme="minorEastAsia" w:cstheme="minorBidi"/>
                <w:color w:val="000000"/>
                <w:szCs w:val="21"/>
              </w:rPr>
              <w:t>、Ca2</w:t>
            </w:r>
            <w:r>
              <w:rPr>
                <w:rFonts w:hint="eastAsia" w:asciiTheme="minorHAnsi" w:hAnsiTheme="minorHAnsi" w:eastAsiaTheme="minorEastAsia" w:cstheme="minorBidi"/>
                <w:color w:val="000000"/>
                <w:szCs w:val="21"/>
                <w:vertAlign w:val="superscript"/>
              </w:rPr>
              <w:t>+</w:t>
            </w:r>
            <w:r>
              <w:rPr>
                <w:rFonts w:hint="eastAsia" w:asciiTheme="minorHAnsi" w:hAnsiTheme="minorHAnsi" w:eastAsiaTheme="minorEastAsia" w:cstheme="minorBidi"/>
                <w:color w:val="000000"/>
                <w:szCs w:val="21"/>
              </w:rPr>
              <w:t>、Mg</w:t>
            </w:r>
            <w:r>
              <w:rPr>
                <w:rFonts w:hint="eastAsia" w:asciiTheme="minorHAnsi" w:hAnsiTheme="minorHAnsi" w:eastAsiaTheme="minorEastAsia" w:cstheme="minorBidi"/>
                <w:color w:val="000000"/>
                <w:szCs w:val="21"/>
                <w:vertAlign w:val="superscript"/>
              </w:rPr>
              <w:t>2+</w:t>
            </w:r>
            <w:r>
              <w:rPr>
                <w:rFonts w:hint="eastAsia" w:asciiTheme="minorHAnsi" w:hAnsiTheme="minorHAnsi" w:eastAsiaTheme="minorEastAsia" w:cstheme="minorBidi"/>
                <w:color w:val="000000"/>
                <w:szCs w:val="21"/>
              </w:rPr>
              <w:t>、CO</w:t>
            </w:r>
            <w:r>
              <w:rPr>
                <w:rFonts w:hint="eastAsia" w:asciiTheme="minorHAnsi" w:hAnsiTheme="minorHAnsi" w:eastAsiaTheme="minorEastAsia" w:cstheme="minorBidi"/>
                <w:color w:val="000000"/>
                <w:szCs w:val="21"/>
                <w:vertAlign w:val="subscript"/>
              </w:rPr>
              <w:t>3</w:t>
            </w:r>
            <w:r>
              <w:rPr>
                <w:rFonts w:hint="eastAsia" w:asciiTheme="minorHAnsi" w:hAnsiTheme="minorHAnsi" w:eastAsiaTheme="minorEastAsia" w:cstheme="minorBidi"/>
                <w:color w:val="000000"/>
                <w:szCs w:val="21"/>
                <w:vertAlign w:val="superscript"/>
              </w:rPr>
              <w:t>2-</w:t>
            </w:r>
            <w:r>
              <w:rPr>
                <w:rFonts w:hint="eastAsia" w:asciiTheme="minorHAnsi" w:hAnsiTheme="minorHAnsi" w:eastAsiaTheme="minorEastAsia" w:cstheme="minorBidi"/>
                <w:color w:val="000000"/>
                <w:szCs w:val="21"/>
              </w:rPr>
              <w:t>、HCO</w:t>
            </w:r>
            <w:r>
              <w:rPr>
                <w:rFonts w:hint="eastAsia" w:asciiTheme="minorHAnsi" w:hAnsiTheme="minorHAnsi" w:eastAsiaTheme="minorEastAsia" w:cstheme="minorBidi"/>
                <w:color w:val="000000"/>
                <w:szCs w:val="21"/>
                <w:vertAlign w:val="subscript"/>
              </w:rPr>
              <w:t>3</w:t>
            </w:r>
            <w:r>
              <w:rPr>
                <w:rFonts w:hint="eastAsia" w:asciiTheme="minorHAnsi" w:hAnsiTheme="minorHAnsi" w:eastAsiaTheme="minorEastAsia" w:cstheme="minorBidi"/>
                <w:color w:val="000000"/>
                <w:szCs w:val="21"/>
                <w:vertAlign w:val="superscript"/>
              </w:rPr>
              <w:t>-</w:t>
            </w:r>
            <w:r>
              <w:rPr>
                <w:rFonts w:hint="eastAsia" w:asciiTheme="minorHAnsi" w:hAnsiTheme="minorHAnsi" w:eastAsiaTheme="minorEastAsia" w:cstheme="minorBidi"/>
                <w:color w:val="000000"/>
                <w:szCs w:val="21"/>
              </w:rPr>
              <w:t>、Cl</w:t>
            </w:r>
            <w:r>
              <w:rPr>
                <w:rFonts w:hint="eastAsia" w:asciiTheme="minorHAnsi" w:hAnsiTheme="minorHAnsi" w:eastAsiaTheme="minorEastAsia" w:cstheme="minorBidi"/>
                <w:color w:val="000000"/>
                <w:szCs w:val="21"/>
                <w:vertAlign w:val="superscript"/>
              </w:rPr>
              <w:t>-</w:t>
            </w:r>
            <w:r>
              <w:rPr>
                <w:rFonts w:hint="eastAsia" w:asciiTheme="minorHAnsi" w:hAnsiTheme="minorHAnsi" w:eastAsiaTheme="minorEastAsia" w:cstheme="minorBidi"/>
                <w:color w:val="000000"/>
                <w:szCs w:val="21"/>
              </w:rPr>
              <w:t>、SO</w:t>
            </w:r>
            <w:r>
              <w:rPr>
                <w:rFonts w:hint="eastAsia" w:asciiTheme="minorHAnsi" w:hAnsiTheme="minorHAnsi" w:eastAsiaTheme="minorEastAsia" w:cstheme="minorBidi"/>
                <w:color w:val="000000"/>
                <w:szCs w:val="21"/>
                <w:vertAlign w:val="subscript"/>
              </w:rPr>
              <w:t>4</w:t>
            </w:r>
            <w:r>
              <w:rPr>
                <w:rFonts w:hint="eastAsia" w:asciiTheme="minorHAnsi" w:hAnsiTheme="minorHAnsi" w:eastAsiaTheme="minorEastAsia" w:cstheme="minorBidi"/>
                <w:color w:val="000000"/>
                <w:szCs w:val="21"/>
                <w:vertAlign w:val="superscript"/>
              </w:rPr>
              <w:t>2-</w:t>
            </w:r>
            <w:r>
              <w:rPr>
                <w:rFonts w:hint="eastAsia" w:asciiTheme="minorHAnsi" w:hAnsiTheme="minorHAnsi" w:eastAsiaTheme="minorEastAsia" w:cstheme="minorBidi"/>
                <w:color w:val="000000"/>
                <w:szCs w:val="21"/>
              </w:rPr>
              <w:t>；pH、硝酸盐、亚硝酸盐、挥发性酚类、氰化物、砷、汞、铬（六价）、总硬度、铅、氟、镉、铁、锰、溶解性总固体、高锰酸盐指数、硫酸盐、氯化物、总大肠杆菌群、细菌总数；石油类；地下水水位、水温</w:t>
            </w:r>
          </w:p>
        </w:tc>
        <w:tc>
          <w:tcPr>
            <w:tcW w:w="1663"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COD</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97" w:hRule="atLeast"/>
          <w:jc w:val="center"/>
        </w:trPr>
        <w:tc>
          <w:tcPr>
            <w:tcW w:w="1520"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asciiTheme="minorHAnsi" w:hAnsiTheme="minorHAnsi" w:eastAsiaTheme="minorEastAsia" w:cstheme="minorBidi"/>
                <w:b/>
                <w:bCs/>
                <w:color w:val="000000"/>
                <w:szCs w:val="21"/>
              </w:rPr>
              <w:t>噪声</w:t>
            </w:r>
          </w:p>
        </w:tc>
        <w:tc>
          <w:tcPr>
            <w:tcW w:w="1663"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空压机、泵等</w:t>
            </w:r>
          </w:p>
        </w:tc>
        <w:tc>
          <w:tcPr>
            <w:tcW w:w="4574"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Leq</w:t>
            </w:r>
          </w:p>
        </w:tc>
        <w:tc>
          <w:tcPr>
            <w:tcW w:w="1663"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Leq</w:t>
            </w:r>
          </w:p>
        </w:tc>
      </w:tr>
    </w:tbl>
    <w:p>
      <w:pPr>
        <w:pStyle w:val="3"/>
        <w:spacing w:before="156" w:after="156"/>
        <w:ind w:firstLine="562"/>
        <w:rPr>
          <w:lang w:val="zh-CN"/>
        </w:rPr>
      </w:pPr>
      <w:bookmarkStart w:id="47" w:name="_Toc141272029"/>
      <w:bookmarkStart w:id="48" w:name="_Toc108109699"/>
      <w:r>
        <w:rPr>
          <w:rFonts w:hint="eastAsia"/>
          <w:lang w:val="zh-CN"/>
        </w:rPr>
        <w:t>1</w:t>
      </w:r>
      <w:r>
        <w:rPr>
          <w:lang w:val="zh-CN"/>
        </w:rPr>
        <w:t>.</w:t>
      </w:r>
      <w:r>
        <w:rPr>
          <w:rFonts w:hint="eastAsia"/>
        </w:rPr>
        <w:t>7</w:t>
      </w:r>
      <w:r>
        <w:rPr>
          <w:lang w:val="zh-CN"/>
        </w:rPr>
        <w:t xml:space="preserve"> </w:t>
      </w:r>
      <w:r>
        <w:rPr>
          <w:rFonts w:hint="eastAsia"/>
          <w:lang w:val="zh-CN"/>
        </w:rPr>
        <w:t>评价因子、范围及等级</w:t>
      </w:r>
      <w:bookmarkEnd w:id="47"/>
      <w:bookmarkEnd w:id="48"/>
    </w:p>
    <w:p>
      <w:pPr>
        <w:pStyle w:val="4"/>
        <w:spacing w:before="156" w:after="156"/>
        <w:ind w:firstLine="482"/>
        <w:rPr>
          <w:lang w:val="zh-CN"/>
        </w:rPr>
      </w:pPr>
      <w:bookmarkStart w:id="49" w:name="_Toc108109700"/>
      <w:bookmarkStart w:id="50" w:name="_Toc141272030"/>
      <w:r>
        <w:rPr>
          <w:rFonts w:hint="eastAsia"/>
          <w:lang w:val="zh-CN"/>
        </w:rPr>
        <w:t>1</w:t>
      </w:r>
      <w:r>
        <w:rPr>
          <w:lang w:val="zh-CN"/>
        </w:rPr>
        <w:t>.</w:t>
      </w:r>
      <w:r>
        <w:rPr>
          <w:rFonts w:hint="eastAsia"/>
        </w:rPr>
        <w:t>7</w:t>
      </w:r>
      <w:r>
        <w:rPr>
          <w:lang w:val="zh-CN"/>
        </w:rPr>
        <w:t xml:space="preserve">.1 </w:t>
      </w:r>
      <w:r>
        <w:rPr>
          <w:rFonts w:hint="eastAsia"/>
          <w:lang w:val="zh-CN"/>
        </w:rPr>
        <w:t>评价工作等级的确定</w:t>
      </w:r>
      <w:bookmarkEnd w:id="49"/>
      <w:bookmarkEnd w:id="50"/>
    </w:p>
    <w:p>
      <w:pPr>
        <w:spacing w:before="156" w:after="156"/>
        <w:ind w:firstLine="420"/>
      </w:pPr>
      <w:r>
        <w:rPr>
          <w:rFonts w:hint="eastAsia"/>
        </w:rPr>
        <w:t>根据环境影响评价技术导则（HJ /T2.1-2016）中的有关环评等级划分规则，确认本评价等级。</w:t>
      </w:r>
    </w:p>
    <w:p>
      <w:pPr>
        <w:spacing w:before="156" w:after="156"/>
        <w:ind w:firstLine="420"/>
      </w:pPr>
      <w:r>
        <w:rPr>
          <w:rFonts w:hint="eastAsia"/>
        </w:rPr>
        <w:t>（1）地下水环境评价等级</w:t>
      </w:r>
    </w:p>
    <w:p>
      <w:pPr>
        <w:spacing w:before="156" w:after="156"/>
        <w:ind w:firstLine="420"/>
      </w:pPr>
      <w:r>
        <w:rPr>
          <w:rFonts w:hint="eastAsia"/>
        </w:rPr>
        <w:t>根据《环境影响评价技术导则地下水环境》（HJ 610-2016）附录A地下水环境影响评价行业分类表，拟建项目属于化工类基本化学原料制造，故拟建项目为Ⅰ类项目。</w:t>
      </w:r>
    </w:p>
    <w:p>
      <w:pPr>
        <w:spacing w:before="156" w:after="156"/>
        <w:ind w:firstLine="420"/>
      </w:pPr>
      <w:r>
        <w:rPr>
          <w:rFonts w:hint="eastAsia"/>
        </w:rPr>
        <w:t>根据调查，拟建项目位于重庆白涛化工园区规划发展空地，周边不纯在集中式饮用水水源，其地下水下游为乌江，不在集中式饮用水水源补给径流区，所在区域及周边不存在分散式饮用水水源地，也不存在特殊地下水资源，故拟建项目地下水环境敏感程度为不敏感。</w:t>
      </w:r>
    </w:p>
    <w:p>
      <w:pPr>
        <w:spacing w:before="156" w:after="156"/>
        <w:ind w:firstLine="420"/>
      </w:pPr>
      <w:r>
        <w:rPr>
          <w:rFonts w:hint="eastAsia"/>
        </w:rPr>
        <w:t>由此判断，拟建项目所在区域地下水评价等级为二级。</w:t>
      </w:r>
    </w:p>
    <w:p>
      <w:pPr>
        <w:spacing w:before="156" w:after="156"/>
        <w:ind w:firstLine="420"/>
      </w:pPr>
      <w:r>
        <w:rPr>
          <w:rFonts w:hint="eastAsia"/>
        </w:rPr>
        <w:t>（2）大气环境评价等级</w:t>
      </w:r>
    </w:p>
    <w:p>
      <w:pPr>
        <w:spacing w:before="156" w:after="156"/>
        <w:ind w:firstLine="420"/>
      </w:pPr>
      <w:r>
        <w:rPr>
          <w:rFonts w:hint="eastAsia"/>
        </w:rPr>
        <w:t>评价工作等级根据《大气环境影响评价技术导则—大气环境》（HJ/2.2-2008）中推荐的估算模式进行计算。污染物的最大地面浓度占标率Pi计算如下：</w:t>
      </w:r>
    </w:p>
    <w:p>
      <w:pPr>
        <w:spacing w:before="156" w:after="156"/>
        <w:ind w:firstLine="420"/>
      </w:pPr>
      <w:r>
        <w:rPr>
          <w:rFonts w:hint="eastAsia"/>
        </w:rPr>
        <w:t>Pi的定义为：</w:t>
      </w:r>
      <m:oMath>
        <m:sSub>
          <m:sSubPr>
            <m:ctrlPr>
              <w:rPr>
                <w:rFonts w:ascii="Cambria Math" w:hAnsi="Cambria Math"/>
              </w:rPr>
            </m:ctrlPr>
          </m:sSubPr>
          <m:e>
            <m:r>
              <m:rPr>
                <m:sty m:val="p"/>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0i</m:t>
                </m:r>
                <m:ctrlPr>
                  <w:rPr>
                    <w:rFonts w:ascii="Cambria Math" w:hAnsi="Cambria Math"/>
                    <w:i/>
                  </w:rPr>
                </m:ctrlPr>
              </m:sub>
            </m:sSub>
            <m:ctrlPr>
              <w:rPr>
                <w:rFonts w:ascii="Cambria Math" w:hAnsi="Cambria Math"/>
                <w:i/>
              </w:rPr>
            </m:ctrlPr>
          </m:den>
        </m:f>
        <m:r>
          <m:rPr/>
          <w:rPr>
            <w:rFonts w:ascii="Cambria Math" w:hAnsi="Cambria Math"/>
          </w:rPr>
          <m:t>×100%</m:t>
        </m:r>
      </m:oMath>
    </w:p>
    <w:p>
      <w:pPr>
        <w:spacing w:before="156" w:after="156"/>
        <w:ind w:firstLine="420"/>
      </w:pPr>
      <w:r>
        <w:rPr>
          <w:rFonts w:hint="eastAsia"/>
        </w:rPr>
        <w:t>式中：P</w:t>
      </w:r>
      <w:r>
        <w:rPr>
          <w:rFonts w:hint="eastAsia"/>
          <w:vertAlign w:val="subscript"/>
        </w:rPr>
        <w:t>i</w:t>
      </w:r>
      <w:r>
        <w:rPr>
          <w:rFonts w:hint="eastAsia"/>
        </w:rPr>
        <w:t>——第i个污染物的最大地面浓度占标率，%；</w:t>
      </w:r>
    </w:p>
    <w:p>
      <w:pPr>
        <w:spacing w:before="156" w:after="156"/>
        <w:ind w:firstLine="420"/>
      </w:pPr>
      <w:r>
        <w:rPr>
          <w:rFonts w:hint="eastAsia"/>
        </w:rPr>
        <w:t>C</w:t>
      </w:r>
      <w:r>
        <w:rPr>
          <w:rFonts w:hint="eastAsia"/>
          <w:vertAlign w:val="subscript"/>
        </w:rPr>
        <w:t>i</w:t>
      </w:r>
      <w:r>
        <w:rPr>
          <w:rFonts w:hint="eastAsia"/>
        </w:rPr>
        <w:t>——采用估算模式计算出的第i个污染物的最大地面浓度，mg/m</w:t>
      </w:r>
      <w:r>
        <w:rPr>
          <w:rFonts w:hint="eastAsia"/>
          <w:vertAlign w:val="superscript"/>
        </w:rPr>
        <w:t>3</w:t>
      </w:r>
      <w:r>
        <w:rPr>
          <w:rFonts w:hint="eastAsia"/>
        </w:rPr>
        <w:t>；</w:t>
      </w:r>
    </w:p>
    <w:p>
      <w:pPr>
        <w:spacing w:before="156" w:after="156"/>
        <w:ind w:firstLine="420"/>
      </w:pPr>
      <w:r>
        <w:rPr>
          <w:rFonts w:hint="eastAsia"/>
        </w:rPr>
        <w:t>C</w:t>
      </w:r>
      <w:r>
        <w:rPr>
          <w:rFonts w:hint="eastAsia"/>
          <w:vertAlign w:val="subscript"/>
        </w:rPr>
        <w:t>oi</w:t>
      </w:r>
      <w:r>
        <w:rPr>
          <w:rFonts w:hint="eastAsia"/>
        </w:rPr>
        <w:t>——第i个污染物的环境空气质量标准，mg/m</w:t>
      </w:r>
      <w:r>
        <w:rPr>
          <w:rFonts w:hint="eastAsia"/>
          <w:vertAlign w:val="superscript"/>
        </w:rPr>
        <w:t>3</w:t>
      </w:r>
      <w:r>
        <w:rPr>
          <w:rFonts w:hint="eastAsia"/>
        </w:rPr>
        <w:t>；</w:t>
      </w:r>
    </w:p>
    <w:p>
      <w:pPr>
        <w:spacing w:before="156" w:after="156"/>
        <w:ind w:firstLine="420"/>
      </w:pPr>
      <w:r>
        <w:rPr>
          <w:rFonts w:hint="eastAsia"/>
        </w:rPr>
        <w:t>评价工作等级按表1-4的分级判据进行划分。如污染物数i大于1，取P值中最大者（Pmax）和其对应的D</w:t>
      </w:r>
      <w:r>
        <w:rPr>
          <w:rFonts w:hint="eastAsia"/>
          <w:vertAlign w:val="subscript"/>
        </w:rPr>
        <w:t>10</w:t>
      </w:r>
      <w:r>
        <w:rPr>
          <w:rFonts w:hint="eastAsia"/>
        </w:rPr>
        <w:t>%。</w:t>
      </w:r>
    </w:p>
    <w:p>
      <w:pPr>
        <w:pStyle w:val="24"/>
        <w:spacing w:before="156" w:after="156"/>
        <w:ind w:firstLine="420"/>
        <w:rPr>
          <w:sz w:val="18"/>
          <w:szCs w:val="18"/>
        </w:rPr>
      </w:pPr>
      <w:r>
        <w:rPr>
          <w:rFonts w:hint="eastAsia"/>
          <w:sz w:val="18"/>
          <w:szCs w:val="18"/>
        </w:rPr>
        <w:t>表</w:t>
      </w:r>
      <w:r>
        <w:rPr>
          <w:sz w:val="18"/>
          <w:szCs w:val="18"/>
        </w:rPr>
        <w:fldChar w:fldCharType="begin"/>
      </w:r>
      <w:r>
        <w:rPr>
          <w:sz w:val="18"/>
          <w:szCs w:val="18"/>
        </w:rPr>
        <w:instrText xml:space="preserve"> SET myBK "一九一一年一月</w:instrText>
      </w:r>
      <w:r>
        <w:rPr>
          <w:sz w:val="18"/>
          <w:szCs w:val="18"/>
        </w:rPr>
        <w:fldChar w:fldCharType="begin"/>
      </w:r>
      <w:r>
        <w:rPr>
          <w:sz w:val="18"/>
          <w:szCs w:val="18"/>
        </w:rPr>
        <w:instrText xml:space="preserve"> STYLEREF 1 \s </w:instrText>
      </w:r>
      <w:r>
        <w:rPr>
          <w:sz w:val="18"/>
          <w:szCs w:val="18"/>
        </w:rPr>
        <w:fldChar w:fldCharType="separate"/>
      </w:r>
      <w:r>
        <w:rPr>
          <w:rFonts w:hint="eastAsia"/>
          <w:sz w:val="18"/>
          <w:szCs w:val="18"/>
        </w:rPr>
        <w:instrText xml:space="preserve">一</w:instrText>
      </w:r>
      <w:r>
        <w:rPr>
          <w:sz w:val="18"/>
          <w:szCs w:val="18"/>
        </w:rPr>
        <w:fldChar w:fldCharType="end"/>
      </w:r>
      <w:r>
        <w:rPr>
          <w:sz w:val="18"/>
          <w:szCs w:val="18"/>
        </w:rPr>
        <w:instrText xml:space="preserve">日" </w:instrText>
      </w:r>
      <w:r>
        <w:rPr>
          <w:sz w:val="18"/>
          <w:szCs w:val="18"/>
        </w:rPr>
        <w:fldChar w:fldCharType="separate"/>
      </w:r>
      <w:r>
        <w:rPr>
          <w:sz w:val="18"/>
          <w:szCs w:val="18"/>
        </w:rPr>
        <w:t>日</w:t>
      </w:r>
      <w:r>
        <w:rPr>
          <w:sz w:val="18"/>
          <w:szCs w:val="18"/>
        </w:rPr>
        <w:fldChar w:fldCharType="end"/>
      </w:r>
      <w:r>
        <w:rPr>
          <w:sz w:val="18"/>
          <w:szCs w:val="18"/>
        </w:rPr>
        <w:fldChar w:fldCharType="begin"/>
      </w:r>
      <w:r>
        <w:rPr>
          <w:sz w:val="18"/>
          <w:szCs w:val="18"/>
        </w:rPr>
        <w:instrText xml:space="preserve"> myBK \@ "D" </w:instrText>
      </w:r>
      <w:r>
        <w:rPr>
          <w:sz w:val="18"/>
          <w:szCs w:val="18"/>
        </w:rPr>
        <w:fldChar w:fldCharType="separate"/>
      </w:r>
      <w:r>
        <w:rPr>
          <w:sz w:val="18"/>
          <w:szCs w:val="18"/>
        </w:rPr>
        <w:t>1</w:t>
      </w:r>
      <w:r>
        <w:rPr>
          <w:sz w:val="18"/>
          <w:szCs w:val="18"/>
        </w:rPr>
        <w:fldChar w:fldCharType="end"/>
      </w:r>
      <w:r>
        <w:rPr>
          <w:sz w:val="18"/>
          <w:szCs w:val="18"/>
        </w:rPr>
        <w:noBreakHyphen/>
      </w:r>
      <w:r>
        <w:rPr>
          <w:sz w:val="18"/>
          <w:szCs w:val="18"/>
        </w:rPr>
        <w:fldChar w:fldCharType="begin"/>
      </w:r>
      <w:r>
        <w:rPr>
          <w:rFonts w:hint="eastAsia"/>
          <w:sz w:val="18"/>
          <w:szCs w:val="18"/>
        </w:rPr>
        <w:instrText xml:space="preserve">SEQ 表 \* ARABIC \s 1</w:instrText>
      </w:r>
      <w:r>
        <w:rPr>
          <w:sz w:val="18"/>
          <w:szCs w:val="18"/>
        </w:rPr>
        <w:fldChar w:fldCharType="separate"/>
      </w:r>
      <w:r>
        <w:rPr>
          <w:sz w:val="18"/>
          <w:szCs w:val="18"/>
        </w:rPr>
        <w:t>4</w:t>
      </w:r>
      <w:r>
        <w:rPr>
          <w:sz w:val="18"/>
          <w:szCs w:val="18"/>
        </w:rPr>
        <w:fldChar w:fldCharType="end"/>
      </w:r>
      <w:r>
        <w:rPr>
          <w:rFonts w:hint="eastAsia"/>
          <w:sz w:val="18"/>
          <w:szCs w:val="18"/>
        </w:rPr>
        <w:t>评价工作等级</w:t>
      </w:r>
    </w:p>
    <w:tbl>
      <w:tblPr>
        <w:tblStyle w:val="30"/>
        <w:tblW w:w="5000" w:type="pct"/>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507"/>
        <w:gridCol w:w="6015"/>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54" w:hRule="atLeast"/>
          <w:jc w:val="center"/>
        </w:trPr>
        <w:tc>
          <w:tcPr>
            <w:tcW w:w="1471" w:type="pct"/>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评价工作等级</w:t>
            </w:r>
          </w:p>
        </w:tc>
        <w:tc>
          <w:tcPr>
            <w:tcW w:w="3529" w:type="pct"/>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评价工作分级判据</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54" w:hRule="atLeast"/>
          <w:jc w:val="center"/>
        </w:trPr>
        <w:tc>
          <w:tcPr>
            <w:tcW w:w="1471" w:type="pct"/>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一级</w:t>
            </w:r>
          </w:p>
        </w:tc>
        <w:tc>
          <w:tcPr>
            <w:tcW w:w="3529" w:type="pct"/>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P</w:t>
            </w:r>
            <w:r>
              <w:rPr>
                <w:rFonts w:asciiTheme="minorHAnsi" w:hAnsiTheme="minorHAnsi" w:eastAsiaTheme="minorEastAsia" w:cstheme="minorBidi"/>
                <w:color w:val="000000"/>
                <w:szCs w:val="21"/>
                <w:vertAlign w:val="subscript"/>
              </w:rPr>
              <w:t>max</w:t>
            </w:r>
            <w:r>
              <w:rPr>
                <w:rFonts w:asciiTheme="minorHAnsi" w:hAnsiTheme="minorHAnsi" w:eastAsiaTheme="minorEastAsia" w:cstheme="minorBidi"/>
                <w:color w:val="000000"/>
                <w:szCs w:val="21"/>
              </w:rPr>
              <w:t>≥80%，且 D</w:t>
            </w:r>
            <w:r>
              <w:rPr>
                <w:rFonts w:asciiTheme="minorHAnsi" w:hAnsiTheme="minorHAnsi" w:eastAsiaTheme="minorEastAsia" w:cstheme="minorBidi"/>
                <w:color w:val="000000"/>
                <w:szCs w:val="21"/>
                <w:vertAlign w:val="subscript"/>
              </w:rPr>
              <w:t>10%</w:t>
            </w:r>
            <w:r>
              <w:rPr>
                <w:rFonts w:asciiTheme="minorHAnsi" w:hAnsiTheme="minorHAnsi" w:eastAsiaTheme="minorEastAsia" w:cstheme="minorBidi"/>
                <w:color w:val="000000"/>
                <w:szCs w:val="21"/>
              </w:rPr>
              <w:t>≥5 km</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54" w:hRule="atLeast"/>
          <w:jc w:val="center"/>
        </w:trPr>
        <w:tc>
          <w:tcPr>
            <w:tcW w:w="1471" w:type="pct"/>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二级</w:t>
            </w:r>
          </w:p>
        </w:tc>
        <w:tc>
          <w:tcPr>
            <w:tcW w:w="3529" w:type="pct"/>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其他</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54" w:hRule="atLeast"/>
          <w:jc w:val="center"/>
        </w:trPr>
        <w:tc>
          <w:tcPr>
            <w:tcW w:w="1471" w:type="pct"/>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三级</w:t>
            </w:r>
          </w:p>
        </w:tc>
        <w:tc>
          <w:tcPr>
            <w:tcW w:w="3529" w:type="pct"/>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P</w:t>
            </w:r>
            <w:r>
              <w:rPr>
                <w:rFonts w:asciiTheme="minorHAnsi" w:hAnsiTheme="minorHAnsi" w:eastAsiaTheme="minorEastAsia" w:cstheme="minorBidi"/>
                <w:color w:val="000000"/>
                <w:szCs w:val="21"/>
                <w:vertAlign w:val="subscript"/>
              </w:rPr>
              <w:t>max</w:t>
            </w:r>
            <w:r>
              <w:rPr>
                <w:rFonts w:asciiTheme="minorHAnsi" w:hAnsiTheme="minorHAnsi" w:eastAsiaTheme="minorEastAsia" w:cstheme="minorBidi"/>
                <w:color w:val="000000"/>
                <w:szCs w:val="21"/>
              </w:rPr>
              <w:t>＜10% 或 D</w:t>
            </w:r>
            <w:r>
              <w:rPr>
                <w:rFonts w:asciiTheme="minorHAnsi" w:hAnsiTheme="minorHAnsi" w:eastAsiaTheme="minorEastAsia" w:cstheme="minorBidi"/>
                <w:color w:val="000000"/>
                <w:szCs w:val="21"/>
                <w:vertAlign w:val="subscript"/>
              </w:rPr>
              <w:t>10</w:t>
            </w:r>
            <w:r>
              <w:rPr>
                <w:rFonts w:asciiTheme="minorHAnsi" w:hAnsiTheme="minorHAnsi" w:eastAsiaTheme="minorEastAsia" w:cstheme="minorBidi"/>
                <w:color w:val="000000"/>
                <w:szCs w:val="21"/>
              </w:rPr>
              <w:t>%＜污染源距厂界最近距离</w:t>
            </w:r>
          </w:p>
        </w:tc>
      </w:tr>
    </w:tbl>
    <w:p>
      <w:pPr>
        <w:spacing w:before="156" w:after="156"/>
        <w:ind w:firstLine="420"/>
      </w:pPr>
      <w:r>
        <w:rPr>
          <w:rFonts w:hint="eastAsia"/>
        </w:rPr>
        <w:t>（3）声环境</w:t>
      </w:r>
    </w:p>
    <w:p>
      <w:pPr>
        <w:spacing w:before="156" w:after="156"/>
        <w:ind w:firstLine="420"/>
      </w:pPr>
      <w:r>
        <w:rPr>
          <w:rFonts w:hint="eastAsia"/>
        </w:rPr>
        <w:t>项目所在地根据《声环境功能区划分技术规范》（GB/T 15190-2014），声环境评价执行《声环境质量标准》（GB 3096-2008）中的3类标准。项目建成前、后厂界噪声无明显增加，且受影响人口变化不大，按照HJ/T 2.4-2009《环境影响评价技术导则声环境》的规定，声环境评价等级确定为三级。</w:t>
      </w:r>
    </w:p>
    <w:p>
      <w:pPr>
        <w:spacing w:before="156" w:after="156"/>
        <w:ind w:firstLine="420"/>
      </w:pPr>
      <w:r>
        <w:rPr>
          <w:rFonts w:hint="eastAsia"/>
        </w:rPr>
        <w:t>（4）环境风险</w:t>
      </w:r>
    </w:p>
    <w:p>
      <w:pPr>
        <w:spacing w:before="156" w:after="156"/>
        <w:ind w:firstLine="420"/>
      </w:pPr>
      <w:r>
        <w:rPr>
          <w:rFonts w:hint="eastAsia"/>
        </w:rPr>
        <w:t>根据《建设项目环境风险评价技术导则》（HJ/T 169-20</w:t>
      </w:r>
      <w:r>
        <w:t>18</w:t>
      </w:r>
      <w:r>
        <w:rPr>
          <w:rFonts w:hint="eastAsia"/>
        </w:rPr>
        <w:t>）中规定，本工程涉及多种可燃性危险性物质，如氨、己二腈等；生产作等级定为一级。</w:t>
      </w:r>
    </w:p>
    <w:p>
      <w:pPr>
        <w:pStyle w:val="4"/>
        <w:spacing w:before="156" w:after="156"/>
        <w:ind w:firstLine="482"/>
        <w:rPr>
          <w:lang w:val="zh-CN"/>
        </w:rPr>
      </w:pPr>
      <w:bookmarkStart w:id="51" w:name="_Toc108109701"/>
      <w:bookmarkStart w:id="52" w:name="_Toc141272031"/>
      <w:r>
        <w:rPr>
          <w:rFonts w:hint="eastAsia"/>
          <w:lang w:val="zh-CN"/>
        </w:rPr>
        <w:t>1</w:t>
      </w:r>
      <w:r>
        <w:rPr>
          <w:lang w:val="zh-CN"/>
        </w:rPr>
        <w:t>.</w:t>
      </w:r>
      <w:r>
        <w:rPr>
          <w:rFonts w:hint="eastAsia"/>
        </w:rPr>
        <w:t>7</w:t>
      </w:r>
      <w:r>
        <w:rPr>
          <w:lang w:val="zh-CN"/>
        </w:rPr>
        <w:t xml:space="preserve">.2 </w:t>
      </w:r>
      <w:r>
        <w:rPr>
          <w:rFonts w:hint="eastAsia"/>
          <w:lang w:val="zh-CN"/>
        </w:rPr>
        <w:t>评价的范围</w:t>
      </w:r>
      <w:bookmarkEnd w:id="51"/>
      <w:bookmarkEnd w:id="52"/>
    </w:p>
    <w:p>
      <w:pPr>
        <w:spacing w:before="156" w:after="156"/>
        <w:ind w:firstLine="420"/>
      </w:pPr>
      <w:r>
        <w:rPr>
          <w:rFonts w:hint="eastAsia"/>
        </w:rPr>
        <w:t>评价范围确定应遵循以下原则：</w:t>
      </w:r>
    </w:p>
    <w:p>
      <w:pPr>
        <w:spacing w:before="156" w:after="156"/>
        <w:ind w:firstLine="420"/>
      </w:pPr>
      <w:r>
        <w:rPr>
          <w:rFonts w:hint="eastAsia"/>
        </w:rPr>
        <w:t>（1）应按不同环境要素及其规划建设活动可能影响的范围确定环境影响评价的范围。环境影响评价范围应包括本项目厂区、周边地域以及与建设活动直接联系的区域。</w:t>
      </w:r>
    </w:p>
    <w:p>
      <w:pPr>
        <w:spacing w:before="156" w:after="156"/>
        <w:ind w:firstLine="420"/>
      </w:pPr>
      <w:r>
        <w:rPr>
          <w:rFonts w:hint="eastAsia"/>
        </w:rPr>
        <w:t>（2）建设活动涉及的环境敏感区域等重要区域必须纳入环境影响评价的范围，并应保持环境功能区的完整性。</w:t>
      </w:r>
    </w:p>
    <w:p>
      <w:pPr>
        <w:spacing w:before="156" w:after="156"/>
        <w:ind w:firstLine="420"/>
      </w:pPr>
      <w:r>
        <w:rPr>
          <w:rFonts w:hint="eastAsia"/>
        </w:rPr>
        <w:t>1、大气环境影响评价范围</w:t>
      </w:r>
    </w:p>
    <w:p>
      <w:pPr>
        <w:spacing w:before="156" w:after="156"/>
        <w:ind w:firstLine="420"/>
      </w:pPr>
      <w:r>
        <w:rPr>
          <w:rFonts w:hint="eastAsia"/>
        </w:rPr>
        <w:t>以厂区为中心，直径为5km的圆形区域，重点关心区域主导风与次主导风向下方的人群居住区及其它环境敏感点。</w:t>
      </w:r>
    </w:p>
    <w:p>
      <w:pPr>
        <w:spacing w:before="156" w:after="156"/>
        <w:ind w:firstLine="420"/>
      </w:pPr>
      <w:r>
        <w:rPr>
          <w:rFonts w:hint="eastAsia"/>
        </w:rPr>
        <w:t>2、地表水评价范围</w:t>
      </w:r>
    </w:p>
    <w:p>
      <w:pPr>
        <w:spacing w:before="156" w:after="156"/>
        <w:ind w:firstLine="420"/>
      </w:pPr>
      <w:r>
        <w:rPr>
          <w:rFonts w:hint="eastAsia"/>
        </w:rPr>
        <w:t>拟建工程产生的废水，经白涛化工园区污水处理站处理达到一级标准之后，排海。因此本次评价范围引用白涛化工园区环评资料，即从白涛化工园区污水处理作为圆点，以300m为半径的水域。</w:t>
      </w:r>
    </w:p>
    <w:p>
      <w:pPr>
        <w:spacing w:before="156" w:after="156"/>
        <w:ind w:firstLine="420"/>
      </w:pPr>
      <w:r>
        <w:rPr>
          <w:rFonts w:hint="eastAsia"/>
        </w:rPr>
        <w:t>3、声环境评价范围</w:t>
      </w:r>
    </w:p>
    <w:p>
      <w:pPr>
        <w:spacing w:before="156" w:after="156"/>
        <w:ind w:firstLine="420"/>
      </w:pPr>
      <w:r>
        <w:rPr>
          <w:rFonts w:hint="eastAsia"/>
        </w:rPr>
        <w:t>厂界外 1 米。</w:t>
      </w:r>
    </w:p>
    <w:p>
      <w:pPr>
        <w:spacing w:before="156" w:after="156"/>
        <w:ind w:firstLine="420"/>
      </w:pPr>
      <w:r>
        <w:rPr>
          <w:rFonts w:hint="eastAsia"/>
        </w:rPr>
        <w:t>4、风险评价范围</w:t>
      </w:r>
    </w:p>
    <w:p>
      <w:pPr>
        <w:spacing w:before="156" w:after="156"/>
        <w:ind w:firstLine="420"/>
      </w:pPr>
      <w:r>
        <w:rPr>
          <w:rFonts w:hint="eastAsia"/>
        </w:rPr>
        <w:t>整个厂区及周遭居民生活区。</w:t>
      </w:r>
    </w:p>
    <w:p>
      <w:pPr>
        <w:pStyle w:val="24"/>
        <w:spacing w:before="156" w:after="156"/>
        <w:ind w:firstLine="420"/>
        <w:rPr>
          <w:sz w:val="18"/>
          <w:szCs w:val="18"/>
        </w:rPr>
      </w:pPr>
      <w:r>
        <w:rPr>
          <w:rFonts w:hint="eastAsia"/>
          <w:sz w:val="18"/>
          <w:szCs w:val="18"/>
        </w:rPr>
        <w:t>表</w:t>
      </w:r>
      <w:r>
        <w:rPr>
          <w:sz w:val="18"/>
          <w:szCs w:val="18"/>
        </w:rPr>
        <w:fldChar w:fldCharType="begin"/>
      </w:r>
      <w:r>
        <w:rPr>
          <w:sz w:val="18"/>
          <w:szCs w:val="18"/>
        </w:rPr>
        <w:instrText xml:space="preserve"> SET myBK "一九一一年一月</w:instrText>
      </w:r>
      <w:r>
        <w:rPr>
          <w:sz w:val="18"/>
          <w:szCs w:val="18"/>
        </w:rPr>
        <w:fldChar w:fldCharType="begin"/>
      </w:r>
      <w:r>
        <w:rPr>
          <w:sz w:val="18"/>
          <w:szCs w:val="18"/>
        </w:rPr>
        <w:instrText xml:space="preserve"> STYLEREF 1 \s </w:instrText>
      </w:r>
      <w:r>
        <w:rPr>
          <w:sz w:val="18"/>
          <w:szCs w:val="18"/>
        </w:rPr>
        <w:fldChar w:fldCharType="separate"/>
      </w:r>
      <w:r>
        <w:rPr>
          <w:rFonts w:hint="eastAsia"/>
          <w:sz w:val="18"/>
          <w:szCs w:val="18"/>
        </w:rPr>
        <w:instrText xml:space="preserve">一</w:instrText>
      </w:r>
      <w:r>
        <w:rPr>
          <w:sz w:val="18"/>
          <w:szCs w:val="18"/>
        </w:rPr>
        <w:fldChar w:fldCharType="end"/>
      </w:r>
      <w:r>
        <w:rPr>
          <w:sz w:val="18"/>
          <w:szCs w:val="18"/>
        </w:rPr>
        <w:instrText xml:space="preserve">日" </w:instrText>
      </w:r>
      <w:r>
        <w:rPr>
          <w:sz w:val="18"/>
          <w:szCs w:val="18"/>
        </w:rPr>
        <w:fldChar w:fldCharType="separate"/>
      </w:r>
      <w:r>
        <w:rPr>
          <w:sz w:val="18"/>
          <w:szCs w:val="18"/>
        </w:rPr>
        <w:t>日</w:t>
      </w:r>
      <w:r>
        <w:rPr>
          <w:sz w:val="18"/>
          <w:szCs w:val="18"/>
        </w:rPr>
        <w:fldChar w:fldCharType="end"/>
      </w:r>
      <w:r>
        <w:rPr>
          <w:sz w:val="18"/>
          <w:szCs w:val="18"/>
        </w:rPr>
        <w:fldChar w:fldCharType="begin"/>
      </w:r>
      <w:r>
        <w:rPr>
          <w:sz w:val="18"/>
          <w:szCs w:val="18"/>
        </w:rPr>
        <w:instrText xml:space="preserve"> myBK \@ "D" </w:instrText>
      </w:r>
      <w:r>
        <w:rPr>
          <w:sz w:val="18"/>
          <w:szCs w:val="18"/>
        </w:rPr>
        <w:fldChar w:fldCharType="separate"/>
      </w:r>
      <w:r>
        <w:rPr>
          <w:sz w:val="18"/>
          <w:szCs w:val="18"/>
        </w:rPr>
        <w:t>1</w:t>
      </w:r>
      <w:r>
        <w:rPr>
          <w:sz w:val="18"/>
          <w:szCs w:val="18"/>
        </w:rPr>
        <w:fldChar w:fldCharType="end"/>
      </w:r>
      <w:r>
        <w:rPr>
          <w:sz w:val="18"/>
          <w:szCs w:val="18"/>
        </w:rPr>
        <w:noBreakHyphen/>
      </w:r>
      <w:r>
        <w:rPr>
          <w:sz w:val="18"/>
          <w:szCs w:val="18"/>
        </w:rPr>
        <w:fldChar w:fldCharType="begin"/>
      </w:r>
      <w:r>
        <w:rPr>
          <w:rFonts w:hint="eastAsia"/>
          <w:sz w:val="18"/>
          <w:szCs w:val="18"/>
        </w:rPr>
        <w:instrText xml:space="preserve">SEQ 表 \* ARABIC \s 1</w:instrText>
      </w:r>
      <w:r>
        <w:rPr>
          <w:sz w:val="18"/>
          <w:szCs w:val="18"/>
        </w:rPr>
        <w:fldChar w:fldCharType="separate"/>
      </w:r>
      <w:r>
        <w:rPr>
          <w:sz w:val="18"/>
          <w:szCs w:val="18"/>
        </w:rPr>
        <w:t>5</w:t>
      </w:r>
      <w:r>
        <w:rPr>
          <w:sz w:val="18"/>
          <w:szCs w:val="18"/>
        </w:rPr>
        <w:fldChar w:fldCharType="end"/>
      </w:r>
      <w:r>
        <w:rPr>
          <w:rFonts w:hint="eastAsia"/>
          <w:sz w:val="18"/>
          <w:szCs w:val="18"/>
        </w:rPr>
        <w:t>环境影响评价范围</w:t>
      </w:r>
    </w:p>
    <w:tbl>
      <w:tblPr>
        <w:tblStyle w:val="30"/>
        <w:tblW w:w="5636" w:type="pct"/>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035"/>
        <w:gridCol w:w="7571"/>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97" w:hRule="exact"/>
          <w:jc w:val="center"/>
        </w:trPr>
        <w:tc>
          <w:tcPr>
            <w:tcW w:w="1059" w:type="pct"/>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评价要素</w:t>
            </w:r>
          </w:p>
        </w:tc>
        <w:tc>
          <w:tcPr>
            <w:tcW w:w="3941" w:type="pct"/>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评价范围</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97" w:hRule="exact"/>
          <w:jc w:val="center"/>
        </w:trPr>
        <w:tc>
          <w:tcPr>
            <w:tcW w:w="1059" w:type="pct"/>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生态环境</w:t>
            </w:r>
          </w:p>
        </w:tc>
        <w:tc>
          <w:tcPr>
            <w:tcW w:w="3941" w:type="pct"/>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规划区外展8km</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97" w:hRule="exact"/>
          <w:jc w:val="center"/>
        </w:trPr>
        <w:tc>
          <w:tcPr>
            <w:tcW w:w="1059" w:type="pct"/>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空气环境</w:t>
            </w:r>
          </w:p>
        </w:tc>
        <w:tc>
          <w:tcPr>
            <w:tcW w:w="3941" w:type="pct"/>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以装置为中心，约150km</w:t>
            </w:r>
            <w:r>
              <w:rPr>
                <w:rFonts w:asciiTheme="minorHAnsi" w:hAnsiTheme="minorHAnsi" w:eastAsiaTheme="minorEastAsia" w:cstheme="minorBidi"/>
                <w:color w:val="000000"/>
                <w:szCs w:val="21"/>
                <w:vertAlign w:val="superscript"/>
              </w:rPr>
              <w:t>2</w:t>
            </w:r>
            <w:r>
              <w:rPr>
                <w:rFonts w:asciiTheme="minorHAnsi" w:hAnsiTheme="minorHAnsi" w:eastAsiaTheme="minorEastAsia" w:cstheme="minorBidi"/>
                <w:color w:val="000000"/>
                <w:szCs w:val="21"/>
              </w:rPr>
              <w:t>的方形区域；</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97" w:hRule="exact"/>
          <w:jc w:val="center"/>
        </w:trPr>
        <w:tc>
          <w:tcPr>
            <w:tcW w:w="1059" w:type="pct"/>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水环境</w:t>
            </w:r>
          </w:p>
        </w:tc>
        <w:tc>
          <w:tcPr>
            <w:tcW w:w="3941" w:type="pct"/>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拟建区域附近的网络水系、地下水系及周围水库、水源、净水厂；</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97" w:hRule="exact"/>
          <w:jc w:val="center"/>
        </w:trPr>
        <w:tc>
          <w:tcPr>
            <w:tcW w:w="1059" w:type="pct"/>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声环境</w:t>
            </w:r>
          </w:p>
        </w:tc>
        <w:tc>
          <w:tcPr>
            <w:tcW w:w="3941" w:type="pct"/>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规划区区域外扩100m</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97" w:hRule="exact"/>
          <w:jc w:val="center"/>
        </w:trPr>
        <w:tc>
          <w:tcPr>
            <w:tcW w:w="1059" w:type="pct"/>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固体废弃物处理</w:t>
            </w:r>
          </w:p>
        </w:tc>
        <w:tc>
          <w:tcPr>
            <w:tcW w:w="3941" w:type="pct"/>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收集中转场所及处置场所周围</w:t>
            </w:r>
          </w:p>
        </w:tc>
      </w:tr>
    </w:tbl>
    <w:p>
      <w:pPr>
        <w:pStyle w:val="3"/>
        <w:spacing w:before="156" w:after="156"/>
        <w:ind w:firstLine="562"/>
        <w:rPr>
          <w:lang w:val="zh-CN"/>
        </w:rPr>
      </w:pPr>
      <w:bookmarkStart w:id="53" w:name="_Toc108109702"/>
      <w:bookmarkStart w:id="54" w:name="_Toc141272032"/>
      <w:r>
        <w:rPr>
          <w:rFonts w:hint="eastAsia"/>
          <w:lang w:val="zh-CN"/>
        </w:rPr>
        <w:t>1</w:t>
      </w:r>
      <w:r>
        <w:rPr>
          <w:lang w:val="zh-CN"/>
        </w:rPr>
        <w:t>.</w:t>
      </w:r>
      <w:r>
        <w:rPr>
          <w:rFonts w:hint="eastAsia"/>
        </w:rPr>
        <w:t>8</w:t>
      </w:r>
      <w:r>
        <w:rPr>
          <w:lang w:val="zh-CN"/>
        </w:rPr>
        <w:t xml:space="preserve"> </w:t>
      </w:r>
      <w:r>
        <w:rPr>
          <w:rFonts w:hint="eastAsia"/>
          <w:lang w:val="zh-CN"/>
        </w:rPr>
        <w:t>评价内容和重点</w:t>
      </w:r>
      <w:bookmarkEnd w:id="53"/>
      <w:bookmarkEnd w:id="54"/>
    </w:p>
    <w:p>
      <w:pPr>
        <w:pStyle w:val="4"/>
        <w:spacing w:before="156" w:after="156"/>
        <w:ind w:firstLine="482"/>
        <w:rPr>
          <w:lang w:val="zh-CN"/>
        </w:rPr>
      </w:pPr>
      <w:bookmarkStart w:id="55" w:name="_Toc141272033"/>
      <w:bookmarkStart w:id="56" w:name="_Toc108109703"/>
      <w:r>
        <w:rPr>
          <w:rFonts w:hint="eastAsia"/>
          <w:lang w:val="zh-CN"/>
        </w:rPr>
        <w:t>1</w:t>
      </w:r>
      <w:r>
        <w:rPr>
          <w:lang w:val="zh-CN"/>
        </w:rPr>
        <w:t>.</w:t>
      </w:r>
      <w:r>
        <w:rPr>
          <w:rFonts w:hint="eastAsia"/>
        </w:rPr>
        <w:t>8</w:t>
      </w:r>
      <w:r>
        <w:rPr>
          <w:lang w:val="zh-CN"/>
        </w:rPr>
        <w:t xml:space="preserve">.1 </w:t>
      </w:r>
      <w:r>
        <w:rPr>
          <w:rFonts w:hint="eastAsia"/>
          <w:lang w:val="zh-CN"/>
        </w:rPr>
        <w:t>评价的内容</w:t>
      </w:r>
      <w:bookmarkEnd w:id="55"/>
      <w:bookmarkEnd w:id="56"/>
    </w:p>
    <w:p>
      <w:pPr>
        <w:spacing w:before="156" w:after="156"/>
        <w:ind w:firstLine="420"/>
      </w:pPr>
      <w:r>
        <w:rPr>
          <w:rFonts w:hint="eastAsia"/>
        </w:rPr>
        <w:t>据工程污染物排放特征及周围环境特点，确定本次评价内容为：</w:t>
      </w:r>
    </w:p>
    <w:p>
      <w:pPr>
        <w:spacing w:before="156" w:after="156"/>
        <w:ind w:firstLine="420"/>
      </w:pPr>
      <w:r>
        <w:rPr>
          <w:rFonts w:hint="eastAsia"/>
        </w:rPr>
        <w:t>（1）规划分析：包括分析拟议的规划目标、指标、规划方案与相关的其他发展规划，环境保护规划的关系；</w:t>
      </w:r>
    </w:p>
    <w:p>
      <w:pPr>
        <w:spacing w:before="156" w:after="156"/>
        <w:ind w:firstLine="420"/>
      </w:pPr>
      <w:r>
        <w:rPr>
          <w:rFonts w:hint="eastAsia"/>
        </w:rPr>
        <w:t>（2）环境现状与分析：包括调查、分析环境现状和历史演变，识别敏感的环境问题以及制约拟议规划的主要因素；</w:t>
      </w:r>
    </w:p>
    <w:p>
      <w:pPr>
        <w:spacing w:before="156" w:after="156"/>
        <w:ind w:firstLine="420"/>
      </w:pPr>
      <w:r>
        <w:rPr>
          <w:rFonts w:hint="eastAsia"/>
        </w:rPr>
        <w:t>（3）环境影响识别与确定环境目标和评价指标：包括识别规划目标、指标的主要环境问题和环境影响，按照有关的环境保护政策、法规和标准拟定或确认环境目标，选择量化和非量化的评价指标，环境资源（水、大气）承载力分析；</w:t>
      </w:r>
    </w:p>
    <w:p>
      <w:pPr>
        <w:spacing w:before="156" w:after="156"/>
        <w:ind w:firstLine="420"/>
        <w:rPr>
          <w:szCs w:val="21"/>
        </w:rPr>
      </w:pPr>
      <w:r>
        <w:rPr>
          <w:rFonts w:hint="eastAsia"/>
          <w:szCs w:val="21"/>
        </w:rPr>
        <w:t>（4）环境影响分析与评价：包括预测和评价规划方案对环境保护目标、环境质量的影响；</w:t>
      </w:r>
    </w:p>
    <w:p>
      <w:pPr>
        <w:spacing w:before="156" w:after="156"/>
        <w:ind w:firstLine="420"/>
        <w:rPr>
          <w:szCs w:val="21"/>
        </w:rPr>
      </w:pPr>
      <w:r>
        <w:rPr>
          <w:rFonts w:hint="eastAsia"/>
          <w:szCs w:val="21"/>
        </w:rPr>
        <w:t>（5）针对规划方案的影响情况，给出环境保护对策和措施；</w:t>
      </w:r>
    </w:p>
    <w:p>
      <w:pPr>
        <w:spacing w:before="156" w:after="156"/>
        <w:ind w:firstLine="420"/>
        <w:rPr>
          <w:szCs w:val="21"/>
        </w:rPr>
      </w:pPr>
      <w:r>
        <w:rPr>
          <w:rFonts w:hint="eastAsia"/>
          <w:szCs w:val="21"/>
        </w:rPr>
        <w:t>（6）开展公众参与；</w:t>
      </w:r>
    </w:p>
    <w:p>
      <w:pPr>
        <w:spacing w:before="156" w:after="156"/>
        <w:ind w:firstLine="420"/>
        <w:rPr>
          <w:szCs w:val="21"/>
        </w:rPr>
      </w:pPr>
      <w:r>
        <w:rPr>
          <w:rFonts w:hint="eastAsia"/>
          <w:szCs w:val="21"/>
        </w:rPr>
        <w:t>（7）拟定监测、跟踪评价计划；</w:t>
      </w:r>
    </w:p>
    <w:p>
      <w:pPr>
        <w:spacing w:before="156" w:after="156"/>
        <w:ind w:firstLine="420"/>
        <w:rPr>
          <w:szCs w:val="21"/>
        </w:rPr>
      </w:pPr>
      <w:r>
        <w:rPr>
          <w:rFonts w:hint="eastAsia"/>
          <w:szCs w:val="21"/>
        </w:rPr>
        <w:t>（8）从环保角度对规划的合理性做出结论性意见。</w:t>
      </w:r>
    </w:p>
    <w:p>
      <w:pPr>
        <w:pStyle w:val="4"/>
        <w:spacing w:before="156" w:after="156"/>
        <w:ind w:firstLine="482"/>
        <w:rPr>
          <w:lang w:val="zh-CN"/>
        </w:rPr>
      </w:pPr>
      <w:bookmarkStart w:id="57" w:name="_Toc108109704"/>
      <w:bookmarkStart w:id="58" w:name="_Toc141272034"/>
      <w:r>
        <w:rPr>
          <w:rFonts w:hint="eastAsia"/>
          <w:lang w:val="zh-CN"/>
        </w:rPr>
        <w:t>1</w:t>
      </w:r>
      <w:r>
        <w:rPr>
          <w:lang w:val="zh-CN"/>
        </w:rPr>
        <w:t>.</w:t>
      </w:r>
      <w:r>
        <w:rPr>
          <w:rFonts w:hint="eastAsia"/>
        </w:rPr>
        <w:t>8</w:t>
      </w:r>
      <w:r>
        <w:rPr>
          <w:lang w:val="zh-CN"/>
        </w:rPr>
        <w:t xml:space="preserve">.2 </w:t>
      </w:r>
      <w:r>
        <w:rPr>
          <w:rFonts w:hint="eastAsia"/>
          <w:lang w:val="zh-CN"/>
        </w:rPr>
        <w:t>评价的重点</w:t>
      </w:r>
      <w:bookmarkEnd w:id="57"/>
      <w:bookmarkEnd w:id="58"/>
    </w:p>
    <w:p>
      <w:pPr>
        <w:spacing w:before="156" w:after="156"/>
        <w:ind w:firstLine="420"/>
      </w:pPr>
      <w:r>
        <w:rPr>
          <w:rFonts w:hint="eastAsia"/>
        </w:rPr>
        <w:t>本次评价工作重点确定为：</w:t>
      </w:r>
    </w:p>
    <w:p>
      <w:pPr>
        <w:spacing w:before="156" w:after="156"/>
        <w:ind w:firstLine="420"/>
      </w:pPr>
      <w:r>
        <w:rPr>
          <w:rFonts w:hint="eastAsia"/>
        </w:rPr>
        <w:t>（1）规划分析；</w:t>
      </w:r>
    </w:p>
    <w:p>
      <w:pPr>
        <w:spacing w:before="156" w:after="156"/>
        <w:ind w:firstLine="420"/>
      </w:pPr>
      <w:r>
        <w:rPr>
          <w:rFonts w:hint="eastAsia"/>
        </w:rPr>
        <w:t>（2）水资源承载力分析；</w:t>
      </w:r>
    </w:p>
    <w:p>
      <w:pPr>
        <w:spacing w:before="156" w:after="156"/>
        <w:ind w:firstLine="420"/>
      </w:pPr>
      <w:r>
        <w:rPr>
          <w:rFonts w:hint="eastAsia"/>
        </w:rPr>
        <w:t>（3）环境空气影响预测与评价及大气环境容量；</w:t>
      </w:r>
    </w:p>
    <w:p>
      <w:pPr>
        <w:spacing w:before="156" w:after="156"/>
        <w:ind w:firstLine="420"/>
      </w:pPr>
      <w:r>
        <w:rPr>
          <w:rFonts w:hint="eastAsia"/>
        </w:rPr>
        <w:t>（4）环境保护对策和措施；</w:t>
      </w:r>
    </w:p>
    <w:p>
      <w:pPr>
        <w:spacing w:before="156" w:after="156"/>
        <w:ind w:firstLine="420"/>
      </w:pPr>
      <w:r>
        <w:rPr>
          <w:rFonts w:hint="eastAsia"/>
        </w:rPr>
        <w:t>（5）风险评价及风险防范措施。</w:t>
      </w:r>
    </w:p>
    <w:p>
      <w:pPr>
        <w:pStyle w:val="4"/>
        <w:spacing w:before="156" w:after="156"/>
        <w:ind w:firstLine="482"/>
        <w:rPr>
          <w:lang w:val="zh-CN"/>
        </w:rPr>
      </w:pPr>
      <w:bookmarkStart w:id="59" w:name="_Toc108109705"/>
      <w:bookmarkStart w:id="60" w:name="_Toc141272035"/>
      <w:r>
        <w:rPr>
          <w:rFonts w:hint="eastAsia"/>
          <w:lang w:val="zh-CN"/>
        </w:rPr>
        <w:t>1</w:t>
      </w:r>
      <w:r>
        <w:rPr>
          <w:lang w:val="zh-CN"/>
        </w:rPr>
        <w:t>.</w:t>
      </w:r>
      <w:r>
        <w:rPr>
          <w:rFonts w:hint="eastAsia"/>
        </w:rPr>
        <w:t>8</w:t>
      </w:r>
      <w:r>
        <w:rPr>
          <w:lang w:val="zh-CN"/>
        </w:rPr>
        <w:t xml:space="preserve">.3 </w:t>
      </w:r>
      <w:r>
        <w:rPr>
          <w:rFonts w:hint="eastAsia"/>
          <w:lang w:val="zh-CN"/>
        </w:rPr>
        <w:t>评价时段</w:t>
      </w:r>
      <w:bookmarkEnd w:id="59"/>
      <w:bookmarkEnd w:id="60"/>
    </w:p>
    <w:p>
      <w:pPr>
        <w:spacing w:before="156" w:after="156"/>
        <w:ind w:firstLine="420"/>
      </w:pPr>
      <w:r>
        <w:rPr>
          <w:rFonts w:hint="eastAsia"/>
        </w:rPr>
        <w:t>建设期和生产期，重点评价生产期。</w:t>
      </w:r>
    </w:p>
    <w:p>
      <w:pPr>
        <w:pStyle w:val="3"/>
        <w:spacing w:before="156" w:after="156"/>
        <w:ind w:firstLine="562"/>
        <w:rPr>
          <w:lang w:val="zh-CN"/>
        </w:rPr>
      </w:pPr>
      <w:bookmarkStart w:id="61" w:name="_Toc108109706"/>
      <w:bookmarkStart w:id="62" w:name="_Toc141272036"/>
      <w:r>
        <w:rPr>
          <w:rFonts w:hint="eastAsia"/>
          <w:lang w:val="zh-CN"/>
        </w:rPr>
        <w:t>1</w:t>
      </w:r>
      <w:r>
        <w:rPr>
          <w:lang w:val="zh-CN"/>
        </w:rPr>
        <w:t>.</w:t>
      </w:r>
      <w:r>
        <w:rPr>
          <w:rFonts w:hint="eastAsia"/>
        </w:rPr>
        <w:t>9</w:t>
      </w:r>
      <w:r>
        <w:rPr>
          <w:lang w:val="zh-CN"/>
        </w:rPr>
        <w:t xml:space="preserve"> </w:t>
      </w:r>
      <w:r>
        <w:rPr>
          <w:rFonts w:hint="eastAsia"/>
          <w:lang w:val="zh-CN"/>
        </w:rPr>
        <w:t>环境保护目标</w:t>
      </w:r>
      <w:bookmarkEnd w:id="61"/>
      <w:bookmarkEnd w:id="62"/>
    </w:p>
    <w:p>
      <w:pPr>
        <w:spacing w:before="156" w:after="156"/>
        <w:ind w:firstLine="420"/>
      </w:pPr>
      <w:r>
        <w:rPr>
          <w:rFonts w:hint="eastAsia"/>
        </w:rPr>
        <w:t>描述评价范围内居民点、学校、医院、自然保护区、风景名胜区、文物古迹、饮用水源保护区、水厂取水口等。</w:t>
      </w:r>
    </w:p>
    <w:p>
      <w:pPr>
        <w:spacing w:before="156" w:after="156"/>
        <w:ind w:firstLine="420"/>
      </w:pPr>
      <w:r>
        <w:rPr>
          <w:rFonts w:hint="eastAsia"/>
        </w:rPr>
        <w:t>1、生态环境质量</w:t>
      </w:r>
    </w:p>
    <w:p>
      <w:pPr>
        <w:spacing w:before="156" w:after="156"/>
        <w:ind w:firstLine="420"/>
      </w:pPr>
      <w:r>
        <w:rPr>
          <w:rFonts w:hint="eastAsia"/>
        </w:rPr>
        <w:t>区域现有用地是重庆白涛化工园区西北侧的预留发展空地。项目的建造对生态环境质量影响较小。</w:t>
      </w:r>
    </w:p>
    <w:p>
      <w:pPr>
        <w:spacing w:before="156" w:after="156"/>
        <w:ind w:firstLine="420"/>
      </w:pPr>
      <w:r>
        <w:t>2</w:t>
      </w:r>
      <w:r>
        <w:rPr>
          <w:rFonts w:hint="eastAsia"/>
        </w:rPr>
        <w:t>、地下水质量</w:t>
      </w:r>
    </w:p>
    <w:p>
      <w:pPr>
        <w:spacing w:before="156" w:after="156"/>
        <w:ind w:firstLine="420"/>
      </w:pPr>
      <w:r>
        <w:rPr>
          <w:rFonts w:hint="eastAsia"/>
        </w:rPr>
        <w:t>地下水质量区域规划建设对地下水产生的环境影响均不能使区域地下水环境常规指标的允许浓度发生明显的变化，甚至出现级别下降。</w:t>
      </w:r>
    </w:p>
    <w:p>
      <w:pPr>
        <w:spacing w:before="156" w:after="156"/>
        <w:ind w:firstLine="420"/>
      </w:pPr>
      <w:r>
        <w:t>3</w:t>
      </w:r>
      <w:r>
        <w:rPr>
          <w:rFonts w:hint="eastAsia"/>
        </w:rPr>
        <w:t>、大气质量</w:t>
      </w:r>
    </w:p>
    <w:p>
      <w:pPr>
        <w:spacing w:before="156" w:after="156"/>
        <w:ind w:firstLine="420"/>
      </w:pPr>
      <w:r>
        <w:rPr>
          <w:rFonts w:hint="eastAsia"/>
        </w:rPr>
        <w:t>区域内外的敏感点的大气环境质量不因开发活动而受到负面影响。相反，经过本项目治理后的废气应能起到改善大气质量的作用。</w:t>
      </w:r>
    </w:p>
    <w:p>
      <w:pPr>
        <w:spacing w:before="156" w:after="156"/>
        <w:ind w:firstLine="420"/>
      </w:pPr>
      <w:r>
        <w:t>4</w:t>
      </w:r>
      <w:r>
        <w:rPr>
          <w:rFonts w:hint="eastAsia"/>
        </w:rPr>
        <w:t>、声环境质量</w:t>
      </w:r>
    </w:p>
    <w:p>
      <w:pPr>
        <w:spacing w:before="156" w:after="156"/>
        <w:ind w:firstLine="420"/>
      </w:pPr>
      <w:r>
        <w:rPr>
          <w:rFonts w:hint="eastAsia"/>
        </w:rPr>
        <w:t>区域内包括居住、商业和工业区以及交通干线等，评价将要求保护上述各功能区环境噪声达到相应的标准要求。</w:t>
      </w:r>
    </w:p>
    <w:p>
      <w:pPr>
        <w:pStyle w:val="3"/>
        <w:spacing w:before="156" w:after="156"/>
        <w:ind w:firstLine="562"/>
        <w:rPr>
          <w:lang w:val="zh-CN"/>
        </w:rPr>
      </w:pPr>
      <w:bookmarkStart w:id="63" w:name="_Toc141272037"/>
      <w:bookmarkStart w:id="64" w:name="_Toc108109707"/>
      <w:r>
        <w:rPr>
          <w:rFonts w:hint="eastAsia"/>
          <w:lang w:val="zh-CN"/>
        </w:rPr>
        <w:t>1</w:t>
      </w:r>
      <w:r>
        <w:rPr>
          <w:lang w:val="zh-CN"/>
        </w:rPr>
        <w:t>.</w:t>
      </w:r>
      <w:r>
        <w:rPr>
          <w:rFonts w:hint="eastAsia"/>
        </w:rPr>
        <w:t>10</w:t>
      </w:r>
      <w:r>
        <w:rPr>
          <w:lang w:val="zh-CN"/>
        </w:rPr>
        <w:t xml:space="preserve"> </w:t>
      </w:r>
      <w:r>
        <w:rPr>
          <w:rFonts w:hint="eastAsia"/>
          <w:lang w:val="zh-CN"/>
        </w:rPr>
        <w:t>环境质量标准及污染物排放标准</w:t>
      </w:r>
      <w:bookmarkEnd w:id="63"/>
      <w:bookmarkEnd w:id="64"/>
    </w:p>
    <w:p>
      <w:pPr>
        <w:pStyle w:val="4"/>
        <w:spacing w:before="156" w:after="156"/>
        <w:ind w:firstLine="482"/>
        <w:rPr>
          <w:lang w:val="zh-CN"/>
        </w:rPr>
      </w:pPr>
      <w:bookmarkStart w:id="65" w:name="_Toc108109708"/>
      <w:bookmarkStart w:id="66" w:name="_Toc141272038"/>
      <w:r>
        <w:rPr>
          <w:rFonts w:hint="eastAsia"/>
          <w:lang w:val="zh-CN"/>
        </w:rPr>
        <w:t>1</w:t>
      </w:r>
      <w:r>
        <w:rPr>
          <w:lang w:val="zh-CN"/>
        </w:rPr>
        <w:t>.</w:t>
      </w:r>
      <w:r>
        <w:rPr>
          <w:rFonts w:hint="eastAsia"/>
        </w:rPr>
        <w:t>10</w:t>
      </w:r>
      <w:r>
        <w:rPr>
          <w:lang w:val="zh-CN"/>
        </w:rPr>
        <w:t xml:space="preserve">.1 </w:t>
      </w:r>
      <w:r>
        <w:rPr>
          <w:rFonts w:hint="eastAsia"/>
          <w:lang w:val="zh-CN"/>
        </w:rPr>
        <w:t>环境质量标准</w:t>
      </w:r>
      <w:bookmarkEnd w:id="65"/>
      <w:bookmarkEnd w:id="66"/>
    </w:p>
    <w:p>
      <w:pPr>
        <w:pStyle w:val="5"/>
        <w:spacing w:before="156" w:after="156"/>
        <w:ind w:firstLine="560"/>
      </w:pPr>
      <w:r>
        <w:rPr>
          <w:rFonts w:hint="eastAsia"/>
        </w:rPr>
        <w:t>1</w:t>
      </w:r>
      <w:r>
        <w:t>.</w:t>
      </w:r>
      <w:r>
        <w:rPr>
          <w:rFonts w:hint="eastAsia"/>
        </w:rPr>
        <w:t>10</w:t>
      </w:r>
      <w:r>
        <w:t xml:space="preserve">.1.1 </w:t>
      </w:r>
      <w:r>
        <w:rPr>
          <w:rFonts w:hint="eastAsia"/>
        </w:rPr>
        <w:t>大气环境</w:t>
      </w:r>
    </w:p>
    <w:p>
      <w:pPr>
        <w:spacing w:before="156" w:after="156"/>
        <w:ind w:firstLine="420"/>
      </w:pPr>
      <w:r>
        <w:rPr>
          <w:rFonts w:hint="eastAsia"/>
        </w:rPr>
        <w:t>本项目处理后的废气送往总厂瓦斯管网燃烧供热，废气排放执行标准《化学工业挥发性有机物排放标准》相关标准，控制废气非甲烷总烃量如表1-6所示。</w:t>
      </w:r>
    </w:p>
    <w:p>
      <w:pPr>
        <w:spacing w:before="156" w:after="156"/>
        <w:ind w:firstLine="420"/>
      </w:pPr>
    </w:p>
    <w:p>
      <w:pPr>
        <w:pStyle w:val="24"/>
        <w:spacing w:before="156" w:after="156"/>
        <w:ind w:firstLine="420"/>
        <w:rPr>
          <w:sz w:val="18"/>
          <w:szCs w:val="18"/>
        </w:rPr>
      </w:pPr>
      <w:r>
        <w:rPr>
          <w:rFonts w:hint="eastAsia"/>
          <w:sz w:val="18"/>
          <w:szCs w:val="18"/>
        </w:rPr>
        <w:t>表</w:t>
      </w:r>
      <w:r>
        <w:rPr>
          <w:sz w:val="18"/>
          <w:szCs w:val="18"/>
        </w:rPr>
        <w:fldChar w:fldCharType="begin"/>
      </w:r>
      <w:r>
        <w:rPr>
          <w:sz w:val="18"/>
          <w:szCs w:val="18"/>
        </w:rPr>
        <w:instrText xml:space="preserve"> SET myBK "一九一一年一月</w:instrText>
      </w:r>
      <w:r>
        <w:rPr>
          <w:sz w:val="18"/>
          <w:szCs w:val="18"/>
        </w:rPr>
        <w:fldChar w:fldCharType="begin"/>
      </w:r>
      <w:r>
        <w:rPr>
          <w:sz w:val="18"/>
          <w:szCs w:val="18"/>
        </w:rPr>
        <w:instrText xml:space="preserve"> STYLEREF 1 \s </w:instrText>
      </w:r>
      <w:r>
        <w:rPr>
          <w:sz w:val="18"/>
          <w:szCs w:val="18"/>
        </w:rPr>
        <w:fldChar w:fldCharType="separate"/>
      </w:r>
      <w:r>
        <w:rPr>
          <w:rFonts w:hint="eastAsia"/>
          <w:sz w:val="18"/>
          <w:szCs w:val="18"/>
        </w:rPr>
        <w:instrText xml:space="preserve">一</w:instrText>
      </w:r>
      <w:r>
        <w:rPr>
          <w:sz w:val="18"/>
          <w:szCs w:val="18"/>
        </w:rPr>
        <w:fldChar w:fldCharType="end"/>
      </w:r>
      <w:r>
        <w:rPr>
          <w:sz w:val="18"/>
          <w:szCs w:val="18"/>
        </w:rPr>
        <w:instrText xml:space="preserve">日" </w:instrText>
      </w:r>
      <w:r>
        <w:rPr>
          <w:sz w:val="18"/>
          <w:szCs w:val="18"/>
        </w:rPr>
        <w:fldChar w:fldCharType="separate"/>
      </w:r>
      <w:r>
        <w:rPr>
          <w:sz w:val="18"/>
          <w:szCs w:val="18"/>
        </w:rPr>
        <w:t>日</w:t>
      </w:r>
      <w:r>
        <w:rPr>
          <w:sz w:val="18"/>
          <w:szCs w:val="18"/>
        </w:rPr>
        <w:fldChar w:fldCharType="end"/>
      </w:r>
      <w:r>
        <w:rPr>
          <w:sz w:val="18"/>
          <w:szCs w:val="18"/>
        </w:rPr>
        <w:fldChar w:fldCharType="begin"/>
      </w:r>
      <w:r>
        <w:rPr>
          <w:sz w:val="18"/>
          <w:szCs w:val="18"/>
        </w:rPr>
        <w:instrText xml:space="preserve"> myBK \@ "D" </w:instrText>
      </w:r>
      <w:r>
        <w:rPr>
          <w:sz w:val="18"/>
          <w:szCs w:val="18"/>
        </w:rPr>
        <w:fldChar w:fldCharType="separate"/>
      </w:r>
      <w:r>
        <w:rPr>
          <w:sz w:val="18"/>
          <w:szCs w:val="18"/>
        </w:rPr>
        <w:t>1</w:t>
      </w:r>
      <w:r>
        <w:rPr>
          <w:sz w:val="18"/>
          <w:szCs w:val="18"/>
        </w:rPr>
        <w:fldChar w:fldCharType="end"/>
      </w:r>
      <w:r>
        <w:rPr>
          <w:sz w:val="18"/>
          <w:szCs w:val="18"/>
        </w:rPr>
        <w:noBreakHyphen/>
      </w:r>
      <w:r>
        <w:rPr>
          <w:sz w:val="18"/>
          <w:szCs w:val="18"/>
        </w:rPr>
        <w:fldChar w:fldCharType="begin"/>
      </w:r>
      <w:r>
        <w:rPr>
          <w:rFonts w:hint="eastAsia"/>
          <w:sz w:val="18"/>
          <w:szCs w:val="18"/>
        </w:rPr>
        <w:instrText xml:space="preserve">SEQ 表 \* ARABIC \s 1</w:instrText>
      </w:r>
      <w:r>
        <w:rPr>
          <w:sz w:val="18"/>
          <w:szCs w:val="18"/>
        </w:rPr>
        <w:fldChar w:fldCharType="separate"/>
      </w:r>
      <w:r>
        <w:rPr>
          <w:sz w:val="18"/>
          <w:szCs w:val="18"/>
        </w:rPr>
        <w:t>6</w:t>
      </w:r>
      <w:r>
        <w:rPr>
          <w:sz w:val="18"/>
          <w:szCs w:val="18"/>
        </w:rPr>
        <w:fldChar w:fldCharType="end"/>
      </w:r>
      <w:r>
        <w:rPr>
          <w:rFonts w:hint="eastAsia"/>
          <w:sz w:val="18"/>
          <w:szCs w:val="18"/>
        </w:rPr>
        <w:t>石油化学工业污染物排放标准</w:t>
      </w:r>
    </w:p>
    <w:tbl>
      <w:tblPr>
        <w:tblStyle w:val="30"/>
        <w:tblW w:w="8699"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4372"/>
        <w:gridCol w:w="2258"/>
        <w:gridCol w:w="2069"/>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14" w:hRule="atLeast"/>
          <w:jc w:val="center"/>
        </w:trPr>
        <w:tc>
          <w:tcPr>
            <w:tcW w:w="4372"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标准名称</w:t>
            </w:r>
          </w:p>
        </w:tc>
        <w:tc>
          <w:tcPr>
            <w:tcW w:w="2258"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标准</w:t>
            </w:r>
            <w:r>
              <w:rPr>
                <w:rFonts w:asciiTheme="minorHAnsi" w:hAnsiTheme="minorHAnsi" w:eastAsiaTheme="minorEastAsia" w:cstheme="minorBidi"/>
                <w:b/>
                <w:bCs/>
                <w:color w:val="FFFFFF"/>
                <w:szCs w:val="21"/>
              </w:rPr>
              <w:t>号</w:t>
            </w:r>
          </w:p>
        </w:tc>
        <w:tc>
          <w:tcPr>
            <w:tcW w:w="2069"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规定/</w:t>
            </w:r>
            <w:r>
              <w:rPr>
                <w:rFonts w:asciiTheme="minorHAnsi" w:hAnsiTheme="minorHAnsi" w:eastAsiaTheme="minorEastAsia" w:cstheme="minorBidi"/>
                <w:b/>
                <w:bCs/>
                <w:color w:val="FFFFFF"/>
                <w:szCs w:val="21"/>
              </w:rPr>
              <w:t>mg·m</w:t>
            </w:r>
            <w:r>
              <w:rPr>
                <w:rFonts w:asciiTheme="minorHAnsi" w:hAnsiTheme="minorHAnsi" w:eastAsiaTheme="minorEastAsia" w:cstheme="minorBidi"/>
                <w:b/>
                <w:bCs/>
                <w:color w:val="FFFFFF"/>
                <w:szCs w:val="21"/>
                <w:vertAlign w:val="superscript"/>
              </w:rPr>
              <w:t>-3</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Ex>
        <w:trPr>
          <w:trHeight w:val="427" w:hRule="atLeast"/>
          <w:jc w:val="center"/>
        </w:trPr>
        <w:tc>
          <w:tcPr>
            <w:tcW w:w="4372"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asciiTheme="minorHAnsi" w:hAnsiTheme="minorHAnsi" w:eastAsiaTheme="minorEastAsia" w:cstheme="minorBidi"/>
                <w:b/>
                <w:bCs/>
                <w:color w:val="000000"/>
                <w:szCs w:val="21"/>
              </w:rPr>
              <w:t>《化学工业挥发性有机物排放标准》</w:t>
            </w:r>
          </w:p>
        </w:tc>
        <w:tc>
          <w:tcPr>
            <w:tcW w:w="2258"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DB32/3151—2016</w:t>
            </w:r>
          </w:p>
        </w:tc>
        <w:tc>
          <w:tcPr>
            <w:tcW w:w="2069"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60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65" w:hRule="atLeast"/>
          <w:jc w:val="center"/>
        </w:trPr>
        <w:tc>
          <w:tcPr>
            <w:tcW w:w="4372"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asciiTheme="minorHAnsi" w:hAnsiTheme="minorHAnsi" w:eastAsiaTheme="minorEastAsia" w:cstheme="minorBidi"/>
                <w:b/>
                <w:bCs/>
                <w:color w:val="000000"/>
                <w:szCs w:val="21"/>
              </w:rPr>
              <w:t>《石油化学</w:t>
            </w:r>
            <w:r>
              <w:rPr>
                <w:rFonts w:asciiTheme="minorHAnsi" w:hAnsiTheme="minorHAnsi" w:eastAsiaTheme="minorEastAsia" w:cstheme="minorBidi"/>
                <w:b/>
                <w:bCs/>
                <w:color w:val="000000"/>
                <w:szCs w:val="21"/>
              </w:rPr>
              <w:t>工业污染物排放标准</w:t>
            </w:r>
            <w:r>
              <w:rPr>
                <w:rFonts w:hint="eastAsia" w:asciiTheme="minorHAnsi" w:hAnsiTheme="minorHAnsi" w:eastAsiaTheme="minorEastAsia" w:cstheme="minorBidi"/>
                <w:b/>
                <w:bCs/>
                <w:color w:val="000000"/>
                <w:szCs w:val="21"/>
              </w:rPr>
              <w:t>》</w:t>
            </w:r>
          </w:p>
        </w:tc>
        <w:tc>
          <w:tcPr>
            <w:tcW w:w="2258"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GB31571-2015</w:t>
            </w:r>
          </w:p>
        </w:tc>
        <w:tc>
          <w:tcPr>
            <w:tcW w:w="2069"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80</w:t>
            </w:r>
          </w:p>
        </w:tc>
      </w:tr>
    </w:tbl>
    <w:p>
      <w:pPr>
        <w:pStyle w:val="5"/>
        <w:spacing w:before="156" w:after="156"/>
        <w:ind w:firstLine="560"/>
      </w:pPr>
      <w:r>
        <w:rPr>
          <w:rFonts w:hint="eastAsia"/>
        </w:rPr>
        <w:t>1.10</w:t>
      </w:r>
      <w:r>
        <w:t xml:space="preserve">.1.2 </w:t>
      </w:r>
      <w:r>
        <w:rPr>
          <w:rFonts w:hint="eastAsia"/>
        </w:rPr>
        <w:t>地表水环境</w:t>
      </w:r>
    </w:p>
    <w:p>
      <w:pPr>
        <w:spacing w:before="156" w:after="156"/>
        <w:ind w:firstLine="420"/>
      </w:pPr>
      <w:r>
        <w:rPr>
          <w:rFonts w:hint="eastAsia"/>
        </w:rPr>
        <w:t>乌江评价江段各因子执行《地表水环境质量标准》（GB 3838-2002）中</w:t>
      </w:r>
      <w:r>
        <w:rPr>
          <w:rFonts w:hint="eastAsia" w:ascii="等线" w:hAnsi="等线" w:eastAsia="等线"/>
        </w:rPr>
        <w:t>Ⅲ</w:t>
      </w:r>
      <w:r>
        <w:rPr>
          <w:rFonts w:hint="eastAsia"/>
        </w:rPr>
        <w:t>类水域标准，如表1-7所示。</w:t>
      </w:r>
    </w:p>
    <w:p>
      <w:pPr>
        <w:pStyle w:val="24"/>
        <w:spacing w:before="156" w:after="156"/>
        <w:ind w:firstLine="420"/>
        <w:rPr>
          <w:sz w:val="18"/>
          <w:szCs w:val="18"/>
        </w:rPr>
      </w:pPr>
      <w:r>
        <w:rPr>
          <w:rFonts w:hint="eastAsia"/>
          <w:sz w:val="18"/>
          <w:szCs w:val="18"/>
        </w:rPr>
        <w:t>表</w:t>
      </w:r>
      <w:r>
        <w:rPr>
          <w:sz w:val="18"/>
          <w:szCs w:val="18"/>
        </w:rPr>
        <w:fldChar w:fldCharType="begin"/>
      </w:r>
      <w:r>
        <w:rPr>
          <w:sz w:val="18"/>
          <w:szCs w:val="18"/>
        </w:rPr>
        <w:instrText xml:space="preserve"> SET myBK "一九一一年一月</w:instrText>
      </w:r>
      <w:r>
        <w:rPr>
          <w:sz w:val="18"/>
          <w:szCs w:val="18"/>
        </w:rPr>
        <w:fldChar w:fldCharType="begin"/>
      </w:r>
      <w:r>
        <w:rPr>
          <w:sz w:val="18"/>
          <w:szCs w:val="18"/>
        </w:rPr>
        <w:instrText xml:space="preserve"> STYLEREF 1 \s </w:instrText>
      </w:r>
      <w:r>
        <w:rPr>
          <w:sz w:val="18"/>
          <w:szCs w:val="18"/>
        </w:rPr>
        <w:fldChar w:fldCharType="separate"/>
      </w:r>
      <w:r>
        <w:rPr>
          <w:rFonts w:hint="eastAsia"/>
          <w:sz w:val="18"/>
          <w:szCs w:val="18"/>
        </w:rPr>
        <w:instrText xml:space="preserve">一</w:instrText>
      </w:r>
      <w:r>
        <w:rPr>
          <w:sz w:val="18"/>
          <w:szCs w:val="18"/>
        </w:rPr>
        <w:fldChar w:fldCharType="end"/>
      </w:r>
      <w:r>
        <w:rPr>
          <w:sz w:val="18"/>
          <w:szCs w:val="18"/>
        </w:rPr>
        <w:instrText xml:space="preserve">日" </w:instrText>
      </w:r>
      <w:r>
        <w:rPr>
          <w:sz w:val="18"/>
          <w:szCs w:val="18"/>
        </w:rPr>
        <w:fldChar w:fldCharType="separate"/>
      </w:r>
      <w:r>
        <w:rPr>
          <w:sz w:val="18"/>
          <w:szCs w:val="18"/>
        </w:rPr>
        <w:t>日</w:t>
      </w:r>
      <w:r>
        <w:rPr>
          <w:sz w:val="18"/>
          <w:szCs w:val="18"/>
        </w:rPr>
        <w:fldChar w:fldCharType="end"/>
      </w:r>
      <w:r>
        <w:rPr>
          <w:sz w:val="18"/>
          <w:szCs w:val="18"/>
        </w:rPr>
        <w:fldChar w:fldCharType="begin"/>
      </w:r>
      <w:r>
        <w:rPr>
          <w:sz w:val="18"/>
          <w:szCs w:val="18"/>
        </w:rPr>
        <w:instrText xml:space="preserve"> myBK \@ "D" </w:instrText>
      </w:r>
      <w:r>
        <w:rPr>
          <w:sz w:val="18"/>
          <w:szCs w:val="18"/>
        </w:rPr>
        <w:fldChar w:fldCharType="separate"/>
      </w:r>
      <w:r>
        <w:rPr>
          <w:sz w:val="18"/>
          <w:szCs w:val="18"/>
        </w:rPr>
        <w:t>1</w:t>
      </w:r>
      <w:r>
        <w:rPr>
          <w:sz w:val="18"/>
          <w:szCs w:val="18"/>
        </w:rPr>
        <w:fldChar w:fldCharType="end"/>
      </w:r>
      <w:r>
        <w:rPr>
          <w:sz w:val="18"/>
          <w:szCs w:val="18"/>
        </w:rPr>
        <w:noBreakHyphen/>
      </w:r>
      <w:r>
        <w:rPr>
          <w:sz w:val="18"/>
          <w:szCs w:val="18"/>
        </w:rPr>
        <w:fldChar w:fldCharType="begin"/>
      </w:r>
      <w:r>
        <w:rPr>
          <w:rFonts w:hint="eastAsia"/>
          <w:sz w:val="18"/>
          <w:szCs w:val="18"/>
        </w:rPr>
        <w:instrText xml:space="preserve">SEQ 表 \* ARABIC \s 1</w:instrText>
      </w:r>
      <w:r>
        <w:rPr>
          <w:sz w:val="18"/>
          <w:szCs w:val="18"/>
        </w:rPr>
        <w:fldChar w:fldCharType="separate"/>
      </w:r>
      <w:r>
        <w:rPr>
          <w:sz w:val="18"/>
          <w:szCs w:val="18"/>
        </w:rPr>
        <w:t>7</w:t>
      </w:r>
      <w:r>
        <w:rPr>
          <w:sz w:val="18"/>
          <w:szCs w:val="18"/>
        </w:rPr>
        <w:fldChar w:fldCharType="end"/>
      </w:r>
      <w:r>
        <w:rPr>
          <w:rFonts w:hint="eastAsia"/>
          <w:sz w:val="18"/>
          <w:szCs w:val="18"/>
        </w:rPr>
        <w:t>地表水环境质量标准（单位：mg/L）</w:t>
      </w:r>
    </w:p>
    <w:tbl>
      <w:tblPr>
        <w:tblStyle w:val="30"/>
        <w:tblW w:w="9582"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355"/>
        <w:gridCol w:w="1368"/>
        <w:gridCol w:w="1366"/>
        <w:gridCol w:w="1576"/>
        <w:gridCol w:w="1701"/>
        <w:gridCol w:w="1134"/>
        <w:gridCol w:w="1082"/>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39" w:hRule="atLeast"/>
          <w:jc w:val="center"/>
        </w:trPr>
        <w:tc>
          <w:tcPr>
            <w:tcW w:w="1355"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污染物</w:t>
            </w:r>
          </w:p>
        </w:tc>
        <w:tc>
          <w:tcPr>
            <w:tcW w:w="1368"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pH</w:t>
            </w:r>
          </w:p>
        </w:tc>
        <w:tc>
          <w:tcPr>
            <w:tcW w:w="136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溶解氧</w:t>
            </w:r>
          </w:p>
        </w:tc>
        <w:tc>
          <w:tcPr>
            <w:tcW w:w="15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高锰酸盐指数</w:t>
            </w:r>
          </w:p>
        </w:tc>
        <w:tc>
          <w:tcPr>
            <w:tcW w:w="170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五日生化需氧量</w:t>
            </w:r>
          </w:p>
        </w:tc>
        <w:tc>
          <w:tcPr>
            <w:tcW w:w="113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挥发酚</w:t>
            </w:r>
          </w:p>
        </w:tc>
        <w:tc>
          <w:tcPr>
            <w:tcW w:w="1082"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总磷</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2" w:hRule="atLeast"/>
          <w:jc w:val="center"/>
        </w:trPr>
        <w:tc>
          <w:tcPr>
            <w:tcW w:w="1355"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asciiTheme="minorEastAsia" w:hAnsiTheme="minorEastAsia" w:eastAsiaTheme="minorEastAsia" w:cstheme="minorBidi"/>
                <w:b/>
                <w:bCs/>
                <w:color w:val="000000"/>
                <w:szCs w:val="21"/>
              </w:rPr>
              <w:t>Ⅲ</w:t>
            </w:r>
            <w:r>
              <w:rPr>
                <w:rFonts w:asciiTheme="minorHAnsi" w:hAnsiTheme="minorHAnsi" w:eastAsiaTheme="minorEastAsia" w:cstheme="minorBidi"/>
                <w:b/>
                <w:bCs/>
                <w:color w:val="000000"/>
                <w:szCs w:val="21"/>
              </w:rPr>
              <w:t>类标准</w:t>
            </w:r>
          </w:p>
        </w:tc>
        <w:tc>
          <w:tcPr>
            <w:tcW w:w="1368"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6</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9</w:t>
            </w:r>
          </w:p>
        </w:tc>
        <w:tc>
          <w:tcPr>
            <w:tcW w:w="1366"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≥5</w:t>
            </w:r>
          </w:p>
        </w:tc>
        <w:tc>
          <w:tcPr>
            <w:tcW w:w="1576"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≤6</w:t>
            </w:r>
          </w:p>
        </w:tc>
        <w:tc>
          <w:tcPr>
            <w:tcW w:w="1701"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≤4</w:t>
            </w:r>
          </w:p>
        </w:tc>
        <w:tc>
          <w:tcPr>
            <w:tcW w:w="1134"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w:t>
            </w:r>
            <w:r>
              <w:rPr>
                <w:rFonts w:hint="eastAsia" w:asciiTheme="minorHAnsi" w:hAnsiTheme="minorHAnsi" w:eastAsiaTheme="minorEastAsia" w:cstheme="minorBidi"/>
                <w:color w:val="000000"/>
                <w:szCs w:val="21"/>
              </w:rPr>
              <w:t>0.00</w:t>
            </w:r>
            <w:r>
              <w:rPr>
                <w:rFonts w:asciiTheme="minorHAnsi" w:hAnsiTheme="minorHAnsi" w:eastAsiaTheme="minorEastAsia" w:cstheme="minorBidi"/>
                <w:color w:val="000000"/>
                <w:szCs w:val="21"/>
              </w:rPr>
              <w:t>5</w:t>
            </w:r>
          </w:p>
        </w:tc>
        <w:tc>
          <w:tcPr>
            <w:tcW w:w="1082"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≤0.2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48" w:hRule="atLeast"/>
          <w:jc w:val="center"/>
        </w:trPr>
        <w:tc>
          <w:tcPr>
            <w:tcW w:w="1355"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污染物</w:t>
            </w:r>
          </w:p>
        </w:tc>
        <w:tc>
          <w:tcPr>
            <w:tcW w:w="1368"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氟化物</w:t>
            </w:r>
          </w:p>
        </w:tc>
        <w:tc>
          <w:tcPr>
            <w:tcW w:w="1366"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氨氮</w:t>
            </w:r>
          </w:p>
        </w:tc>
        <w:tc>
          <w:tcPr>
            <w:tcW w:w="1576"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石油类</w:t>
            </w:r>
          </w:p>
        </w:tc>
        <w:tc>
          <w:tcPr>
            <w:tcW w:w="1701"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化学需氧量</w:t>
            </w:r>
          </w:p>
        </w:tc>
        <w:tc>
          <w:tcPr>
            <w:tcW w:w="1134" w:type="dxa"/>
            <w:vAlign w:val="center"/>
          </w:tcPr>
          <w:p>
            <w:pPr>
              <w:spacing w:before="0" w:beforeLines="0" w:after="0" w:afterLines="0" w:line="240" w:lineRule="auto"/>
              <w:ind w:firstLine="0" w:firstLineChars="0"/>
              <w:jc w:val="center"/>
              <w:rPr>
                <w:rFonts w:hint="eastAsia" w:asciiTheme="minorHAnsi" w:hAnsiTheme="minorHAnsi" w:eastAsiaTheme="minorEastAsia" w:cstheme="minorBidi"/>
                <w:color w:val="000000"/>
              </w:rPr>
            </w:pPr>
            <w:r>
              <w:rPr>
                <w:rFonts w:hint="eastAsia" w:asciiTheme="minorHAnsi" w:hAnsiTheme="minorHAnsi" w:eastAsiaTheme="minorEastAsia" w:cstheme="minorBidi"/>
                <w:color w:val="000000"/>
                <w:szCs w:val="21"/>
              </w:rPr>
              <w:t>氰化物</w:t>
            </w:r>
          </w:p>
        </w:tc>
        <w:tc>
          <w:tcPr>
            <w:tcW w:w="1082"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硫化物</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39" w:hRule="atLeast"/>
          <w:jc w:val="center"/>
        </w:trPr>
        <w:tc>
          <w:tcPr>
            <w:tcW w:w="1355"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asciiTheme="minorEastAsia" w:hAnsiTheme="minorEastAsia" w:eastAsiaTheme="minorEastAsia" w:cstheme="minorBidi"/>
                <w:b/>
                <w:bCs/>
                <w:color w:val="000000"/>
                <w:szCs w:val="21"/>
              </w:rPr>
              <w:t>Ⅲ</w:t>
            </w:r>
            <w:r>
              <w:rPr>
                <w:rFonts w:asciiTheme="minorHAnsi" w:hAnsiTheme="minorHAnsi" w:eastAsiaTheme="minorEastAsia" w:cstheme="minorBidi"/>
                <w:b/>
                <w:bCs/>
                <w:color w:val="000000"/>
                <w:szCs w:val="21"/>
              </w:rPr>
              <w:t>类标准</w:t>
            </w:r>
          </w:p>
        </w:tc>
        <w:tc>
          <w:tcPr>
            <w:tcW w:w="1368"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≤1.0</w:t>
            </w:r>
          </w:p>
        </w:tc>
        <w:tc>
          <w:tcPr>
            <w:tcW w:w="1366"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≤1.0</w:t>
            </w:r>
          </w:p>
        </w:tc>
        <w:tc>
          <w:tcPr>
            <w:tcW w:w="1576"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≤0.05</w:t>
            </w:r>
          </w:p>
        </w:tc>
        <w:tc>
          <w:tcPr>
            <w:tcW w:w="1701"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≤20</w:t>
            </w:r>
          </w:p>
        </w:tc>
        <w:tc>
          <w:tcPr>
            <w:tcW w:w="1134"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w:t>
            </w:r>
            <w:r>
              <w:rPr>
                <w:rFonts w:hint="eastAsia" w:asciiTheme="minorHAnsi" w:hAnsiTheme="minorHAnsi" w:eastAsiaTheme="minorEastAsia" w:cstheme="minorBidi"/>
                <w:color w:val="000000"/>
                <w:szCs w:val="21"/>
              </w:rPr>
              <w:t>0.</w:t>
            </w:r>
            <w:r>
              <w:rPr>
                <w:rFonts w:asciiTheme="minorHAnsi" w:hAnsiTheme="minorHAnsi" w:eastAsiaTheme="minorEastAsia" w:cstheme="minorBidi"/>
                <w:color w:val="000000"/>
                <w:szCs w:val="21"/>
              </w:rPr>
              <w:t>2</w:t>
            </w:r>
          </w:p>
        </w:tc>
        <w:tc>
          <w:tcPr>
            <w:tcW w:w="1082"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≤0.2</w:t>
            </w:r>
          </w:p>
        </w:tc>
      </w:tr>
    </w:tbl>
    <w:p>
      <w:pPr>
        <w:spacing w:before="156" w:after="156"/>
        <w:ind w:firstLine="420"/>
      </w:pPr>
      <w:r>
        <w:rPr>
          <w:rFonts w:hint="eastAsia"/>
        </w:rPr>
        <w:t>该区域地下水水质执行《地下水质量标准》（GB/T 14848-2017）中的Ⅲ类标准，如表1-8所示。</w:t>
      </w:r>
    </w:p>
    <w:p>
      <w:pPr>
        <w:spacing w:before="156" w:after="156"/>
        <w:ind w:firstLine="420"/>
      </w:pPr>
    </w:p>
    <w:p>
      <w:pPr>
        <w:pStyle w:val="24"/>
        <w:spacing w:before="156" w:after="156"/>
        <w:ind w:firstLine="420"/>
      </w:pPr>
      <w:r>
        <w:rPr>
          <w:rFonts w:hint="eastAsia"/>
        </w:rPr>
        <w:t>表</w:t>
      </w:r>
      <w:r>
        <w:fldChar w:fldCharType="begin"/>
      </w:r>
      <w:r>
        <w:instrText xml:space="preserve"> SET myBK "一九一一年一月</w:instrText>
      </w:r>
      <w:r>
        <w:fldChar w:fldCharType="begin"/>
      </w:r>
      <w:r>
        <w:instrText xml:space="preserve"> STYLEREF 1 \s </w:instrText>
      </w:r>
      <w:r>
        <w:fldChar w:fldCharType="separate"/>
      </w:r>
      <w:r>
        <w:rPr>
          <w:rFonts w:hint="eastAsia"/>
        </w:rPr>
        <w:instrText xml:space="preserve">一</w:instrText>
      </w:r>
      <w:r>
        <w:rPr>
          <w:rFonts w:hint="eastAsia"/>
        </w:rPr>
        <w:fldChar w:fldCharType="end"/>
      </w:r>
      <w:r>
        <w:instrText xml:space="preserve">日" </w:instrText>
      </w:r>
      <w:r>
        <w:fldChar w:fldCharType="separate"/>
      </w:r>
      <w:r>
        <w:t>日</w:t>
      </w:r>
      <w:r>
        <w:fldChar w:fldCharType="end"/>
      </w:r>
      <w:r>
        <w:fldChar w:fldCharType="begin"/>
      </w:r>
      <w:r>
        <w:instrText xml:space="preserve"> myBK \@ "D" </w:instrText>
      </w:r>
      <w:r>
        <w:fldChar w:fldCharType="separate"/>
      </w:r>
      <w:r>
        <w:t>1</w:t>
      </w:r>
      <w:r>
        <w:fldChar w:fldCharType="end"/>
      </w:r>
      <w:r>
        <w:noBreakHyphen/>
      </w:r>
      <w:r>
        <w:fldChar w:fldCharType="begin"/>
      </w:r>
      <w:r>
        <w:rPr>
          <w:rFonts w:hint="eastAsia"/>
        </w:rPr>
        <w:instrText xml:space="preserve">SEQ 表 \* ARABIC \s 1</w:instrText>
      </w:r>
      <w:r>
        <w:fldChar w:fldCharType="separate"/>
      </w:r>
      <w:r>
        <w:t>8</w:t>
      </w:r>
      <w:r>
        <w:fldChar w:fldCharType="end"/>
      </w:r>
      <w:r>
        <w:rPr>
          <w:rFonts w:hint="eastAsia"/>
        </w:rPr>
        <w:t>地下水环境质量状况（单位：mg/L）</w:t>
      </w:r>
    </w:p>
    <w:tbl>
      <w:tblPr>
        <w:tblStyle w:val="30"/>
        <w:tblW w:w="8815"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501"/>
        <w:gridCol w:w="1094"/>
        <w:gridCol w:w="1802"/>
        <w:gridCol w:w="1472"/>
        <w:gridCol w:w="1473"/>
        <w:gridCol w:w="1473"/>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Ex>
        <w:trPr>
          <w:trHeight w:val="398" w:hRule="atLeast"/>
          <w:jc w:val="center"/>
        </w:trPr>
        <w:tc>
          <w:tcPr>
            <w:tcW w:w="1501"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污染物</w:t>
            </w:r>
          </w:p>
        </w:tc>
        <w:tc>
          <w:tcPr>
            <w:tcW w:w="109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pH</w:t>
            </w:r>
          </w:p>
        </w:tc>
        <w:tc>
          <w:tcPr>
            <w:tcW w:w="180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高锰酸盐指数</w:t>
            </w:r>
          </w:p>
        </w:tc>
        <w:tc>
          <w:tcPr>
            <w:tcW w:w="147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氯化物</w:t>
            </w:r>
          </w:p>
        </w:tc>
        <w:tc>
          <w:tcPr>
            <w:tcW w:w="147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氨氮</w:t>
            </w:r>
          </w:p>
        </w:tc>
        <w:tc>
          <w:tcPr>
            <w:tcW w:w="1473"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亚硝酸盐氮</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98" w:hRule="atLeast"/>
          <w:jc w:val="center"/>
        </w:trPr>
        <w:tc>
          <w:tcPr>
            <w:tcW w:w="1501"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eastAsiaTheme="minorEastAsia" w:cstheme="minorBidi"/>
                <w:b/>
                <w:bCs/>
                <w:color w:val="000000"/>
                <w:szCs w:val="21"/>
              </w:rPr>
              <w:t>Ⅲ</w:t>
            </w:r>
            <w:r>
              <w:rPr>
                <w:rFonts w:asciiTheme="minorHAnsi" w:hAnsiTheme="minorHAnsi" w:eastAsiaTheme="minorEastAsia" w:cstheme="minorBidi"/>
                <w:b/>
                <w:bCs/>
                <w:color w:val="000000"/>
                <w:szCs w:val="21"/>
              </w:rPr>
              <w:t>类标准</w:t>
            </w:r>
          </w:p>
        </w:tc>
        <w:tc>
          <w:tcPr>
            <w:tcW w:w="1094"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6.5</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8.5</w:t>
            </w:r>
          </w:p>
        </w:tc>
        <w:tc>
          <w:tcPr>
            <w:tcW w:w="1802"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≤3.0</w:t>
            </w:r>
          </w:p>
        </w:tc>
        <w:tc>
          <w:tcPr>
            <w:tcW w:w="1472"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≤250</w:t>
            </w:r>
          </w:p>
        </w:tc>
        <w:tc>
          <w:tcPr>
            <w:tcW w:w="1473"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≤0.2</w:t>
            </w:r>
          </w:p>
        </w:tc>
        <w:tc>
          <w:tcPr>
            <w:tcW w:w="1473"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≤0.02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01" w:hRule="atLeast"/>
          <w:jc w:val="center"/>
        </w:trPr>
        <w:tc>
          <w:tcPr>
            <w:tcW w:w="1501"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污染物</w:t>
            </w:r>
          </w:p>
        </w:tc>
        <w:tc>
          <w:tcPr>
            <w:tcW w:w="1094"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总硬度</w:t>
            </w:r>
          </w:p>
        </w:tc>
        <w:tc>
          <w:tcPr>
            <w:tcW w:w="1802"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挥发酚类</w:t>
            </w:r>
          </w:p>
        </w:tc>
        <w:tc>
          <w:tcPr>
            <w:tcW w:w="1472"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氰化物</w:t>
            </w:r>
          </w:p>
        </w:tc>
        <w:tc>
          <w:tcPr>
            <w:tcW w:w="1473"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六价铬</w:t>
            </w:r>
          </w:p>
        </w:tc>
        <w:tc>
          <w:tcPr>
            <w:tcW w:w="1473"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硝酸盐氮</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98" w:hRule="atLeast"/>
          <w:jc w:val="center"/>
        </w:trPr>
        <w:tc>
          <w:tcPr>
            <w:tcW w:w="1501"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eastAsiaTheme="minorEastAsia" w:cstheme="minorBidi"/>
                <w:b/>
                <w:bCs/>
                <w:color w:val="000000"/>
                <w:szCs w:val="21"/>
              </w:rPr>
              <w:t>Ⅲ</w:t>
            </w:r>
            <w:r>
              <w:rPr>
                <w:rFonts w:asciiTheme="minorHAnsi" w:hAnsiTheme="minorHAnsi" w:eastAsiaTheme="minorEastAsia" w:cstheme="minorBidi"/>
                <w:b/>
                <w:bCs/>
                <w:color w:val="000000"/>
                <w:szCs w:val="21"/>
              </w:rPr>
              <w:t>类标准</w:t>
            </w:r>
          </w:p>
        </w:tc>
        <w:tc>
          <w:tcPr>
            <w:tcW w:w="1094"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≤450</w:t>
            </w:r>
          </w:p>
        </w:tc>
        <w:tc>
          <w:tcPr>
            <w:tcW w:w="1802"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≤0.002</w:t>
            </w:r>
          </w:p>
        </w:tc>
        <w:tc>
          <w:tcPr>
            <w:tcW w:w="1472"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≤0.05</w:t>
            </w:r>
          </w:p>
        </w:tc>
        <w:tc>
          <w:tcPr>
            <w:tcW w:w="1473"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≤0.05</w:t>
            </w:r>
          </w:p>
        </w:tc>
        <w:tc>
          <w:tcPr>
            <w:tcW w:w="1473"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≤20</w:t>
            </w:r>
          </w:p>
        </w:tc>
      </w:tr>
    </w:tbl>
    <w:p>
      <w:pPr>
        <w:pStyle w:val="5"/>
        <w:spacing w:before="156" w:after="156"/>
        <w:ind w:firstLine="560"/>
      </w:pPr>
      <w:r>
        <w:rPr>
          <w:rFonts w:hint="eastAsia"/>
        </w:rPr>
        <w:t>1</w:t>
      </w:r>
      <w:r>
        <w:t>.</w:t>
      </w:r>
      <w:r>
        <w:rPr>
          <w:rFonts w:hint="eastAsia"/>
        </w:rPr>
        <w:t>10</w:t>
      </w:r>
      <w:r>
        <w:t xml:space="preserve">.1.3 </w:t>
      </w:r>
      <w:r>
        <w:rPr>
          <w:rFonts w:hint="eastAsia"/>
        </w:rPr>
        <w:t>土壤环境质量</w:t>
      </w:r>
    </w:p>
    <w:p>
      <w:pPr>
        <w:spacing w:before="156" w:after="156"/>
        <w:ind w:firstLine="420"/>
      </w:pPr>
      <w:r>
        <w:rPr>
          <w:rFonts w:hint="eastAsia"/>
        </w:rPr>
        <w:t>本规划主要为石油化工产业，土壤环境质量评价标准主要采用国家土壤环境质量建设用地土壤污染风险管控标准（试行）(GB36600—2018)中的三级质量标准，相关标准值如表1-9所示。</w:t>
      </w:r>
    </w:p>
    <w:p>
      <w:pPr>
        <w:pStyle w:val="24"/>
        <w:spacing w:before="156" w:after="156"/>
        <w:ind w:firstLine="420"/>
      </w:pPr>
      <w:r>
        <w:rPr>
          <w:rFonts w:hint="eastAsia"/>
        </w:rPr>
        <w:t>表</w:t>
      </w:r>
      <w:r>
        <w:fldChar w:fldCharType="begin"/>
      </w:r>
      <w:r>
        <w:instrText xml:space="preserve"> SET myBK "一九一一年一月</w:instrText>
      </w:r>
      <w:r>
        <w:fldChar w:fldCharType="begin"/>
      </w:r>
      <w:r>
        <w:instrText xml:space="preserve"> STYLEREF 1 \s </w:instrText>
      </w:r>
      <w:r>
        <w:fldChar w:fldCharType="separate"/>
      </w:r>
      <w:r>
        <w:rPr>
          <w:rFonts w:hint="eastAsia"/>
        </w:rPr>
        <w:instrText xml:space="preserve">一</w:instrText>
      </w:r>
      <w:r>
        <w:rPr>
          <w:rFonts w:hint="eastAsia"/>
        </w:rPr>
        <w:fldChar w:fldCharType="end"/>
      </w:r>
      <w:r>
        <w:instrText xml:space="preserve">日" </w:instrText>
      </w:r>
      <w:r>
        <w:fldChar w:fldCharType="separate"/>
      </w:r>
      <w:r>
        <w:t>一九一一年一月日</w:t>
      </w:r>
      <w:r>
        <w:fldChar w:fldCharType="end"/>
      </w:r>
      <w:r>
        <w:fldChar w:fldCharType="begin"/>
      </w:r>
      <w:r>
        <w:instrText xml:space="preserve"> myBK \@ "D" </w:instrText>
      </w:r>
      <w:r>
        <w:fldChar w:fldCharType="separate"/>
      </w:r>
      <w:r>
        <w:t>1</w:t>
      </w:r>
      <w:r>
        <w:fldChar w:fldCharType="end"/>
      </w:r>
      <w:r>
        <w:noBreakHyphen/>
      </w:r>
      <w:r>
        <w:fldChar w:fldCharType="begin"/>
      </w:r>
      <w:r>
        <w:rPr>
          <w:rFonts w:hint="eastAsia"/>
        </w:rPr>
        <w:instrText xml:space="preserve">SEQ 表 \* ARABIC \s 1</w:instrText>
      </w:r>
      <w:r>
        <w:fldChar w:fldCharType="separate"/>
      </w:r>
      <w:r>
        <w:t>9</w:t>
      </w:r>
      <w:r>
        <w:fldChar w:fldCharType="end"/>
      </w:r>
      <w:r>
        <w:rPr>
          <w:rFonts w:hint="eastAsia"/>
        </w:rPr>
        <w:t>土壤环境质量标准（单位：mg/kg干土）</w:t>
      </w:r>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629"/>
        <w:gridCol w:w="2766"/>
        <w:gridCol w:w="3901"/>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29"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项目</w:t>
            </w:r>
          </w:p>
        </w:tc>
        <w:tc>
          <w:tcPr>
            <w:tcW w:w="276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标准值</w:t>
            </w:r>
          </w:p>
        </w:tc>
        <w:tc>
          <w:tcPr>
            <w:tcW w:w="3901"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29"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pH值</w:t>
            </w:r>
          </w:p>
        </w:tc>
        <w:tc>
          <w:tcPr>
            <w:tcW w:w="2766"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&gt;6.5</w:t>
            </w:r>
          </w:p>
        </w:tc>
        <w:tc>
          <w:tcPr>
            <w:tcW w:w="3901" w:type="dxa"/>
            <w:vMerge w:val="restart"/>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《土壤环境质量标准》</w:t>
            </w:r>
          </w:p>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（GB/T 15618-2008）中的三级质量标准</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29"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镉</w:t>
            </w:r>
          </w:p>
        </w:tc>
        <w:tc>
          <w:tcPr>
            <w:tcW w:w="2766"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≤1.0</w:t>
            </w:r>
          </w:p>
        </w:tc>
        <w:tc>
          <w:tcPr>
            <w:tcW w:w="3901" w:type="dxa"/>
            <w:vMerge w:val="continue"/>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29"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汞</w:t>
            </w:r>
          </w:p>
        </w:tc>
        <w:tc>
          <w:tcPr>
            <w:tcW w:w="2766"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≤1.5</w:t>
            </w:r>
          </w:p>
        </w:tc>
        <w:tc>
          <w:tcPr>
            <w:tcW w:w="3901" w:type="dxa"/>
            <w:vMerge w:val="continue"/>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29"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砷（旱地）</w:t>
            </w:r>
          </w:p>
        </w:tc>
        <w:tc>
          <w:tcPr>
            <w:tcW w:w="2766"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≤40</w:t>
            </w:r>
          </w:p>
        </w:tc>
        <w:tc>
          <w:tcPr>
            <w:tcW w:w="3901" w:type="dxa"/>
            <w:vMerge w:val="continue"/>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29"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铜（农田）</w:t>
            </w:r>
          </w:p>
        </w:tc>
        <w:tc>
          <w:tcPr>
            <w:tcW w:w="2766"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≤400</w:t>
            </w:r>
          </w:p>
        </w:tc>
        <w:tc>
          <w:tcPr>
            <w:tcW w:w="3901" w:type="dxa"/>
            <w:vMerge w:val="continue"/>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29"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铅</w:t>
            </w:r>
          </w:p>
        </w:tc>
        <w:tc>
          <w:tcPr>
            <w:tcW w:w="2766"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≤500</w:t>
            </w:r>
          </w:p>
        </w:tc>
        <w:tc>
          <w:tcPr>
            <w:tcW w:w="3901" w:type="dxa"/>
            <w:vMerge w:val="continue"/>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29"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铬（旱地）</w:t>
            </w:r>
          </w:p>
        </w:tc>
        <w:tc>
          <w:tcPr>
            <w:tcW w:w="2766"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≤300</w:t>
            </w:r>
          </w:p>
        </w:tc>
        <w:tc>
          <w:tcPr>
            <w:tcW w:w="3901" w:type="dxa"/>
            <w:vMerge w:val="continue"/>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29"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锌</w:t>
            </w:r>
          </w:p>
        </w:tc>
        <w:tc>
          <w:tcPr>
            <w:tcW w:w="2766"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≤500</w:t>
            </w:r>
          </w:p>
        </w:tc>
        <w:tc>
          <w:tcPr>
            <w:tcW w:w="3901" w:type="dxa"/>
            <w:vMerge w:val="continue"/>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29"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镍</w:t>
            </w:r>
          </w:p>
        </w:tc>
        <w:tc>
          <w:tcPr>
            <w:tcW w:w="2766"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≤200</w:t>
            </w:r>
          </w:p>
        </w:tc>
        <w:tc>
          <w:tcPr>
            <w:tcW w:w="3901" w:type="dxa"/>
            <w:vMerge w:val="continue"/>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29"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六六六</w:t>
            </w:r>
          </w:p>
        </w:tc>
        <w:tc>
          <w:tcPr>
            <w:tcW w:w="2766"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≤1.0</w:t>
            </w:r>
          </w:p>
        </w:tc>
        <w:tc>
          <w:tcPr>
            <w:tcW w:w="3901" w:type="dxa"/>
            <w:vMerge w:val="continue"/>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29"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滴滴涕</w:t>
            </w:r>
          </w:p>
        </w:tc>
        <w:tc>
          <w:tcPr>
            <w:tcW w:w="2766"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≤1.0</w:t>
            </w:r>
          </w:p>
        </w:tc>
        <w:tc>
          <w:tcPr>
            <w:tcW w:w="3901" w:type="dxa"/>
            <w:vMerge w:val="continue"/>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p>
        </w:tc>
      </w:tr>
    </w:tbl>
    <w:p>
      <w:pPr>
        <w:pStyle w:val="5"/>
        <w:spacing w:before="156" w:after="156"/>
        <w:ind w:firstLine="560"/>
      </w:pPr>
      <w:r>
        <w:rPr>
          <w:rFonts w:hint="eastAsia"/>
        </w:rPr>
        <w:t>1</w:t>
      </w:r>
      <w:r>
        <w:t>.</w:t>
      </w:r>
      <w:r>
        <w:rPr>
          <w:rFonts w:hint="eastAsia"/>
        </w:rPr>
        <w:t>10</w:t>
      </w:r>
      <w:r>
        <w:t xml:space="preserve">.1.4 </w:t>
      </w:r>
      <w:r>
        <w:rPr>
          <w:rFonts w:hint="eastAsia"/>
        </w:rPr>
        <w:t>噪声环境质量</w:t>
      </w:r>
    </w:p>
    <w:p>
      <w:pPr>
        <w:spacing w:before="156" w:after="156"/>
        <w:ind w:firstLine="420"/>
      </w:pPr>
      <w:r>
        <w:rPr>
          <w:rFonts w:hint="eastAsia"/>
        </w:rPr>
        <w:t>规划区内噪声执行《声环境质量标准》（GB3096-2008）中的3类标准，交通干线两侧执行4类标准，园区执行2类标准，如表1-10所示。</w:t>
      </w:r>
    </w:p>
    <w:p>
      <w:pPr>
        <w:pStyle w:val="24"/>
        <w:spacing w:before="156" w:after="156"/>
        <w:ind w:firstLine="420"/>
        <w:rPr>
          <w:sz w:val="18"/>
          <w:szCs w:val="18"/>
        </w:rPr>
      </w:pPr>
      <w:r>
        <w:rPr>
          <w:rFonts w:hint="eastAsia"/>
          <w:sz w:val="18"/>
          <w:szCs w:val="18"/>
        </w:rPr>
        <w:t>表</w:t>
      </w:r>
      <w:r>
        <w:rPr>
          <w:sz w:val="18"/>
          <w:szCs w:val="18"/>
        </w:rPr>
        <w:fldChar w:fldCharType="begin"/>
      </w:r>
      <w:r>
        <w:rPr>
          <w:sz w:val="18"/>
          <w:szCs w:val="18"/>
        </w:rPr>
        <w:instrText xml:space="preserve"> SET myBK "一九一一年一月</w:instrText>
      </w:r>
      <w:r>
        <w:rPr>
          <w:sz w:val="18"/>
          <w:szCs w:val="18"/>
        </w:rPr>
        <w:fldChar w:fldCharType="begin"/>
      </w:r>
      <w:r>
        <w:rPr>
          <w:sz w:val="18"/>
          <w:szCs w:val="18"/>
        </w:rPr>
        <w:instrText xml:space="preserve"> STYLEREF 1 \s </w:instrText>
      </w:r>
      <w:r>
        <w:rPr>
          <w:sz w:val="18"/>
          <w:szCs w:val="18"/>
        </w:rPr>
        <w:fldChar w:fldCharType="separate"/>
      </w:r>
      <w:r>
        <w:rPr>
          <w:rFonts w:hint="eastAsia"/>
          <w:sz w:val="18"/>
          <w:szCs w:val="18"/>
        </w:rPr>
        <w:instrText xml:space="preserve">一</w:instrText>
      </w:r>
      <w:r>
        <w:rPr>
          <w:sz w:val="18"/>
          <w:szCs w:val="18"/>
        </w:rPr>
        <w:fldChar w:fldCharType="end"/>
      </w:r>
      <w:r>
        <w:rPr>
          <w:sz w:val="18"/>
          <w:szCs w:val="18"/>
        </w:rPr>
        <w:instrText xml:space="preserve">日" </w:instrText>
      </w:r>
      <w:r>
        <w:rPr>
          <w:sz w:val="18"/>
          <w:szCs w:val="18"/>
        </w:rPr>
        <w:fldChar w:fldCharType="separate"/>
      </w:r>
      <w:r>
        <w:rPr>
          <w:sz w:val="18"/>
          <w:szCs w:val="18"/>
        </w:rPr>
        <w:t>一九一一年一月日</w:t>
      </w:r>
      <w:r>
        <w:rPr>
          <w:sz w:val="18"/>
          <w:szCs w:val="18"/>
        </w:rPr>
        <w:fldChar w:fldCharType="end"/>
      </w:r>
      <w:r>
        <w:rPr>
          <w:sz w:val="18"/>
          <w:szCs w:val="18"/>
        </w:rPr>
        <w:fldChar w:fldCharType="begin"/>
      </w:r>
      <w:r>
        <w:rPr>
          <w:sz w:val="18"/>
          <w:szCs w:val="18"/>
        </w:rPr>
        <w:instrText xml:space="preserve"> myBK \@ "D" </w:instrText>
      </w:r>
      <w:r>
        <w:rPr>
          <w:sz w:val="18"/>
          <w:szCs w:val="18"/>
        </w:rPr>
        <w:fldChar w:fldCharType="separate"/>
      </w:r>
      <w:r>
        <w:rPr>
          <w:sz w:val="18"/>
          <w:szCs w:val="18"/>
        </w:rPr>
        <w:t>1</w:t>
      </w:r>
      <w:r>
        <w:rPr>
          <w:sz w:val="18"/>
          <w:szCs w:val="18"/>
        </w:rPr>
        <w:fldChar w:fldCharType="end"/>
      </w:r>
      <w:r>
        <w:rPr>
          <w:sz w:val="18"/>
          <w:szCs w:val="18"/>
        </w:rPr>
        <w:noBreakHyphen/>
      </w:r>
      <w:r>
        <w:rPr>
          <w:sz w:val="18"/>
          <w:szCs w:val="18"/>
        </w:rPr>
        <w:fldChar w:fldCharType="begin"/>
      </w:r>
      <w:r>
        <w:rPr>
          <w:rFonts w:hint="eastAsia"/>
          <w:sz w:val="18"/>
          <w:szCs w:val="18"/>
        </w:rPr>
        <w:instrText xml:space="preserve">SEQ 表 \* ARABIC \s 1</w:instrText>
      </w:r>
      <w:r>
        <w:rPr>
          <w:sz w:val="18"/>
          <w:szCs w:val="18"/>
        </w:rPr>
        <w:fldChar w:fldCharType="separate"/>
      </w:r>
      <w:r>
        <w:rPr>
          <w:sz w:val="18"/>
          <w:szCs w:val="18"/>
        </w:rPr>
        <w:t>10</w:t>
      </w:r>
      <w:r>
        <w:rPr>
          <w:sz w:val="18"/>
          <w:szCs w:val="18"/>
        </w:rPr>
        <w:fldChar w:fldCharType="end"/>
      </w:r>
      <w:r>
        <w:rPr>
          <w:rFonts w:hint="eastAsia"/>
          <w:sz w:val="18"/>
          <w:szCs w:val="18"/>
        </w:rPr>
        <w:t>声环境质量标准（等效声级LAeq：dB）</w:t>
      </w:r>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547"/>
        <w:gridCol w:w="1605"/>
        <w:gridCol w:w="1513"/>
        <w:gridCol w:w="1418"/>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547"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标准</w:t>
            </w:r>
            <w:r>
              <w:rPr>
                <w:rFonts w:asciiTheme="minorHAnsi" w:hAnsiTheme="minorHAnsi" w:eastAsiaTheme="minorEastAsia" w:cstheme="minorBidi"/>
                <w:b/>
                <w:bCs/>
                <w:color w:val="FFFFFF"/>
                <w:szCs w:val="21"/>
              </w:rPr>
              <w:t>名称</w:t>
            </w:r>
          </w:p>
        </w:tc>
        <w:tc>
          <w:tcPr>
            <w:tcW w:w="160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类别</w:t>
            </w:r>
          </w:p>
        </w:tc>
        <w:tc>
          <w:tcPr>
            <w:tcW w:w="151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昼间</w:t>
            </w:r>
          </w:p>
        </w:tc>
        <w:tc>
          <w:tcPr>
            <w:tcW w:w="1418"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夜间</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547" w:type="dxa"/>
            <w:vMerge w:val="restart"/>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asciiTheme="minorHAnsi" w:hAnsiTheme="minorHAnsi" w:eastAsiaTheme="minorEastAsia" w:cstheme="minorBidi"/>
                <w:b/>
                <w:bCs/>
                <w:color w:val="000000"/>
                <w:szCs w:val="21"/>
              </w:rPr>
              <w:t>《声环境</w:t>
            </w:r>
            <w:r>
              <w:rPr>
                <w:rFonts w:asciiTheme="minorHAnsi" w:hAnsiTheme="minorHAnsi" w:eastAsiaTheme="minorEastAsia" w:cstheme="minorBidi"/>
                <w:b/>
                <w:bCs/>
                <w:color w:val="000000"/>
                <w:szCs w:val="21"/>
              </w:rPr>
              <w:t>质量标准</w:t>
            </w:r>
            <w:r>
              <w:rPr>
                <w:rFonts w:hint="eastAsia" w:asciiTheme="minorHAnsi" w:hAnsiTheme="minorHAnsi" w:eastAsiaTheme="minorEastAsia" w:cstheme="minorBidi"/>
                <w:b/>
                <w:bCs/>
                <w:color w:val="000000"/>
                <w:szCs w:val="21"/>
              </w:rPr>
              <w:t>》</w:t>
            </w:r>
          </w:p>
        </w:tc>
        <w:tc>
          <w:tcPr>
            <w:tcW w:w="1605"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2</w:t>
            </w:r>
          </w:p>
        </w:tc>
        <w:tc>
          <w:tcPr>
            <w:tcW w:w="1513"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60</w:t>
            </w:r>
          </w:p>
        </w:tc>
        <w:tc>
          <w:tcPr>
            <w:tcW w:w="1418"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50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547" w:type="dxa"/>
            <w:vMerge w:val="continue"/>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p>
        </w:tc>
        <w:tc>
          <w:tcPr>
            <w:tcW w:w="1605"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3</w:t>
            </w:r>
          </w:p>
        </w:tc>
        <w:tc>
          <w:tcPr>
            <w:tcW w:w="1513"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65</w:t>
            </w:r>
          </w:p>
        </w:tc>
        <w:tc>
          <w:tcPr>
            <w:tcW w:w="1418"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55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547" w:type="dxa"/>
            <w:vMerge w:val="continue"/>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p>
        </w:tc>
        <w:tc>
          <w:tcPr>
            <w:tcW w:w="1605"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4</w:t>
            </w:r>
          </w:p>
        </w:tc>
        <w:tc>
          <w:tcPr>
            <w:tcW w:w="1513"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70</w:t>
            </w:r>
          </w:p>
        </w:tc>
        <w:tc>
          <w:tcPr>
            <w:tcW w:w="1418"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55</w:t>
            </w:r>
          </w:p>
        </w:tc>
      </w:tr>
    </w:tbl>
    <w:p>
      <w:pPr>
        <w:pStyle w:val="5"/>
        <w:spacing w:before="156" w:after="156"/>
        <w:ind w:firstLine="560"/>
      </w:pPr>
      <w:r>
        <w:rPr>
          <w:rFonts w:hint="eastAsia"/>
        </w:rPr>
        <w:t>1</w:t>
      </w:r>
      <w:r>
        <w:t>.</w:t>
      </w:r>
      <w:r>
        <w:rPr>
          <w:rFonts w:hint="eastAsia"/>
        </w:rPr>
        <w:t>10</w:t>
      </w:r>
      <w:r>
        <w:t xml:space="preserve">.1.5 </w:t>
      </w:r>
      <w:r>
        <w:rPr>
          <w:rFonts w:hint="eastAsia"/>
        </w:rPr>
        <w:t>水土流失评价标准</w:t>
      </w:r>
    </w:p>
    <w:p>
      <w:pPr>
        <w:spacing w:before="156" w:after="156"/>
        <w:ind w:firstLine="420"/>
      </w:pPr>
      <w:r>
        <w:rPr>
          <w:rFonts w:hint="eastAsia"/>
        </w:rPr>
        <w:t>规划项目区水力侵蚀程度分级指标，如表1-11所示。</w:t>
      </w:r>
    </w:p>
    <w:p>
      <w:pPr>
        <w:pStyle w:val="24"/>
        <w:spacing w:before="156" w:after="156"/>
        <w:ind w:firstLine="420"/>
        <w:rPr>
          <w:sz w:val="18"/>
          <w:szCs w:val="18"/>
        </w:rPr>
      </w:pPr>
      <w:r>
        <w:rPr>
          <w:rFonts w:hint="eastAsia"/>
          <w:sz w:val="18"/>
          <w:szCs w:val="18"/>
        </w:rPr>
        <w:t>表</w:t>
      </w:r>
      <w:r>
        <w:rPr>
          <w:sz w:val="18"/>
          <w:szCs w:val="18"/>
        </w:rPr>
        <w:fldChar w:fldCharType="begin"/>
      </w:r>
      <w:r>
        <w:rPr>
          <w:sz w:val="18"/>
          <w:szCs w:val="18"/>
        </w:rPr>
        <w:instrText xml:space="preserve"> SET myBK "一九一一年一月</w:instrText>
      </w:r>
      <w:r>
        <w:rPr>
          <w:sz w:val="18"/>
          <w:szCs w:val="18"/>
        </w:rPr>
        <w:fldChar w:fldCharType="begin"/>
      </w:r>
      <w:r>
        <w:rPr>
          <w:sz w:val="18"/>
          <w:szCs w:val="18"/>
        </w:rPr>
        <w:instrText xml:space="preserve"> STYLEREF 1 \s </w:instrText>
      </w:r>
      <w:r>
        <w:rPr>
          <w:sz w:val="18"/>
          <w:szCs w:val="18"/>
        </w:rPr>
        <w:fldChar w:fldCharType="separate"/>
      </w:r>
      <w:r>
        <w:rPr>
          <w:rFonts w:hint="eastAsia"/>
          <w:sz w:val="18"/>
          <w:szCs w:val="18"/>
        </w:rPr>
        <w:instrText xml:space="preserve">一</w:instrText>
      </w:r>
      <w:r>
        <w:rPr>
          <w:sz w:val="18"/>
          <w:szCs w:val="18"/>
        </w:rPr>
        <w:fldChar w:fldCharType="end"/>
      </w:r>
      <w:r>
        <w:rPr>
          <w:sz w:val="18"/>
          <w:szCs w:val="18"/>
        </w:rPr>
        <w:instrText xml:space="preserve">日" </w:instrText>
      </w:r>
      <w:r>
        <w:rPr>
          <w:sz w:val="18"/>
          <w:szCs w:val="18"/>
        </w:rPr>
        <w:fldChar w:fldCharType="separate"/>
      </w:r>
      <w:r>
        <w:rPr>
          <w:sz w:val="18"/>
          <w:szCs w:val="18"/>
        </w:rPr>
        <w:t>一九一一年一月日</w:t>
      </w:r>
      <w:r>
        <w:rPr>
          <w:sz w:val="18"/>
          <w:szCs w:val="18"/>
        </w:rPr>
        <w:fldChar w:fldCharType="end"/>
      </w:r>
      <w:r>
        <w:rPr>
          <w:sz w:val="18"/>
          <w:szCs w:val="18"/>
        </w:rPr>
        <w:fldChar w:fldCharType="begin"/>
      </w:r>
      <w:r>
        <w:rPr>
          <w:sz w:val="18"/>
          <w:szCs w:val="18"/>
        </w:rPr>
        <w:instrText xml:space="preserve"> myBK \@ "D" </w:instrText>
      </w:r>
      <w:r>
        <w:rPr>
          <w:sz w:val="18"/>
          <w:szCs w:val="18"/>
        </w:rPr>
        <w:fldChar w:fldCharType="separate"/>
      </w:r>
      <w:r>
        <w:rPr>
          <w:sz w:val="18"/>
          <w:szCs w:val="18"/>
        </w:rPr>
        <w:t>1</w:t>
      </w:r>
      <w:r>
        <w:rPr>
          <w:sz w:val="18"/>
          <w:szCs w:val="18"/>
        </w:rPr>
        <w:fldChar w:fldCharType="end"/>
      </w:r>
      <w:r>
        <w:rPr>
          <w:sz w:val="18"/>
          <w:szCs w:val="18"/>
        </w:rPr>
        <w:noBreakHyphen/>
      </w:r>
      <w:r>
        <w:rPr>
          <w:sz w:val="18"/>
          <w:szCs w:val="18"/>
        </w:rPr>
        <w:fldChar w:fldCharType="begin"/>
      </w:r>
      <w:r>
        <w:rPr>
          <w:rFonts w:hint="eastAsia"/>
          <w:sz w:val="18"/>
          <w:szCs w:val="18"/>
        </w:rPr>
        <w:instrText xml:space="preserve">SEQ 表 \* ARABIC \s 1</w:instrText>
      </w:r>
      <w:r>
        <w:rPr>
          <w:sz w:val="18"/>
          <w:szCs w:val="18"/>
        </w:rPr>
        <w:fldChar w:fldCharType="separate"/>
      </w:r>
      <w:r>
        <w:rPr>
          <w:sz w:val="18"/>
          <w:szCs w:val="18"/>
        </w:rPr>
        <w:t>11</w:t>
      </w:r>
      <w:r>
        <w:rPr>
          <w:sz w:val="18"/>
          <w:szCs w:val="18"/>
        </w:rPr>
        <w:fldChar w:fldCharType="end"/>
      </w:r>
      <w:r>
        <w:rPr>
          <w:rFonts w:hint="eastAsia"/>
          <w:sz w:val="18"/>
          <w:szCs w:val="18"/>
        </w:rPr>
        <w:t>水力侵蚀强度分级指标</w:t>
      </w:r>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4135"/>
        <w:gridCol w:w="4161"/>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Ex>
        <w:trPr>
          <w:jc w:val="center"/>
        </w:trPr>
        <w:tc>
          <w:tcPr>
            <w:tcW w:w="4135"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级别</w:t>
            </w:r>
          </w:p>
        </w:tc>
        <w:tc>
          <w:tcPr>
            <w:tcW w:w="4161"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侵蚀模数［t/（km</w:t>
            </w:r>
            <w:r>
              <w:rPr>
                <w:rFonts w:asciiTheme="minorHAnsi" w:hAnsiTheme="minorHAnsi" w:eastAsiaTheme="minorEastAsia" w:cstheme="minorBidi"/>
                <w:b/>
                <w:bCs/>
                <w:color w:val="FFFFFF"/>
                <w:szCs w:val="21"/>
                <w:vertAlign w:val="superscript"/>
              </w:rPr>
              <w:t>2</w:t>
            </w:r>
            <w:r>
              <w:rPr>
                <w:rFonts w:asciiTheme="minorHAnsi" w:hAnsiTheme="minorHAnsi" w:eastAsiaTheme="minorEastAsia" w:cstheme="minorBidi"/>
                <w:b/>
                <w:bCs/>
                <w:color w:val="FFFFFF"/>
                <w:szCs w:val="21"/>
              </w:rPr>
              <w:t>·年）］</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Ex>
        <w:trPr>
          <w:jc w:val="center"/>
        </w:trPr>
        <w:tc>
          <w:tcPr>
            <w:tcW w:w="4135"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cs="宋体" w:asciiTheme="minorHAnsi" w:hAnsiTheme="minorHAnsi" w:eastAsiaTheme="minorEastAsia"/>
                <w:b/>
                <w:bCs/>
                <w:color w:val="000000"/>
                <w:szCs w:val="21"/>
              </w:rPr>
              <w:t>Ⅰ</w:t>
            </w:r>
            <w:r>
              <w:rPr>
                <w:rFonts w:asciiTheme="minorHAnsi" w:hAnsiTheme="minorHAnsi" w:eastAsiaTheme="minorEastAsia" w:cstheme="minorBidi"/>
                <w:b/>
                <w:bCs/>
                <w:color w:val="000000"/>
                <w:szCs w:val="21"/>
              </w:rPr>
              <w:t>微度侵蚀（无明显侵蚀）</w:t>
            </w:r>
          </w:p>
        </w:tc>
        <w:tc>
          <w:tcPr>
            <w:tcW w:w="4161"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&lt;200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4135"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cs="宋体" w:asciiTheme="minorHAnsi" w:hAnsiTheme="minorHAnsi" w:eastAsiaTheme="minorEastAsia"/>
                <w:b/>
                <w:bCs/>
                <w:color w:val="000000"/>
                <w:szCs w:val="21"/>
              </w:rPr>
              <w:t>Ⅱ</w:t>
            </w:r>
            <w:r>
              <w:rPr>
                <w:rFonts w:asciiTheme="minorHAnsi" w:hAnsiTheme="minorHAnsi" w:eastAsiaTheme="minorEastAsia" w:cstheme="minorBidi"/>
                <w:b/>
                <w:bCs/>
                <w:color w:val="000000"/>
                <w:szCs w:val="21"/>
              </w:rPr>
              <w:t>轻度侵蚀</w:t>
            </w:r>
          </w:p>
        </w:tc>
        <w:tc>
          <w:tcPr>
            <w:tcW w:w="4161"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200</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2</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500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4135"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cs="宋体" w:asciiTheme="minorHAnsi" w:hAnsiTheme="minorHAnsi" w:eastAsiaTheme="minorEastAsia"/>
                <w:b/>
                <w:bCs/>
                <w:color w:val="000000"/>
                <w:szCs w:val="21"/>
              </w:rPr>
              <w:t>Ⅲ</w:t>
            </w:r>
            <w:r>
              <w:rPr>
                <w:rFonts w:asciiTheme="minorHAnsi" w:hAnsiTheme="minorHAnsi" w:eastAsiaTheme="minorEastAsia" w:cstheme="minorBidi"/>
                <w:b/>
                <w:bCs/>
                <w:color w:val="000000"/>
                <w:szCs w:val="21"/>
              </w:rPr>
              <w:t>中度侵蚀</w:t>
            </w:r>
          </w:p>
        </w:tc>
        <w:tc>
          <w:tcPr>
            <w:tcW w:w="4161"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2</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500</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5</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000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4135"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cs="宋体" w:asciiTheme="minorHAnsi" w:hAnsiTheme="minorHAnsi" w:eastAsiaTheme="minorEastAsia"/>
                <w:b/>
                <w:bCs/>
                <w:color w:val="000000"/>
                <w:szCs w:val="21"/>
              </w:rPr>
              <w:t>Ⅳ</w:t>
            </w:r>
            <w:r>
              <w:rPr>
                <w:rFonts w:asciiTheme="minorHAnsi" w:hAnsiTheme="minorHAnsi" w:eastAsiaTheme="minorEastAsia" w:cstheme="minorBidi"/>
                <w:b/>
                <w:bCs/>
                <w:color w:val="000000"/>
                <w:szCs w:val="21"/>
              </w:rPr>
              <w:t>强度侵蚀</w:t>
            </w:r>
          </w:p>
        </w:tc>
        <w:tc>
          <w:tcPr>
            <w:tcW w:w="4161"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5</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000</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8</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000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4135"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cs="宋体" w:asciiTheme="minorHAnsi" w:hAnsiTheme="minorHAnsi" w:eastAsiaTheme="minorEastAsia"/>
                <w:b/>
                <w:bCs/>
                <w:color w:val="000000"/>
                <w:szCs w:val="21"/>
              </w:rPr>
              <w:t>Ⅴ</w:t>
            </w:r>
            <w:r>
              <w:rPr>
                <w:rFonts w:asciiTheme="minorHAnsi" w:hAnsiTheme="minorHAnsi" w:eastAsiaTheme="minorEastAsia" w:cstheme="minorBidi"/>
                <w:b/>
                <w:bCs/>
                <w:color w:val="000000"/>
                <w:szCs w:val="21"/>
              </w:rPr>
              <w:t>极强度侵蚀</w:t>
            </w:r>
          </w:p>
        </w:tc>
        <w:tc>
          <w:tcPr>
            <w:tcW w:w="4161"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8</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000</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15</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000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Ex>
        <w:trPr>
          <w:jc w:val="center"/>
        </w:trPr>
        <w:tc>
          <w:tcPr>
            <w:tcW w:w="4135"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cs="宋体" w:asciiTheme="minorHAnsi" w:hAnsiTheme="minorHAnsi" w:eastAsiaTheme="minorEastAsia"/>
                <w:b/>
                <w:bCs/>
                <w:color w:val="000000"/>
                <w:szCs w:val="21"/>
              </w:rPr>
              <w:t>Ⅵ</w:t>
            </w:r>
            <w:r>
              <w:rPr>
                <w:rFonts w:asciiTheme="minorHAnsi" w:hAnsiTheme="minorHAnsi" w:eastAsiaTheme="minorEastAsia" w:cstheme="minorBidi"/>
                <w:b/>
                <w:bCs/>
                <w:color w:val="000000"/>
                <w:szCs w:val="21"/>
              </w:rPr>
              <w:t>剧烈侵蚀</w:t>
            </w:r>
          </w:p>
        </w:tc>
        <w:tc>
          <w:tcPr>
            <w:tcW w:w="4161"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&gt; 15</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000</w:t>
            </w:r>
          </w:p>
        </w:tc>
      </w:tr>
    </w:tbl>
    <w:p>
      <w:pPr>
        <w:pStyle w:val="5"/>
        <w:spacing w:before="156" w:after="156"/>
        <w:ind w:firstLine="560"/>
      </w:pPr>
      <w:r>
        <w:rPr>
          <w:rFonts w:hint="eastAsia"/>
        </w:rPr>
        <w:t>1</w:t>
      </w:r>
      <w:r>
        <w:t>.</w:t>
      </w:r>
      <w:r>
        <w:rPr>
          <w:rFonts w:hint="eastAsia"/>
        </w:rPr>
        <w:t>10</w:t>
      </w:r>
      <w:r>
        <w:t xml:space="preserve">.1.6 </w:t>
      </w:r>
      <w:r>
        <w:rPr>
          <w:rFonts w:hint="eastAsia"/>
        </w:rPr>
        <w:t>风力侵蚀评价标准</w:t>
      </w:r>
    </w:p>
    <w:p>
      <w:pPr>
        <w:spacing w:before="156" w:after="156"/>
        <w:ind w:firstLine="420"/>
      </w:pPr>
      <w:r>
        <w:rPr>
          <w:rFonts w:hint="eastAsia"/>
        </w:rPr>
        <w:t>规划项目区风力侵蚀强度分级指标，如表1-12所示。</w:t>
      </w:r>
    </w:p>
    <w:p>
      <w:pPr>
        <w:pStyle w:val="24"/>
        <w:spacing w:before="156" w:after="156"/>
        <w:ind w:firstLine="420"/>
        <w:rPr>
          <w:sz w:val="18"/>
          <w:szCs w:val="18"/>
        </w:rPr>
      </w:pPr>
      <w:r>
        <w:rPr>
          <w:rFonts w:hint="eastAsia"/>
          <w:sz w:val="18"/>
          <w:szCs w:val="18"/>
        </w:rPr>
        <w:t>表</w:t>
      </w:r>
      <w:r>
        <w:rPr>
          <w:sz w:val="18"/>
          <w:szCs w:val="18"/>
        </w:rPr>
        <w:fldChar w:fldCharType="begin"/>
      </w:r>
      <w:r>
        <w:rPr>
          <w:sz w:val="18"/>
          <w:szCs w:val="18"/>
        </w:rPr>
        <w:instrText xml:space="preserve"> SET myBK "一九一一年一月</w:instrText>
      </w:r>
      <w:r>
        <w:rPr>
          <w:sz w:val="18"/>
          <w:szCs w:val="18"/>
        </w:rPr>
        <w:fldChar w:fldCharType="begin"/>
      </w:r>
      <w:r>
        <w:rPr>
          <w:sz w:val="18"/>
          <w:szCs w:val="18"/>
        </w:rPr>
        <w:instrText xml:space="preserve"> STYLEREF 1 \s </w:instrText>
      </w:r>
      <w:r>
        <w:rPr>
          <w:sz w:val="18"/>
          <w:szCs w:val="18"/>
        </w:rPr>
        <w:fldChar w:fldCharType="separate"/>
      </w:r>
      <w:r>
        <w:rPr>
          <w:rFonts w:hint="eastAsia"/>
          <w:sz w:val="18"/>
          <w:szCs w:val="18"/>
        </w:rPr>
        <w:instrText xml:space="preserve">一</w:instrText>
      </w:r>
      <w:r>
        <w:rPr>
          <w:sz w:val="18"/>
          <w:szCs w:val="18"/>
        </w:rPr>
        <w:fldChar w:fldCharType="end"/>
      </w:r>
      <w:r>
        <w:rPr>
          <w:sz w:val="18"/>
          <w:szCs w:val="18"/>
        </w:rPr>
        <w:instrText xml:space="preserve">日" </w:instrText>
      </w:r>
      <w:r>
        <w:rPr>
          <w:sz w:val="18"/>
          <w:szCs w:val="18"/>
        </w:rPr>
        <w:fldChar w:fldCharType="separate"/>
      </w:r>
      <w:r>
        <w:rPr>
          <w:sz w:val="18"/>
          <w:szCs w:val="18"/>
        </w:rPr>
        <w:t>日</w:t>
      </w:r>
      <w:r>
        <w:rPr>
          <w:sz w:val="18"/>
          <w:szCs w:val="18"/>
        </w:rPr>
        <w:fldChar w:fldCharType="end"/>
      </w:r>
      <w:r>
        <w:rPr>
          <w:sz w:val="18"/>
          <w:szCs w:val="18"/>
        </w:rPr>
        <w:fldChar w:fldCharType="begin"/>
      </w:r>
      <w:r>
        <w:rPr>
          <w:sz w:val="18"/>
          <w:szCs w:val="18"/>
        </w:rPr>
        <w:instrText xml:space="preserve"> myBK \@ "D" </w:instrText>
      </w:r>
      <w:r>
        <w:rPr>
          <w:sz w:val="18"/>
          <w:szCs w:val="18"/>
        </w:rPr>
        <w:fldChar w:fldCharType="separate"/>
      </w:r>
      <w:r>
        <w:rPr>
          <w:sz w:val="18"/>
          <w:szCs w:val="18"/>
        </w:rPr>
        <w:t>1</w:t>
      </w:r>
      <w:r>
        <w:rPr>
          <w:sz w:val="18"/>
          <w:szCs w:val="18"/>
        </w:rPr>
        <w:fldChar w:fldCharType="end"/>
      </w:r>
      <w:r>
        <w:rPr>
          <w:sz w:val="18"/>
          <w:szCs w:val="18"/>
        </w:rPr>
        <w:noBreakHyphen/>
      </w:r>
      <w:r>
        <w:rPr>
          <w:sz w:val="18"/>
          <w:szCs w:val="18"/>
        </w:rPr>
        <w:fldChar w:fldCharType="begin"/>
      </w:r>
      <w:r>
        <w:rPr>
          <w:rFonts w:hint="eastAsia"/>
          <w:sz w:val="18"/>
          <w:szCs w:val="18"/>
        </w:rPr>
        <w:instrText xml:space="preserve">SEQ 表 \* ARABIC \s 1</w:instrText>
      </w:r>
      <w:r>
        <w:rPr>
          <w:sz w:val="18"/>
          <w:szCs w:val="18"/>
        </w:rPr>
        <w:fldChar w:fldCharType="separate"/>
      </w:r>
      <w:r>
        <w:rPr>
          <w:sz w:val="18"/>
          <w:szCs w:val="18"/>
        </w:rPr>
        <w:t>12</w:t>
      </w:r>
      <w:r>
        <w:rPr>
          <w:sz w:val="18"/>
          <w:szCs w:val="18"/>
        </w:rPr>
        <w:fldChar w:fldCharType="end"/>
      </w:r>
      <w:r>
        <w:rPr>
          <w:rFonts w:hint="eastAsia"/>
          <w:sz w:val="18"/>
          <w:szCs w:val="18"/>
        </w:rPr>
        <w:t>水力侵蚀强度分级指标</w:t>
      </w:r>
    </w:p>
    <w:tbl>
      <w:tblPr>
        <w:tblStyle w:val="30"/>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696"/>
        <w:gridCol w:w="1985"/>
        <w:gridCol w:w="2410"/>
        <w:gridCol w:w="2205"/>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696"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宋体" w:hAnsi="宋体" w:cstheme="minorBidi"/>
                <w:b/>
                <w:bCs/>
                <w:color w:val="FFFFFF"/>
              </w:rPr>
            </w:pPr>
            <w:r>
              <w:rPr>
                <w:rFonts w:ascii="宋体" w:hAnsi="宋体" w:cstheme="minorBidi"/>
                <w:b/>
                <w:bCs/>
                <w:color w:val="FFFFFF"/>
                <w:szCs w:val="21"/>
              </w:rPr>
              <w:t>级别</w:t>
            </w:r>
          </w:p>
        </w:tc>
        <w:tc>
          <w:tcPr>
            <w:tcW w:w="198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宋体" w:hAnsi="宋体" w:cstheme="minorBidi"/>
                <w:b/>
                <w:bCs/>
                <w:color w:val="FFFFFF"/>
              </w:rPr>
            </w:pPr>
            <w:r>
              <w:rPr>
                <w:rFonts w:ascii="宋体" w:hAnsi="宋体" w:cstheme="minorBidi"/>
                <w:b/>
                <w:bCs/>
                <w:color w:val="FFFFFF"/>
                <w:szCs w:val="21"/>
              </w:rPr>
              <w:t>植被盖度（%）</w:t>
            </w:r>
          </w:p>
        </w:tc>
        <w:tc>
          <w:tcPr>
            <w:tcW w:w="241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宋体" w:hAnsi="宋体" w:cstheme="minorBidi"/>
                <w:b/>
                <w:bCs/>
                <w:color w:val="FFFFFF"/>
              </w:rPr>
            </w:pPr>
            <w:r>
              <w:rPr>
                <w:rFonts w:ascii="宋体" w:hAnsi="宋体" w:cstheme="minorBidi"/>
                <w:b/>
                <w:bCs/>
                <w:color w:val="FFFFFF"/>
                <w:szCs w:val="21"/>
              </w:rPr>
              <w:t>年风蚀厚度（mm）</w:t>
            </w:r>
          </w:p>
        </w:tc>
        <w:tc>
          <w:tcPr>
            <w:tcW w:w="2205"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宋体" w:hAnsi="宋体" w:cstheme="minorBidi"/>
                <w:b/>
                <w:bCs/>
                <w:color w:val="FFFFFF"/>
              </w:rPr>
            </w:pPr>
            <w:r>
              <w:rPr>
                <w:rFonts w:ascii="宋体" w:hAnsi="宋体" w:cstheme="minorBidi"/>
                <w:b/>
                <w:bCs/>
                <w:color w:val="FFFFFF"/>
                <w:szCs w:val="21"/>
              </w:rPr>
              <w:t>侵蚀模数</w:t>
            </w:r>
          </w:p>
          <w:p>
            <w:pPr>
              <w:spacing w:before="0" w:beforeLines="0" w:after="0" w:afterLines="0" w:line="240" w:lineRule="auto"/>
              <w:ind w:firstLine="0" w:firstLineChars="0"/>
              <w:jc w:val="center"/>
              <w:rPr>
                <w:rFonts w:ascii="宋体" w:hAnsi="宋体" w:cstheme="minorBidi"/>
                <w:b/>
                <w:bCs/>
                <w:color w:val="FFFFFF"/>
              </w:rPr>
            </w:pPr>
            <w:r>
              <w:rPr>
                <w:rFonts w:ascii="宋体" w:hAnsi="宋体" w:cstheme="minorBidi"/>
                <w:b/>
                <w:bCs/>
                <w:color w:val="FFFFFF"/>
                <w:szCs w:val="21"/>
              </w:rPr>
              <w:t>［t/（km</w:t>
            </w:r>
            <w:r>
              <w:rPr>
                <w:rFonts w:ascii="宋体" w:hAnsi="宋体" w:cstheme="minorBidi"/>
                <w:b/>
                <w:bCs/>
                <w:color w:val="FFFFFF"/>
                <w:szCs w:val="21"/>
                <w:vertAlign w:val="superscript"/>
              </w:rPr>
              <w:t>2</w:t>
            </w:r>
            <w:r>
              <w:rPr>
                <w:rFonts w:ascii="宋体" w:hAnsi="宋体" w:cstheme="minorBidi"/>
                <w:b/>
                <w:bCs/>
                <w:color w:val="FFFFFF"/>
                <w:szCs w:val="21"/>
              </w:rPr>
              <w:t>·年）］</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696" w:type="dxa"/>
            <w:shd w:val="clear" w:color="auto" w:fill="D9E2F3" w:themeFill="accent1" w:themeFillTint="33"/>
            <w:vAlign w:val="center"/>
          </w:tcPr>
          <w:p>
            <w:pPr>
              <w:spacing w:before="0" w:beforeLines="0" w:after="0" w:afterLines="0" w:line="240" w:lineRule="auto"/>
              <w:ind w:firstLine="0" w:firstLineChars="0"/>
              <w:jc w:val="center"/>
              <w:rPr>
                <w:rFonts w:ascii="宋体" w:hAnsi="宋体" w:cstheme="minorBidi"/>
                <w:b/>
                <w:bCs/>
                <w:color w:val="000000"/>
              </w:rPr>
            </w:pPr>
            <w:r>
              <w:rPr>
                <w:rFonts w:hint="eastAsia" w:ascii="宋体" w:hAnsi="宋体" w:cs="宋体"/>
                <w:b/>
                <w:bCs/>
                <w:color w:val="000000"/>
                <w:szCs w:val="21"/>
              </w:rPr>
              <w:t>Ⅰ</w:t>
            </w:r>
            <w:r>
              <w:rPr>
                <w:rFonts w:ascii="宋体" w:hAnsi="宋体" w:cstheme="minorBidi"/>
                <w:b/>
                <w:bCs/>
                <w:color w:val="000000"/>
                <w:szCs w:val="21"/>
              </w:rPr>
              <w:t>微度侵蚀</w:t>
            </w:r>
          </w:p>
        </w:tc>
        <w:tc>
          <w:tcPr>
            <w:tcW w:w="1985" w:type="dxa"/>
            <w:shd w:val="clear" w:color="auto" w:fill="D9E2F3" w:themeFill="accent1" w:themeFillTint="33"/>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&gt;70</w:t>
            </w:r>
          </w:p>
        </w:tc>
        <w:tc>
          <w:tcPr>
            <w:tcW w:w="2410" w:type="dxa"/>
            <w:shd w:val="clear" w:color="auto" w:fill="D9E2F3" w:themeFill="accent1" w:themeFillTint="33"/>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&lt;2</w:t>
            </w:r>
          </w:p>
        </w:tc>
        <w:tc>
          <w:tcPr>
            <w:tcW w:w="2205" w:type="dxa"/>
            <w:shd w:val="clear" w:color="auto" w:fill="D9E2F3" w:themeFill="accent1" w:themeFillTint="33"/>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&lt;200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696" w:type="dxa"/>
            <w:vAlign w:val="center"/>
          </w:tcPr>
          <w:p>
            <w:pPr>
              <w:spacing w:before="0" w:beforeLines="0" w:after="0" w:afterLines="0" w:line="240" w:lineRule="auto"/>
              <w:ind w:firstLine="0" w:firstLineChars="0"/>
              <w:jc w:val="center"/>
              <w:rPr>
                <w:rFonts w:ascii="宋体" w:hAnsi="宋体" w:cstheme="minorBidi"/>
                <w:b/>
                <w:bCs/>
                <w:color w:val="000000"/>
              </w:rPr>
            </w:pPr>
            <w:r>
              <w:rPr>
                <w:rFonts w:hint="eastAsia" w:ascii="宋体" w:hAnsi="宋体" w:cs="宋体"/>
                <w:b/>
                <w:bCs/>
                <w:color w:val="000000"/>
                <w:szCs w:val="21"/>
              </w:rPr>
              <w:t>Ⅱ</w:t>
            </w:r>
            <w:r>
              <w:rPr>
                <w:rFonts w:ascii="宋体" w:hAnsi="宋体" w:cstheme="minorBidi"/>
                <w:b/>
                <w:bCs/>
                <w:color w:val="000000"/>
                <w:szCs w:val="21"/>
              </w:rPr>
              <w:t>轻度侵蚀</w:t>
            </w:r>
          </w:p>
        </w:tc>
        <w:tc>
          <w:tcPr>
            <w:tcW w:w="1985" w:type="dxa"/>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70</w:t>
            </w:r>
            <w:r>
              <w:rPr>
                <w:rFonts w:hint="eastAsia" w:ascii="宋体" w:hAnsi="宋体" w:cstheme="minorBidi"/>
                <w:color w:val="000000"/>
                <w:szCs w:val="21"/>
              </w:rPr>
              <w:t>-</w:t>
            </w:r>
            <w:r>
              <w:rPr>
                <w:rFonts w:ascii="宋体" w:hAnsi="宋体" w:cstheme="minorBidi"/>
                <w:color w:val="000000"/>
                <w:szCs w:val="21"/>
              </w:rPr>
              <w:t>50</w:t>
            </w:r>
          </w:p>
        </w:tc>
        <w:tc>
          <w:tcPr>
            <w:tcW w:w="2410" w:type="dxa"/>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2</w:t>
            </w:r>
            <w:r>
              <w:rPr>
                <w:rFonts w:hint="eastAsia" w:ascii="宋体" w:hAnsi="宋体" w:cstheme="minorBidi"/>
                <w:color w:val="000000"/>
                <w:szCs w:val="21"/>
              </w:rPr>
              <w:t>-</w:t>
            </w:r>
            <w:r>
              <w:rPr>
                <w:rFonts w:ascii="宋体" w:hAnsi="宋体" w:cstheme="minorBidi"/>
                <w:color w:val="000000"/>
                <w:szCs w:val="21"/>
              </w:rPr>
              <w:t>10</w:t>
            </w:r>
          </w:p>
        </w:tc>
        <w:tc>
          <w:tcPr>
            <w:tcW w:w="2205" w:type="dxa"/>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200</w:t>
            </w:r>
            <w:r>
              <w:rPr>
                <w:rFonts w:hint="eastAsia" w:ascii="宋体" w:hAnsi="宋体" w:cstheme="minorBidi"/>
                <w:color w:val="000000"/>
                <w:szCs w:val="21"/>
              </w:rPr>
              <w:t>-</w:t>
            </w:r>
            <w:r>
              <w:rPr>
                <w:rFonts w:ascii="宋体" w:hAnsi="宋体" w:cstheme="minorBidi"/>
                <w:color w:val="000000"/>
                <w:szCs w:val="21"/>
              </w:rPr>
              <w:t>2</w:t>
            </w:r>
            <w:r>
              <w:rPr>
                <w:rFonts w:hint="eastAsia" w:ascii="宋体" w:hAnsi="宋体" w:cstheme="minorBidi"/>
                <w:color w:val="000000"/>
                <w:szCs w:val="21"/>
              </w:rPr>
              <w:t>，</w:t>
            </w:r>
            <w:r>
              <w:rPr>
                <w:rFonts w:ascii="宋体" w:hAnsi="宋体" w:cstheme="minorBidi"/>
                <w:color w:val="000000"/>
                <w:szCs w:val="21"/>
              </w:rPr>
              <w:t>500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696" w:type="dxa"/>
            <w:shd w:val="clear" w:color="auto" w:fill="D9E2F3" w:themeFill="accent1" w:themeFillTint="33"/>
            <w:vAlign w:val="center"/>
          </w:tcPr>
          <w:p>
            <w:pPr>
              <w:spacing w:before="0" w:beforeLines="0" w:after="0" w:afterLines="0" w:line="240" w:lineRule="auto"/>
              <w:ind w:firstLine="0" w:firstLineChars="0"/>
              <w:jc w:val="center"/>
              <w:rPr>
                <w:rFonts w:ascii="宋体" w:hAnsi="宋体" w:cstheme="minorBidi"/>
                <w:b/>
                <w:bCs/>
                <w:color w:val="000000"/>
              </w:rPr>
            </w:pPr>
            <w:r>
              <w:rPr>
                <w:rFonts w:hint="eastAsia" w:ascii="宋体" w:hAnsi="宋体" w:cs="宋体"/>
                <w:b/>
                <w:bCs/>
                <w:color w:val="000000"/>
                <w:szCs w:val="21"/>
              </w:rPr>
              <w:t>Ⅲ</w:t>
            </w:r>
            <w:r>
              <w:rPr>
                <w:rFonts w:ascii="宋体" w:hAnsi="宋体" w:cstheme="minorBidi"/>
                <w:b/>
                <w:bCs/>
                <w:color w:val="000000"/>
                <w:szCs w:val="21"/>
              </w:rPr>
              <w:t>中度侵蚀</w:t>
            </w:r>
          </w:p>
        </w:tc>
        <w:tc>
          <w:tcPr>
            <w:tcW w:w="1985" w:type="dxa"/>
            <w:shd w:val="clear" w:color="auto" w:fill="D9E2F3" w:themeFill="accent1" w:themeFillTint="33"/>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50</w:t>
            </w:r>
            <w:r>
              <w:rPr>
                <w:rFonts w:hint="eastAsia" w:ascii="宋体" w:hAnsi="宋体" w:cstheme="minorBidi"/>
                <w:color w:val="000000"/>
                <w:szCs w:val="21"/>
              </w:rPr>
              <w:t>-</w:t>
            </w:r>
            <w:r>
              <w:rPr>
                <w:rFonts w:ascii="宋体" w:hAnsi="宋体" w:cstheme="minorBidi"/>
                <w:color w:val="000000"/>
                <w:szCs w:val="21"/>
              </w:rPr>
              <w:t>30</w:t>
            </w:r>
          </w:p>
        </w:tc>
        <w:tc>
          <w:tcPr>
            <w:tcW w:w="2410" w:type="dxa"/>
            <w:shd w:val="clear" w:color="auto" w:fill="D9E2F3" w:themeFill="accent1" w:themeFillTint="33"/>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10</w:t>
            </w:r>
            <w:r>
              <w:rPr>
                <w:rFonts w:hint="eastAsia" w:ascii="宋体" w:hAnsi="宋体" w:cstheme="minorBidi"/>
                <w:color w:val="000000"/>
                <w:szCs w:val="21"/>
              </w:rPr>
              <w:t>-</w:t>
            </w:r>
            <w:r>
              <w:rPr>
                <w:rFonts w:ascii="宋体" w:hAnsi="宋体" w:cstheme="minorBidi"/>
                <w:color w:val="000000"/>
                <w:szCs w:val="21"/>
              </w:rPr>
              <w:t>25</w:t>
            </w:r>
          </w:p>
        </w:tc>
        <w:tc>
          <w:tcPr>
            <w:tcW w:w="2205" w:type="dxa"/>
            <w:shd w:val="clear" w:color="auto" w:fill="D9E2F3" w:themeFill="accent1" w:themeFillTint="33"/>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2</w:t>
            </w:r>
            <w:r>
              <w:rPr>
                <w:rFonts w:hint="eastAsia" w:ascii="宋体" w:hAnsi="宋体" w:cstheme="minorBidi"/>
                <w:color w:val="000000"/>
                <w:szCs w:val="21"/>
              </w:rPr>
              <w:t>，</w:t>
            </w:r>
            <w:r>
              <w:rPr>
                <w:rFonts w:ascii="宋体" w:hAnsi="宋体" w:cstheme="minorBidi"/>
                <w:color w:val="000000"/>
                <w:szCs w:val="21"/>
              </w:rPr>
              <w:t>500</w:t>
            </w:r>
            <w:r>
              <w:rPr>
                <w:rFonts w:hint="eastAsia" w:ascii="宋体" w:hAnsi="宋体" w:cstheme="minorBidi"/>
                <w:color w:val="000000"/>
                <w:szCs w:val="21"/>
              </w:rPr>
              <w:t>-</w:t>
            </w:r>
            <w:r>
              <w:rPr>
                <w:rFonts w:ascii="宋体" w:hAnsi="宋体" w:cstheme="minorBidi"/>
                <w:color w:val="000000"/>
                <w:szCs w:val="21"/>
              </w:rPr>
              <w:t>5</w:t>
            </w:r>
            <w:r>
              <w:rPr>
                <w:rFonts w:hint="eastAsia" w:ascii="宋体" w:hAnsi="宋体" w:cstheme="minorBidi"/>
                <w:color w:val="000000"/>
                <w:szCs w:val="21"/>
              </w:rPr>
              <w:t>，</w:t>
            </w:r>
            <w:r>
              <w:rPr>
                <w:rFonts w:ascii="宋体" w:hAnsi="宋体" w:cstheme="minorBidi"/>
                <w:color w:val="000000"/>
                <w:szCs w:val="21"/>
              </w:rPr>
              <w:t>000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696" w:type="dxa"/>
            <w:vAlign w:val="center"/>
          </w:tcPr>
          <w:p>
            <w:pPr>
              <w:spacing w:before="0" w:beforeLines="0" w:after="0" w:afterLines="0" w:line="240" w:lineRule="auto"/>
              <w:ind w:firstLine="0" w:firstLineChars="0"/>
              <w:jc w:val="center"/>
              <w:rPr>
                <w:rFonts w:ascii="宋体" w:hAnsi="宋体" w:cstheme="minorBidi"/>
                <w:b/>
                <w:bCs/>
                <w:color w:val="000000"/>
              </w:rPr>
            </w:pPr>
            <w:r>
              <w:rPr>
                <w:rFonts w:hint="eastAsia" w:ascii="宋体" w:hAnsi="宋体" w:cs="宋体"/>
                <w:b/>
                <w:bCs/>
                <w:color w:val="000000"/>
                <w:szCs w:val="21"/>
              </w:rPr>
              <w:t>Ⅳ</w:t>
            </w:r>
            <w:r>
              <w:rPr>
                <w:rFonts w:ascii="宋体" w:hAnsi="宋体" w:cstheme="minorBidi"/>
                <w:b/>
                <w:bCs/>
                <w:color w:val="000000"/>
                <w:szCs w:val="21"/>
              </w:rPr>
              <w:t>强度侵蚀</w:t>
            </w:r>
          </w:p>
        </w:tc>
        <w:tc>
          <w:tcPr>
            <w:tcW w:w="1985" w:type="dxa"/>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30</w:t>
            </w:r>
            <w:r>
              <w:rPr>
                <w:rFonts w:hint="eastAsia" w:ascii="宋体" w:hAnsi="宋体" w:cstheme="minorBidi"/>
                <w:color w:val="000000"/>
                <w:szCs w:val="21"/>
              </w:rPr>
              <w:t>-</w:t>
            </w:r>
            <w:r>
              <w:rPr>
                <w:rFonts w:ascii="宋体" w:hAnsi="宋体" w:cstheme="minorBidi"/>
                <w:color w:val="000000"/>
                <w:szCs w:val="21"/>
              </w:rPr>
              <w:t>10</w:t>
            </w:r>
          </w:p>
        </w:tc>
        <w:tc>
          <w:tcPr>
            <w:tcW w:w="2410" w:type="dxa"/>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25</w:t>
            </w:r>
            <w:r>
              <w:rPr>
                <w:rFonts w:hint="eastAsia" w:ascii="宋体" w:hAnsi="宋体" w:cstheme="minorBidi"/>
                <w:color w:val="000000"/>
                <w:szCs w:val="21"/>
              </w:rPr>
              <w:t>-</w:t>
            </w:r>
            <w:r>
              <w:rPr>
                <w:rFonts w:ascii="宋体" w:hAnsi="宋体" w:cstheme="minorBidi"/>
                <w:color w:val="000000"/>
                <w:szCs w:val="21"/>
              </w:rPr>
              <w:t>50</w:t>
            </w:r>
          </w:p>
        </w:tc>
        <w:tc>
          <w:tcPr>
            <w:tcW w:w="2205" w:type="dxa"/>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5</w:t>
            </w:r>
            <w:r>
              <w:rPr>
                <w:rFonts w:hint="eastAsia" w:ascii="宋体" w:hAnsi="宋体" w:cstheme="minorBidi"/>
                <w:color w:val="000000"/>
                <w:szCs w:val="21"/>
              </w:rPr>
              <w:t>，</w:t>
            </w:r>
            <w:r>
              <w:rPr>
                <w:rFonts w:ascii="宋体" w:hAnsi="宋体" w:cstheme="minorBidi"/>
                <w:color w:val="000000"/>
                <w:szCs w:val="21"/>
              </w:rPr>
              <w:t>000</w:t>
            </w:r>
            <w:r>
              <w:rPr>
                <w:rFonts w:hint="eastAsia" w:ascii="宋体" w:hAnsi="宋体" w:cstheme="minorBidi"/>
                <w:color w:val="000000"/>
                <w:szCs w:val="21"/>
              </w:rPr>
              <w:t>-</w:t>
            </w:r>
            <w:r>
              <w:rPr>
                <w:rFonts w:ascii="宋体" w:hAnsi="宋体" w:cstheme="minorBidi"/>
                <w:color w:val="000000"/>
                <w:szCs w:val="21"/>
              </w:rPr>
              <w:t>8</w:t>
            </w:r>
            <w:r>
              <w:rPr>
                <w:rFonts w:hint="eastAsia" w:ascii="宋体" w:hAnsi="宋体" w:cstheme="minorBidi"/>
                <w:color w:val="000000"/>
                <w:szCs w:val="21"/>
              </w:rPr>
              <w:t>，</w:t>
            </w:r>
            <w:r>
              <w:rPr>
                <w:rFonts w:ascii="宋体" w:hAnsi="宋体" w:cstheme="minorBidi"/>
                <w:color w:val="000000"/>
                <w:szCs w:val="21"/>
              </w:rPr>
              <w:t>000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696" w:type="dxa"/>
            <w:shd w:val="clear" w:color="auto" w:fill="D9E2F3" w:themeFill="accent1" w:themeFillTint="33"/>
            <w:vAlign w:val="center"/>
          </w:tcPr>
          <w:p>
            <w:pPr>
              <w:spacing w:before="0" w:beforeLines="0" w:after="0" w:afterLines="0" w:line="240" w:lineRule="auto"/>
              <w:ind w:firstLine="0" w:firstLineChars="0"/>
              <w:jc w:val="center"/>
              <w:rPr>
                <w:rFonts w:ascii="宋体" w:hAnsi="宋体" w:cstheme="minorBidi"/>
                <w:b/>
                <w:bCs/>
                <w:color w:val="000000"/>
              </w:rPr>
            </w:pPr>
            <w:r>
              <w:rPr>
                <w:rFonts w:hint="eastAsia" w:ascii="宋体" w:hAnsi="宋体" w:cs="宋体"/>
                <w:b/>
                <w:bCs/>
                <w:color w:val="000000"/>
                <w:szCs w:val="21"/>
              </w:rPr>
              <w:t>Ⅴ</w:t>
            </w:r>
            <w:r>
              <w:rPr>
                <w:rFonts w:ascii="宋体" w:hAnsi="宋体" w:cstheme="minorBidi"/>
                <w:b/>
                <w:bCs/>
                <w:color w:val="000000"/>
                <w:szCs w:val="21"/>
              </w:rPr>
              <w:t>及强度侵蚀</w:t>
            </w:r>
          </w:p>
        </w:tc>
        <w:tc>
          <w:tcPr>
            <w:tcW w:w="1985" w:type="dxa"/>
            <w:shd w:val="clear" w:color="auto" w:fill="D9E2F3" w:themeFill="accent1" w:themeFillTint="33"/>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&lt;10</w:t>
            </w:r>
          </w:p>
        </w:tc>
        <w:tc>
          <w:tcPr>
            <w:tcW w:w="2410" w:type="dxa"/>
            <w:shd w:val="clear" w:color="auto" w:fill="D9E2F3" w:themeFill="accent1" w:themeFillTint="33"/>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50</w:t>
            </w:r>
            <w:r>
              <w:rPr>
                <w:rFonts w:hint="eastAsia" w:ascii="宋体" w:hAnsi="宋体" w:cstheme="minorBidi"/>
                <w:color w:val="000000"/>
                <w:szCs w:val="21"/>
              </w:rPr>
              <w:t>-</w:t>
            </w:r>
            <w:r>
              <w:rPr>
                <w:rFonts w:ascii="宋体" w:hAnsi="宋体" w:cstheme="minorBidi"/>
                <w:color w:val="000000"/>
                <w:szCs w:val="21"/>
              </w:rPr>
              <w:t>100</w:t>
            </w:r>
          </w:p>
        </w:tc>
        <w:tc>
          <w:tcPr>
            <w:tcW w:w="2205" w:type="dxa"/>
            <w:shd w:val="clear" w:color="auto" w:fill="D9E2F3" w:themeFill="accent1" w:themeFillTint="33"/>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8</w:t>
            </w:r>
            <w:r>
              <w:rPr>
                <w:rFonts w:hint="eastAsia" w:ascii="宋体" w:hAnsi="宋体" w:cstheme="minorBidi"/>
                <w:color w:val="000000"/>
                <w:szCs w:val="21"/>
              </w:rPr>
              <w:t>，</w:t>
            </w:r>
            <w:r>
              <w:rPr>
                <w:rFonts w:ascii="宋体" w:hAnsi="宋体" w:cstheme="minorBidi"/>
                <w:color w:val="000000"/>
                <w:szCs w:val="21"/>
              </w:rPr>
              <w:t>000</w:t>
            </w:r>
            <w:r>
              <w:rPr>
                <w:rFonts w:hint="eastAsia" w:ascii="宋体" w:hAnsi="宋体" w:cstheme="minorBidi"/>
                <w:color w:val="000000"/>
                <w:szCs w:val="21"/>
              </w:rPr>
              <w:t>-</w:t>
            </w:r>
            <w:r>
              <w:rPr>
                <w:rFonts w:ascii="宋体" w:hAnsi="宋体" w:cstheme="minorBidi"/>
                <w:color w:val="000000"/>
                <w:szCs w:val="21"/>
              </w:rPr>
              <w:t>15</w:t>
            </w:r>
            <w:r>
              <w:rPr>
                <w:rFonts w:hint="eastAsia" w:ascii="宋体" w:hAnsi="宋体" w:cstheme="minorBidi"/>
                <w:color w:val="000000"/>
                <w:szCs w:val="21"/>
              </w:rPr>
              <w:t>，</w:t>
            </w:r>
            <w:r>
              <w:rPr>
                <w:rFonts w:ascii="宋体" w:hAnsi="宋体" w:cstheme="minorBidi"/>
                <w:color w:val="000000"/>
                <w:szCs w:val="21"/>
              </w:rPr>
              <w:t>000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696" w:type="dxa"/>
            <w:vAlign w:val="center"/>
          </w:tcPr>
          <w:p>
            <w:pPr>
              <w:spacing w:before="0" w:beforeLines="0" w:after="0" w:afterLines="0" w:line="240" w:lineRule="auto"/>
              <w:ind w:firstLine="0" w:firstLineChars="0"/>
              <w:jc w:val="center"/>
              <w:rPr>
                <w:rFonts w:ascii="宋体" w:hAnsi="宋体" w:cstheme="minorBidi"/>
                <w:b/>
                <w:bCs/>
                <w:color w:val="000000"/>
              </w:rPr>
            </w:pPr>
            <w:r>
              <w:rPr>
                <w:rFonts w:hint="eastAsia" w:ascii="宋体" w:hAnsi="宋体" w:cs="宋体"/>
                <w:b/>
                <w:bCs/>
                <w:color w:val="000000"/>
                <w:szCs w:val="21"/>
              </w:rPr>
              <w:t>Ⅵ</w:t>
            </w:r>
            <w:r>
              <w:rPr>
                <w:rFonts w:ascii="宋体" w:hAnsi="宋体" w:cstheme="minorBidi"/>
                <w:b/>
                <w:bCs/>
                <w:color w:val="000000"/>
                <w:szCs w:val="21"/>
              </w:rPr>
              <w:t>剧烈侵蚀</w:t>
            </w:r>
          </w:p>
        </w:tc>
        <w:tc>
          <w:tcPr>
            <w:tcW w:w="1985" w:type="dxa"/>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&lt;10</w:t>
            </w:r>
          </w:p>
        </w:tc>
        <w:tc>
          <w:tcPr>
            <w:tcW w:w="2410" w:type="dxa"/>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&gt;100</w:t>
            </w:r>
          </w:p>
        </w:tc>
        <w:tc>
          <w:tcPr>
            <w:tcW w:w="2205" w:type="dxa"/>
            <w:vAlign w:val="center"/>
          </w:tcPr>
          <w:p>
            <w:pPr>
              <w:spacing w:before="0" w:beforeLines="0" w:after="0" w:afterLines="0" w:line="240" w:lineRule="auto"/>
              <w:ind w:firstLine="0" w:firstLineChars="0"/>
              <w:jc w:val="center"/>
              <w:rPr>
                <w:rFonts w:ascii="宋体" w:hAnsi="宋体" w:cstheme="minorBidi"/>
                <w:color w:val="000000"/>
              </w:rPr>
            </w:pPr>
            <w:r>
              <w:rPr>
                <w:rFonts w:ascii="宋体" w:hAnsi="宋体" w:cstheme="minorBidi"/>
                <w:color w:val="000000"/>
                <w:szCs w:val="21"/>
              </w:rPr>
              <w:t>&gt; 15</w:t>
            </w:r>
            <w:r>
              <w:rPr>
                <w:rFonts w:hint="eastAsia" w:ascii="宋体" w:hAnsi="宋体" w:cstheme="minorBidi"/>
                <w:color w:val="000000"/>
                <w:szCs w:val="21"/>
              </w:rPr>
              <w:t>，</w:t>
            </w:r>
            <w:r>
              <w:rPr>
                <w:rFonts w:ascii="宋体" w:hAnsi="宋体" w:cstheme="minorBidi"/>
                <w:color w:val="000000"/>
                <w:szCs w:val="21"/>
              </w:rPr>
              <w:t>000</w:t>
            </w:r>
          </w:p>
        </w:tc>
      </w:tr>
    </w:tbl>
    <w:p>
      <w:pPr>
        <w:pStyle w:val="4"/>
        <w:spacing w:before="156" w:after="156"/>
        <w:ind w:firstLine="482"/>
        <w:rPr>
          <w:lang w:val="zh-CN"/>
        </w:rPr>
      </w:pPr>
      <w:bookmarkStart w:id="67" w:name="_Toc141272039"/>
      <w:bookmarkStart w:id="68" w:name="_Toc108109709"/>
      <w:r>
        <w:rPr>
          <w:rFonts w:hint="eastAsia"/>
          <w:lang w:val="zh-CN"/>
        </w:rPr>
        <w:t>1</w:t>
      </w:r>
      <w:r>
        <w:rPr>
          <w:lang w:val="zh-CN"/>
        </w:rPr>
        <w:t>.</w:t>
      </w:r>
      <w:r>
        <w:rPr>
          <w:rFonts w:hint="eastAsia"/>
        </w:rPr>
        <w:t>10</w:t>
      </w:r>
      <w:r>
        <w:rPr>
          <w:lang w:val="zh-CN"/>
        </w:rPr>
        <w:t xml:space="preserve">.2 </w:t>
      </w:r>
      <w:r>
        <w:rPr>
          <w:rFonts w:hint="eastAsia"/>
          <w:lang w:val="zh-CN"/>
        </w:rPr>
        <w:t>污染物排放标准</w:t>
      </w:r>
      <w:bookmarkEnd w:id="67"/>
      <w:bookmarkEnd w:id="68"/>
    </w:p>
    <w:p>
      <w:pPr>
        <w:pStyle w:val="5"/>
        <w:spacing w:before="156" w:after="156"/>
        <w:ind w:firstLine="560"/>
      </w:pPr>
      <w:r>
        <w:rPr>
          <w:rFonts w:hint="eastAsia"/>
        </w:rPr>
        <w:t>1.10</w:t>
      </w:r>
      <w:r>
        <w:t xml:space="preserve">.2.1 </w:t>
      </w:r>
      <w:r>
        <w:rPr>
          <w:rFonts w:hint="eastAsia"/>
        </w:rPr>
        <w:t>大气环境</w:t>
      </w:r>
    </w:p>
    <w:p>
      <w:pPr>
        <w:spacing w:before="156" w:after="156"/>
        <w:ind w:firstLine="420"/>
      </w:pPr>
      <w:r>
        <w:rPr>
          <w:rFonts w:hint="eastAsia"/>
        </w:rPr>
        <w:t>针对本项目废气仅含有精馏塔驰放气，执行《石油化学工业污染物排放标准》。各污染物的排放标准，如表1-13所示。</w:t>
      </w:r>
    </w:p>
    <w:p>
      <w:pPr>
        <w:pStyle w:val="24"/>
        <w:spacing w:before="156" w:after="156"/>
        <w:ind w:firstLine="420"/>
        <w:rPr>
          <w:rFonts w:ascii="宋体" w:hAnsi="宋体"/>
          <w:sz w:val="18"/>
          <w:szCs w:val="18"/>
        </w:rPr>
      </w:pPr>
      <w:r>
        <w:rPr>
          <w:rFonts w:hint="eastAsia" w:ascii="宋体" w:hAnsi="宋体"/>
          <w:sz w:val="18"/>
          <w:szCs w:val="18"/>
        </w:rPr>
        <w:t>表</w:t>
      </w:r>
      <w:r>
        <w:rPr>
          <w:rFonts w:ascii="宋体" w:hAnsi="宋体"/>
          <w:sz w:val="18"/>
          <w:szCs w:val="18"/>
        </w:rPr>
        <w:fldChar w:fldCharType="begin"/>
      </w:r>
      <w:r>
        <w:rPr>
          <w:rFonts w:ascii="宋体" w:hAnsi="宋体"/>
          <w:sz w:val="18"/>
          <w:szCs w:val="18"/>
        </w:rPr>
        <w:instrText xml:space="preserve"> SET myBK "一九一一年一月</w:instrText>
      </w:r>
      <w:r>
        <w:rPr>
          <w:rFonts w:ascii="宋体" w:hAnsi="宋体"/>
          <w:sz w:val="18"/>
          <w:szCs w:val="18"/>
        </w:rPr>
        <w:fldChar w:fldCharType="begin"/>
      </w:r>
      <w:r>
        <w:rPr>
          <w:rFonts w:ascii="宋体" w:hAnsi="宋体"/>
          <w:sz w:val="18"/>
          <w:szCs w:val="18"/>
        </w:rPr>
        <w:instrText xml:space="preserve"> STYLEREF 1 \s </w:instrText>
      </w:r>
      <w:r>
        <w:rPr>
          <w:rFonts w:ascii="宋体" w:hAnsi="宋体"/>
          <w:sz w:val="18"/>
          <w:szCs w:val="18"/>
        </w:rPr>
        <w:fldChar w:fldCharType="separate"/>
      </w:r>
      <w:r>
        <w:rPr>
          <w:rFonts w:hint="eastAsia" w:ascii="宋体" w:hAnsi="宋体"/>
          <w:sz w:val="18"/>
          <w:szCs w:val="18"/>
        </w:rPr>
        <w:instrText xml:space="preserve">一</w:instrText>
      </w:r>
      <w:r>
        <w:rPr>
          <w:rFonts w:ascii="宋体" w:hAnsi="宋体"/>
          <w:sz w:val="18"/>
          <w:szCs w:val="18"/>
        </w:rPr>
        <w:fldChar w:fldCharType="end"/>
      </w:r>
      <w:r>
        <w:rPr>
          <w:rFonts w:ascii="宋体" w:hAnsi="宋体"/>
          <w:sz w:val="18"/>
          <w:szCs w:val="18"/>
        </w:rPr>
        <w:instrText xml:space="preserve">日" </w:instrText>
      </w:r>
      <w:r>
        <w:rPr>
          <w:rFonts w:ascii="宋体" w:hAnsi="宋体"/>
          <w:sz w:val="18"/>
          <w:szCs w:val="18"/>
        </w:rPr>
        <w:fldChar w:fldCharType="separate"/>
      </w:r>
      <w:r>
        <w:rPr>
          <w:rFonts w:ascii="宋体" w:hAnsi="宋体"/>
          <w:sz w:val="18"/>
          <w:szCs w:val="18"/>
        </w:rPr>
        <w:t>一九一一年一月日</w:t>
      </w:r>
      <w:r>
        <w:rPr>
          <w:rFonts w:ascii="宋体" w:hAnsi="宋体"/>
          <w:sz w:val="18"/>
          <w:szCs w:val="18"/>
        </w:rPr>
        <w:fldChar w:fldCharType="end"/>
      </w:r>
      <w:r>
        <w:rPr>
          <w:rFonts w:ascii="宋体" w:hAnsi="宋体"/>
          <w:sz w:val="18"/>
          <w:szCs w:val="18"/>
        </w:rPr>
        <w:fldChar w:fldCharType="begin"/>
      </w:r>
      <w:r>
        <w:rPr>
          <w:rFonts w:ascii="宋体" w:hAnsi="宋体"/>
          <w:sz w:val="18"/>
          <w:szCs w:val="18"/>
        </w:rPr>
        <w:instrText xml:space="preserve"> myBK \@ "D" </w:instrText>
      </w:r>
      <w:r>
        <w:rPr>
          <w:rFonts w:ascii="宋体" w:hAnsi="宋体"/>
          <w:sz w:val="18"/>
          <w:szCs w:val="18"/>
        </w:rPr>
        <w:fldChar w:fldCharType="separate"/>
      </w:r>
      <w:r>
        <w:rPr>
          <w:rFonts w:ascii="宋体" w:hAnsi="宋体"/>
          <w:sz w:val="18"/>
          <w:szCs w:val="18"/>
        </w:rPr>
        <w:t>1</w:t>
      </w:r>
      <w:r>
        <w:rPr>
          <w:rFonts w:ascii="宋体" w:hAnsi="宋体"/>
          <w:sz w:val="18"/>
          <w:szCs w:val="18"/>
        </w:rPr>
        <w:fldChar w:fldCharType="end"/>
      </w:r>
      <w:r>
        <w:rPr>
          <w:rFonts w:ascii="宋体" w:hAnsi="宋体"/>
          <w:sz w:val="18"/>
          <w:szCs w:val="18"/>
        </w:rPr>
        <w:noBreakHyphen/>
      </w:r>
      <w:r>
        <w:rPr>
          <w:rFonts w:ascii="宋体" w:hAnsi="宋体"/>
          <w:sz w:val="18"/>
          <w:szCs w:val="18"/>
        </w:rPr>
        <w:fldChar w:fldCharType="begin"/>
      </w:r>
      <w:r>
        <w:rPr>
          <w:rFonts w:hint="eastAsia" w:ascii="宋体" w:hAnsi="宋体"/>
          <w:sz w:val="18"/>
          <w:szCs w:val="18"/>
        </w:rPr>
        <w:instrText xml:space="preserve">SEQ 表 \* ARABIC \s 1</w:instrText>
      </w:r>
      <w:r>
        <w:rPr>
          <w:rFonts w:ascii="宋体" w:hAnsi="宋体"/>
          <w:sz w:val="18"/>
          <w:szCs w:val="18"/>
        </w:rPr>
        <w:fldChar w:fldCharType="separate"/>
      </w:r>
      <w:r>
        <w:rPr>
          <w:rFonts w:ascii="宋体" w:hAnsi="宋体"/>
          <w:sz w:val="18"/>
          <w:szCs w:val="18"/>
        </w:rPr>
        <w:t>13</w:t>
      </w:r>
      <w:r>
        <w:rPr>
          <w:rFonts w:ascii="宋体" w:hAnsi="宋体"/>
          <w:sz w:val="18"/>
          <w:szCs w:val="18"/>
        </w:rPr>
        <w:fldChar w:fldCharType="end"/>
      </w:r>
      <w:r>
        <w:rPr>
          <w:rFonts w:hint="eastAsia" w:ascii="宋体" w:hAnsi="宋体"/>
          <w:sz w:val="18"/>
          <w:szCs w:val="18"/>
        </w:rPr>
        <w:t>本项目执行的大气污染物排放标准</w:t>
      </w:r>
    </w:p>
    <w:tbl>
      <w:tblPr>
        <w:tblStyle w:val="30"/>
        <w:tblW w:w="8699"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4372"/>
        <w:gridCol w:w="2258"/>
        <w:gridCol w:w="2069"/>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14" w:hRule="atLeast"/>
          <w:jc w:val="center"/>
        </w:trPr>
        <w:tc>
          <w:tcPr>
            <w:tcW w:w="4372"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cstheme="minorBidi"/>
                <w:b/>
                <w:bCs/>
                <w:color w:val="FFFFFF"/>
              </w:rPr>
            </w:pPr>
            <w:r>
              <w:rPr>
                <w:rFonts w:hint="eastAsia" w:asciiTheme="minorHAnsi" w:hAnsiTheme="minorHAnsi" w:cstheme="minorBidi"/>
                <w:b/>
                <w:bCs/>
                <w:color w:val="FFFFFF"/>
              </w:rPr>
              <w:t>标准名称</w:t>
            </w:r>
          </w:p>
        </w:tc>
        <w:tc>
          <w:tcPr>
            <w:tcW w:w="2258"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cstheme="minorBidi"/>
                <w:b/>
                <w:bCs/>
                <w:color w:val="FFFFFF"/>
              </w:rPr>
            </w:pPr>
            <w:r>
              <w:rPr>
                <w:rFonts w:hint="eastAsia" w:asciiTheme="minorHAnsi" w:hAnsiTheme="minorHAnsi" w:cstheme="minorBidi"/>
                <w:b/>
                <w:bCs/>
                <w:color w:val="FFFFFF"/>
              </w:rPr>
              <w:t>标准</w:t>
            </w:r>
            <w:r>
              <w:rPr>
                <w:rFonts w:asciiTheme="minorHAnsi" w:hAnsiTheme="minorHAnsi" w:cstheme="minorBidi"/>
                <w:b/>
                <w:bCs/>
                <w:color w:val="FFFFFF"/>
              </w:rPr>
              <w:t>号</w:t>
            </w:r>
          </w:p>
        </w:tc>
        <w:tc>
          <w:tcPr>
            <w:tcW w:w="2069"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cstheme="minorBidi"/>
                <w:b/>
                <w:bCs/>
                <w:color w:val="FFFFFF"/>
              </w:rPr>
            </w:pPr>
            <w:r>
              <w:rPr>
                <w:rFonts w:hint="eastAsia" w:asciiTheme="minorHAnsi" w:hAnsiTheme="minorHAnsi" w:cstheme="minorBidi"/>
                <w:b/>
                <w:bCs/>
                <w:color w:val="FFFFFF"/>
              </w:rPr>
              <w:t>规定/</w:t>
            </w:r>
            <w:r>
              <w:rPr>
                <w:rFonts w:asciiTheme="minorHAnsi" w:hAnsiTheme="minorHAnsi" w:cstheme="minorBidi"/>
                <w:b/>
                <w:bCs/>
                <w:color w:val="FFFFFF"/>
              </w:rPr>
              <w:t>mg·m</w:t>
            </w:r>
            <w:r>
              <w:rPr>
                <w:rFonts w:asciiTheme="minorHAnsi" w:hAnsiTheme="minorHAnsi" w:cstheme="minorBidi"/>
                <w:b/>
                <w:bCs/>
                <w:color w:val="FFFFFF"/>
                <w:vertAlign w:val="superscript"/>
              </w:rPr>
              <w:t>-3</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65" w:hRule="atLeast"/>
          <w:jc w:val="center"/>
        </w:trPr>
        <w:tc>
          <w:tcPr>
            <w:tcW w:w="4372"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cstheme="minorBidi"/>
                <w:b/>
                <w:bCs/>
                <w:color w:val="000000"/>
              </w:rPr>
            </w:pPr>
            <w:bookmarkStart w:id="69" w:name="_Hlk16773693"/>
            <w:r>
              <w:rPr>
                <w:rFonts w:hint="eastAsia" w:asciiTheme="minorHAnsi" w:hAnsiTheme="minorHAnsi" w:cstheme="minorBidi"/>
                <w:b/>
                <w:bCs/>
                <w:color w:val="000000"/>
              </w:rPr>
              <w:t>《石油化学</w:t>
            </w:r>
            <w:r>
              <w:rPr>
                <w:rFonts w:asciiTheme="minorHAnsi" w:hAnsiTheme="minorHAnsi" w:cstheme="minorBidi"/>
                <w:b/>
                <w:bCs/>
                <w:color w:val="000000"/>
              </w:rPr>
              <w:t>工业污染物排放标准</w:t>
            </w:r>
            <w:bookmarkEnd w:id="69"/>
            <w:r>
              <w:rPr>
                <w:rFonts w:hint="eastAsia" w:asciiTheme="minorHAnsi" w:hAnsiTheme="minorHAnsi" w:cstheme="minorBidi"/>
                <w:b/>
                <w:bCs/>
                <w:color w:val="000000"/>
              </w:rPr>
              <w:t>》</w:t>
            </w:r>
          </w:p>
        </w:tc>
        <w:tc>
          <w:tcPr>
            <w:tcW w:w="2258"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cstheme="minorBidi"/>
                <w:color w:val="000000"/>
              </w:rPr>
            </w:pPr>
            <w:bookmarkStart w:id="70" w:name="_Hlk16773704"/>
            <w:r>
              <w:rPr>
                <w:rFonts w:hint="eastAsia" w:asciiTheme="minorHAnsi" w:hAnsiTheme="minorHAnsi" w:cstheme="minorBidi"/>
                <w:color w:val="000000"/>
              </w:rPr>
              <w:t>GB31571-2015</w:t>
            </w:r>
            <w:bookmarkEnd w:id="70"/>
          </w:p>
        </w:tc>
        <w:tc>
          <w:tcPr>
            <w:tcW w:w="2069"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cstheme="minorBidi"/>
                <w:color w:val="000000"/>
              </w:rPr>
            </w:pPr>
            <w:r>
              <w:rPr>
                <w:rFonts w:asciiTheme="minorHAnsi" w:hAnsiTheme="minorHAnsi" w:cstheme="minorBidi"/>
                <w:color w:val="000000"/>
              </w:rPr>
              <w:t>80</w:t>
            </w:r>
          </w:p>
        </w:tc>
      </w:tr>
    </w:tbl>
    <w:p>
      <w:pPr>
        <w:pStyle w:val="5"/>
        <w:spacing w:before="156" w:after="156"/>
        <w:ind w:firstLine="560"/>
      </w:pPr>
      <w:r>
        <w:rPr>
          <w:rFonts w:hint="eastAsia"/>
        </w:rPr>
        <w:t>1</w:t>
      </w:r>
      <w:r>
        <w:t>.</w:t>
      </w:r>
      <w:r>
        <w:rPr>
          <w:rFonts w:hint="eastAsia"/>
        </w:rPr>
        <w:t>10</w:t>
      </w:r>
      <w:r>
        <w:t xml:space="preserve">.2.2 </w:t>
      </w:r>
      <w:r>
        <w:rPr>
          <w:rFonts w:hint="eastAsia"/>
        </w:rPr>
        <w:t>水环境</w:t>
      </w:r>
    </w:p>
    <w:p>
      <w:pPr>
        <w:spacing w:before="156" w:after="156"/>
        <w:ind w:firstLine="420"/>
      </w:pPr>
      <w:r>
        <w:rPr>
          <w:rFonts w:hint="eastAsia"/>
        </w:rPr>
        <w:t>排放执行《石油化学工业污染物排放标准》（GB31571-2015）中一级标准，如表1-14所示。</w:t>
      </w:r>
    </w:p>
    <w:p>
      <w:pPr>
        <w:pStyle w:val="24"/>
        <w:spacing w:before="156" w:after="156"/>
        <w:ind w:firstLine="420"/>
        <w:rPr>
          <w:rFonts w:ascii="宋体" w:hAnsi="宋体"/>
          <w:sz w:val="18"/>
          <w:szCs w:val="18"/>
        </w:rPr>
      </w:pPr>
      <w:r>
        <w:rPr>
          <w:rFonts w:hint="eastAsia" w:ascii="宋体" w:hAnsi="宋体"/>
          <w:sz w:val="18"/>
          <w:szCs w:val="18"/>
        </w:rPr>
        <w:t>表</w:t>
      </w:r>
      <w:r>
        <w:rPr>
          <w:rFonts w:ascii="宋体" w:hAnsi="宋体"/>
          <w:sz w:val="18"/>
          <w:szCs w:val="18"/>
        </w:rPr>
        <w:fldChar w:fldCharType="begin"/>
      </w:r>
      <w:r>
        <w:rPr>
          <w:rFonts w:ascii="宋体" w:hAnsi="宋体"/>
          <w:sz w:val="18"/>
          <w:szCs w:val="18"/>
        </w:rPr>
        <w:instrText xml:space="preserve"> SET myBK "一九一一年一月</w:instrText>
      </w:r>
      <w:r>
        <w:rPr>
          <w:rFonts w:ascii="宋体" w:hAnsi="宋体"/>
          <w:sz w:val="18"/>
          <w:szCs w:val="18"/>
        </w:rPr>
        <w:fldChar w:fldCharType="begin"/>
      </w:r>
      <w:r>
        <w:rPr>
          <w:rFonts w:ascii="宋体" w:hAnsi="宋体"/>
          <w:sz w:val="18"/>
          <w:szCs w:val="18"/>
        </w:rPr>
        <w:instrText xml:space="preserve"> STYLEREF 1 \s </w:instrText>
      </w:r>
      <w:r>
        <w:rPr>
          <w:rFonts w:ascii="宋体" w:hAnsi="宋体"/>
          <w:sz w:val="18"/>
          <w:szCs w:val="18"/>
        </w:rPr>
        <w:fldChar w:fldCharType="separate"/>
      </w:r>
      <w:r>
        <w:rPr>
          <w:rFonts w:hint="eastAsia" w:ascii="宋体" w:hAnsi="宋体"/>
          <w:sz w:val="18"/>
          <w:szCs w:val="18"/>
        </w:rPr>
        <w:instrText xml:space="preserve">一</w:instrText>
      </w:r>
      <w:r>
        <w:rPr>
          <w:rFonts w:ascii="宋体" w:hAnsi="宋体"/>
          <w:sz w:val="18"/>
          <w:szCs w:val="18"/>
        </w:rPr>
        <w:fldChar w:fldCharType="end"/>
      </w:r>
      <w:r>
        <w:rPr>
          <w:rFonts w:ascii="宋体" w:hAnsi="宋体"/>
          <w:sz w:val="18"/>
          <w:szCs w:val="18"/>
        </w:rPr>
        <w:instrText xml:space="preserve">日" </w:instrText>
      </w:r>
      <w:r>
        <w:rPr>
          <w:rFonts w:ascii="宋体" w:hAnsi="宋体"/>
          <w:sz w:val="18"/>
          <w:szCs w:val="18"/>
        </w:rPr>
        <w:fldChar w:fldCharType="separate"/>
      </w:r>
      <w:r>
        <w:rPr>
          <w:rFonts w:ascii="宋体" w:hAnsi="宋体"/>
          <w:sz w:val="18"/>
          <w:szCs w:val="18"/>
        </w:rPr>
        <w:t>一九一一年一月日</w:t>
      </w:r>
      <w:r>
        <w:rPr>
          <w:rFonts w:ascii="宋体" w:hAnsi="宋体"/>
          <w:sz w:val="18"/>
          <w:szCs w:val="18"/>
        </w:rPr>
        <w:fldChar w:fldCharType="end"/>
      </w:r>
      <w:r>
        <w:rPr>
          <w:rFonts w:ascii="宋体" w:hAnsi="宋体"/>
          <w:sz w:val="18"/>
          <w:szCs w:val="18"/>
        </w:rPr>
        <w:fldChar w:fldCharType="begin"/>
      </w:r>
      <w:r>
        <w:rPr>
          <w:rFonts w:ascii="宋体" w:hAnsi="宋体"/>
          <w:sz w:val="18"/>
          <w:szCs w:val="18"/>
        </w:rPr>
        <w:instrText xml:space="preserve"> myBK \@ "D" </w:instrText>
      </w:r>
      <w:r>
        <w:rPr>
          <w:rFonts w:ascii="宋体" w:hAnsi="宋体"/>
          <w:sz w:val="18"/>
          <w:szCs w:val="18"/>
        </w:rPr>
        <w:fldChar w:fldCharType="separate"/>
      </w:r>
      <w:r>
        <w:rPr>
          <w:rFonts w:ascii="宋体" w:hAnsi="宋体"/>
          <w:sz w:val="18"/>
          <w:szCs w:val="18"/>
        </w:rPr>
        <w:t>1</w:t>
      </w:r>
      <w:r>
        <w:rPr>
          <w:rFonts w:ascii="宋体" w:hAnsi="宋体"/>
          <w:sz w:val="18"/>
          <w:szCs w:val="18"/>
        </w:rPr>
        <w:fldChar w:fldCharType="end"/>
      </w:r>
      <w:r>
        <w:rPr>
          <w:rFonts w:ascii="宋体" w:hAnsi="宋体"/>
          <w:sz w:val="18"/>
          <w:szCs w:val="18"/>
        </w:rPr>
        <w:noBreakHyphen/>
      </w:r>
      <w:r>
        <w:rPr>
          <w:rFonts w:ascii="宋体" w:hAnsi="宋体"/>
          <w:sz w:val="18"/>
          <w:szCs w:val="18"/>
        </w:rPr>
        <w:fldChar w:fldCharType="begin"/>
      </w:r>
      <w:r>
        <w:rPr>
          <w:rFonts w:hint="eastAsia" w:ascii="宋体" w:hAnsi="宋体"/>
          <w:sz w:val="18"/>
          <w:szCs w:val="18"/>
        </w:rPr>
        <w:instrText xml:space="preserve">SEQ 表 \* ARABIC \s 1</w:instrText>
      </w:r>
      <w:r>
        <w:rPr>
          <w:rFonts w:ascii="宋体" w:hAnsi="宋体"/>
          <w:sz w:val="18"/>
          <w:szCs w:val="18"/>
        </w:rPr>
        <w:fldChar w:fldCharType="separate"/>
      </w:r>
      <w:r>
        <w:rPr>
          <w:rFonts w:ascii="宋体" w:hAnsi="宋体"/>
          <w:sz w:val="18"/>
          <w:szCs w:val="18"/>
        </w:rPr>
        <w:t>14</w:t>
      </w:r>
      <w:r>
        <w:rPr>
          <w:rFonts w:ascii="宋体" w:hAnsi="宋体"/>
          <w:sz w:val="18"/>
          <w:szCs w:val="18"/>
        </w:rPr>
        <w:fldChar w:fldCharType="end"/>
      </w:r>
      <w:r>
        <w:rPr>
          <w:rFonts w:hint="eastAsia" w:ascii="宋体" w:hAnsi="宋体"/>
          <w:sz w:val="18"/>
          <w:szCs w:val="18"/>
        </w:rPr>
        <w:t>污水排放标准</w:t>
      </w:r>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078"/>
        <w:gridCol w:w="2616"/>
        <w:gridCol w:w="4602"/>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078"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序号</w:t>
            </w:r>
          </w:p>
        </w:tc>
        <w:tc>
          <w:tcPr>
            <w:tcW w:w="261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asciiTheme="minorHAnsi" w:hAnsiTheme="minorHAnsi" w:eastAsiaTheme="minorEastAsia" w:cstheme="minorBidi"/>
                <w:b/>
                <w:bCs/>
                <w:color w:val="FFFFFF"/>
                <w:szCs w:val="21"/>
              </w:rPr>
              <w:t>污染物</w:t>
            </w:r>
          </w:p>
        </w:tc>
        <w:tc>
          <w:tcPr>
            <w:tcW w:w="4602"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bookmarkStart w:id="71" w:name="_Toc52002698"/>
            <w:r>
              <w:rPr>
                <w:rFonts w:asciiTheme="minorHAnsi" w:hAnsiTheme="minorHAnsi" w:eastAsiaTheme="minorEastAsia" w:cstheme="minorBidi"/>
                <w:b/>
                <w:bCs/>
                <w:color w:val="FFFFFF"/>
                <w:szCs w:val="21"/>
              </w:rPr>
              <w:t>GB31571-2015一级排放标准（mg/L</w:t>
            </w:r>
            <w:bookmarkEnd w:id="71"/>
            <w:r>
              <w:rPr>
                <w:rFonts w:asciiTheme="minorHAnsi" w:hAnsiTheme="minorHAnsi" w:eastAsiaTheme="minorEastAsia" w:cstheme="minorBidi"/>
                <w:b/>
                <w:bCs/>
                <w:color w:val="FFFFFF"/>
                <w:szCs w:val="21"/>
              </w:rPr>
              <w:t>）</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078"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bookmarkStart w:id="72" w:name="_Toc52002699"/>
            <w:r>
              <w:rPr>
                <w:rFonts w:asciiTheme="minorHAnsi" w:hAnsiTheme="minorHAnsi" w:eastAsiaTheme="minorEastAsia" w:cstheme="minorBidi"/>
                <w:b/>
                <w:bCs/>
                <w:color w:val="000000"/>
                <w:szCs w:val="21"/>
              </w:rPr>
              <w:t>1</w:t>
            </w:r>
            <w:bookmarkEnd w:id="72"/>
          </w:p>
        </w:tc>
        <w:tc>
          <w:tcPr>
            <w:tcW w:w="2616"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pH</w:t>
            </w:r>
          </w:p>
        </w:tc>
        <w:tc>
          <w:tcPr>
            <w:tcW w:w="4602"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6</w:t>
            </w:r>
            <w:r>
              <w:rPr>
                <w:rFonts w:hint="eastAsia" w:asciiTheme="minorHAnsi" w:hAnsiTheme="minorHAnsi" w:eastAsiaTheme="minorEastAsia" w:cstheme="minorBidi"/>
                <w:color w:val="000000"/>
                <w:szCs w:val="21"/>
              </w:rPr>
              <w:t>-</w:t>
            </w:r>
            <w:r>
              <w:rPr>
                <w:rFonts w:asciiTheme="minorHAnsi" w:hAnsiTheme="minorHAnsi" w:eastAsiaTheme="minorEastAsia" w:cstheme="minorBidi"/>
                <w:color w:val="000000"/>
                <w:szCs w:val="21"/>
              </w:rPr>
              <w:t>9</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078"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bookmarkStart w:id="73" w:name="_Toc52002702"/>
            <w:r>
              <w:rPr>
                <w:rFonts w:asciiTheme="minorHAnsi" w:hAnsiTheme="minorHAnsi" w:eastAsiaTheme="minorEastAsia" w:cstheme="minorBidi"/>
                <w:b/>
                <w:bCs/>
                <w:color w:val="000000"/>
                <w:szCs w:val="21"/>
              </w:rPr>
              <w:t>2</w:t>
            </w:r>
            <w:bookmarkEnd w:id="73"/>
          </w:p>
        </w:tc>
        <w:tc>
          <w:tcPr>
            <w:tcW w:w="2616"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悬浮物</w:t>
            </w:r>
          </w:p>
        </w:tc>
        <w:tc>
          <w:tcPr>
            <w:tcW w:w="4602"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20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078"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bookmarkStart w:id="74" w:name="_Toc52002705"/>
            <w:r>
              <w:rPr>
                <w:rFonts w:asciiTheme="minorHAnsi" w:hAnsiTheme="minorHAnsi" w:eastAsiaTheme="minorEastAsia" w:cstheme="minorBidi"/>
                <w:b/>
                <w:bCs/>
                <w:color w:val="000000"/>
                <w:szCs w:val="21"/>
              </w:rPr>
              <w:t>3</w:t>
            </w:r>
            <w:bookmarkEnd w:id="74"/>
          </w:p>
        </w:tc>
        <w:tc>
          <w:tcPr>
            <w:tcW w:w="2616"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挥发酚</w:t>
            </w:r>
          </w:p>
        </w:tc>
        <w:tc>
          <w:tcPr>
            <w:tcW w:w="4602"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0.5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078"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bookmarkStart w:id="75" w:name="_Toc52002708"/>
            <w:r>
              <w:rPr>
                <w:rFonts w:asciiTheme="minorHAnsi" w:hAnsiTheme="minorHAnsi" w:eastAsiaTheme="minorEastAsia" w:cstheme="minorBidi"/>
                <w:b/>
                <w:bCs/>
                <w:color w:val="000000"/>
                <w:szCs w:val="21"/>
              </w:rPr>
              <w:t>4</w:t>
            </w:r>
            <w:bookmarkEnd w:id="75"/>
          </w:p>
        </w:tc>
        <w:tc>
          <w:tcPr>
            <w:tcW w:w="2616"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总氰化物</w:t>
            </w:r>
          </w:p>
        </w:tc>
        <w:tc>
          <w:tcPr>
            <w:tcW w:w="4602"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0.5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078"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bookmarkStart w:id="76" w:name="_Toc52002711"/>
            <w:r>
              <w:rPr>
                <w:rFonts w:asciiTheme="minorHAnsi" w:hAnsiTheme="minorHAnsi" w:eastAsiaTheme="minorEastAsia" w:cstheme="minorBidi"/>
                <w:b/>
                <w:bCs/>
                <w:color w:val="000000"/>
                <w:szCs w:val="21"/>
              </w:rPr>
              <w:t>5</w:t>
            </w:r>
            <w:bookmarkEnd w:id="76"/>
          </w:p>
        </w:tc>
        <w:tc>
          <w:tcPr>
            <w:tcW w:w="2616"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硫化物</w:t>
            </w:r>
          </w:p>
        </w:tc>
        <w:tc>
          <w:tcPr>
            <w:tcW w:w="4602"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bookmarkStart w:id="77" w:name="_Toc52002710"/>
            <w:r>
              <w:rPr>
                <w:rFonts w:asciiTheme="minorHAnsi" w:hAnsiTheme="minorHAnsi" w:eastAsiaTheme="minorEastAsia" w:cstheme="minorBidi"/>
                <w:color w:val="000000"/>
                <w:szCs w:val="21"/>
              </w:rPr>
              <w:t>1.0</w:t>
            </w:r>
            <w:bookmarkEnd w:id="77"/>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078"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6</w:t>
            </w:r>
          </w:p>
        </w:tc>
        <w:tc>
          <w:tcPr>
            <w:tcW w:w="2616"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化学需氧量</w:t>
            </w:r>
          </w:p>
        </w:tc>
        <w:tc>
          <w:tcPr>
            <w:tcW w:w="4602"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60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078"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7</w:t>
            </w:r>
          </w:p>
        </w:tc>
        <w:tc>
          <w:tcPr>
            <w:tcW w:w="2616"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五日生化需氧量</w:t>
            </w:r>
          </w:p>
        </w:tc>
        <w:tc>
          <w:tcPr>
            <w:tcW w:w="4602"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highlight w:val="yellow"/>
              </w:rPr>
            </w:pPr>
            <w:r>
              <w:rPr>
                <w:rFonts w:asciiTheme="minorHAnsi" w:hAnsiTheme="minorHAnsi" w:eastAsiaTheme="minorEastAsia" w:cstheme="minorBidi"/>
                <w:color w:val="000000"/>
                <w:szCs w:val="21"/>
              </w:rPr>
              <w:t>20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078" w:type="dxa"/>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8</w:t>
            </w:r>
          </w:p>
        </w:tc>
        <w:tc>
          <w:tcPr>
            <w:tcW w:w="2616"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氨氮</w:t>
            </w:r>
          </w:p>
        </w:tc>
        <w:tc>
          <w:tcPr>
            <w:tcW w:w="4602"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15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078"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asciiTheme="minorHAnsi" w:hAnsiTheme="minorHAnsi" w:eastAsiaTheme="minorEastAsia" w:cstheme="minorBidi"/>
                <w:b/>
                <w:bCs/>
                <w:color w:val="000000"/>
                <w:szCs w:val="21"/>
              </w:rPr>
              <w:t>9</w:t>
            </w:r>
          </w:p>
        </w:tc>
        <w:tc>
          <w:tcPr>
            <w:tcW w:w="2616"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石油类</w:t>
            </w:r>
          </w:p>
        </w:tc>
        <w:tc>
          <w:tcPr>
            <w:tcW w:w="4602"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asciiTheme="minorHAnsi" w:hAnsiTheme="minorHAnsi" w:eastAsiaTheme="minorEastAsia" w:cstheme="minorBidi"/>
                <w:color w:val="000000"/>
                <w:szCs w:val="21"/>
              </w:rPr>
              <w:t>10</w:t>
            </w:r>
          </w:p>
        </w:tc>
      </w:tr>
    </w:tbl>
    <w:p>
      <w:pPr>
        <w:pStyle w:val="5"/>
        <w:spacing w:before="156" w:after="156"/>
        <w:ind w:firstLine="560"/>
      </w:pPr>
      <w:r>
        <w:rPr>
          <w:rFonts w:hint="eastAsia"/>
        </w:rPr>
        <w:t>1</w:t>
      </w:r>
      <w:r>
        <w:t>.</w:t>
      </w:r>
      <w:r>
        <w:rPr>
          <w:rFonts w:hint="eastAsia"/>
        </w:rPr>
        <w:t>10</w:t>
      </w:r>
      <w:r>
        <w:t xml:space="preserve">.2.3 </w:t>
      </w:r>
      <w:r>
        <w:rPr>
          <w:rFonts w:hint="eastAsia"/>
        </w:rPr>
        <w:t>声环境</w:t>
      </w:r>
    </w:p>
    <w:p>
      <w:pPr>
        <w:spacing w:before="156" w:after="156"/>
        <w:ind w:firstLine="420"/>
      </w:pPr>
      <w:r>
        <w:rPr>
          <w:rFonts w:hint="eastAsia"/>
        </w:rPr>
        <w:t>工业园区或园区厂界执行《工业企业厂界噪声标准》（GB 12348-2008）中的Ⅲ类标准，交通干线两侧执行Ⅳ类标准，如表1-17所示。</w:t>
      </w:r>
    </w:p>
    <w:p>
      <w:pPr>
        <w:pStyle w:val="24"/>
        <w:spacing w:before="156" w:after="156"/>
        <w:ind w:firstLine="420"/>
        <w:rPr>
          <w:rFonts w:ascii="宋体" w:hAnsi="宋体"/>
          <w:sz w:val="18"/>
          <w:szCs w:val="18"/>
        </w:rPr>
      </w:pPr>
      <w:r>
        <w:rPr>
          <w:rFonts w:hint="eastAsia" w:ascii="宋体" w:hAnsi="宋体"/>
          <w:sz w:val="18"/>
          <w:szCs w:val="18"/>
        </w:rPr>
        <w:t>表</w:t>
      </w:r>
      <w:r>
        <w:rPr>
          <w:rFonts w:ascii="宋体" w:hAnsi="宋体"/>
          <w:sz w:val="18"/>
          <w:szCs w:val="18"/>
        </w:rPr>
        <w:fldChar w:fldCharType="begin"/>
      </w:r>
      <w:r>
        <w:rPr>
          <w:rFonts w:ascii="宋体" w:hAnsi="宋体"/>
          <w:sz w:val="18"/>
          <w:szCs w:val="18"/>
        </w:rPr>
        <w:instrText xml:space="preserve"> SET myBK "一九一一年一月</w:instrText>
      </w:r>
      <w:r>
        <w:rPr>
          <w:rFonts w:ascii="宋体" w:hAnsi="宋体"/>
          <w:sz w:val="18"/>
          <w:szCs w:val="18"/>
        </w:rPr>
        <w:fldChar w:fldCharType="begin"/>
      </w:r>
      <w:r>
        <w:rPr>
          <w:rFonts w:ascii="宋体" w:hAnsi="宋体"/>
          <w:sz w:val="18"/>
          <w:szCs w:val="18"/>
        </w:rPr>
        <w:instrText xml:space="preserve"> STYLEREF 1 \s </w:instrText>
      </w:r>
      <w:r>
        <w:rPr>
          <w:rFonts w:ascii="宋体" w:hAnsi="宋体"/>
          <w:sz w:val="18"/>
          <w:szCs w:val="18"/>
        </w:rPr>
        <w:fldChar w:fldCharType="separate"/>
      </w:r>
      <w:r>
        <w:rPr>
          <w:rFonts w:hint="eastAsia" w:ascii="宋体" w:hAnsi="宋体"/>
          <w:sz w:val="18"/>
          <w:szCs w:val="18"/>
        </w:rPr>
        <w:instrText xml:space="preserve">一</w:instrText>
      </w:r>
      <w:r>
        <w:rPr>
          <w:rFonts w:ascii="宋体" w:hAnsi="宋体"/>
          <w:sz w:val="18"/>
          <w:szCs w:val="18"/>
        </w:rPr>
        <w:fldChar w:fldCharType="end"/>
      </w:r>
      <w:r>
        <w:rPr>
          <w:rFonts w:ascii="宋体" w:hAnsi="宋体"/>
          <w:sz w:val="18"/>
          <w:szCs w:val="18"/>
        </w:rPr>
        <w:instrText xml:space="preserve">日" </w:instrText>
      </w:r>
      <w:r>
        <w:rPr>
          <w:rFonts w:ascii="宋体" w:hAnsi="宋体"/>
          <w:sz w:val="18"/>
          <w:szCs w:val="18"/>
        </w:rPr>
        <w:fldChar w:fldCharType="separate"/>
      </w:r>
      <w:r>
        <w:rPr>
          <w:rFonts w:ascii="宋体" w:hAnsi="宋体"/>
          <w:sz w:val="18"/>
          <w:szCs w:val="18"/>
        </w:rPr>
        <w:t>一九一一年一月日</w:t>
      </w:r>
      <w:r>
        <w:rPr>
          <w:rFonts w:ascii="宋体" w:hAnsi="宋体"/>
          <w:sz w:val="18"/>
          <w:szCs w:val="18"/>
        </w:rPr>
        <w:fldChar w:fldCharType="end"/>
      </w:r>
      <w:r>
        <w:rPr>
          <w:rFonts w:ascii="宋体" w:hAnsi="宋体"/>
          <w:sz w:val="18"/>
          <w:szCs w:val="18"/>
        </w:rPr>
        <w:fldChar w:fldCharType="begin"/>
      </w:r>
      <w:r>
        <w:rPr>
          <w:rFonts w:ascii="宋体" w:hAnsi="宋体"/>
          <w:sz w:val="18"/>
          <w:szCs w:val="18"/>
        </w:rPr>
        <w:instrText xml:space="preserve"> myBK \@ "D" </w:instrText>
      </w:r>
      <w:r>
        <w:rPr>
          <w:rFonts w:ascii="宋体" w:hAnsi="宋体"/>
          <w:sz w:val="18"/>
          <w:szCs w:val="18"/>
        </w:rPr>
        <w:fldChar w:fldCharType="separate"/>
      </w:r>
      <w:r>
        <w:rPr>
          <w:rFonts w:ascii="宋体" w:hAnsi="宋体"/>
          <w:sz w:val="18"/>
          <w:szCs w:val="18"/>
        </w:rPr>
        <w:t>1</w:t>
      </w:r>
      <w:r>
        <w:rPr>
          <w:rFonts w:ascii="宋体" w:hAnsi="宋体"/>
          <w:sz w:val="18"/>
          <w:szCs w:val="18"/>
        </w:rPr>
        <w:fldChar w:fldCharType="end"/>
      </w:r>
      <w:r>
        <w:rPr>
          <w:rFonts w:ascii="宋体" w:hAnsi="宋体"/>
          <w:sz w:val="18"/>
          <w:szCs w:val="18"/>
        </w:rPr>
        <w:noBreakHyphen/>
      </w:r>
      <w:r>
        <w:rPr>
          <w:rFonts w:ascii="宋体" w:hAnsi="宋体"/>
          <w:sz w:val="18"/>
          <w:szCs w:val="18"/>
        </w:rPr>
        <w:fldChar w:fldCharType="begin"/>
      </w:r>
      <w:r>
        <w:rPr>
          <w:rFonts w:hint="eastAsia" w:ascii="宋体" w:hAnsi="宋体"/>
          <w:sz w:val="18"/>
          <w:szCs w:val="18"/>
        </w:rPr>
        <w:instrText xml:space="preserve">SEQ 表 \* ARABIC \s 1</w:instrText>
      </w:r>
      <w:r>
        <w:rPr>
          <w:rFonts w:ascii="宋体" w:hAnsi="宋体"/>
          <w:sz w:val="18"/>
          <w:szCs w:val="18"/>
        </w:rPr>
        <w:fldChar w:fldCharType="separate"/>
      </w:r>
      <w:r>
        <w:rPr>
          <w:rFonts w:ascii="宋体" w:hAnsi="宋体"/>
          <w:sz w:val="18"/>
          <w:szCs w:val="18"/>
        </w:rPr>
        <w:t>15</w:t>
      </w:r>
      <w:r>
        <w:rPr>
          <w:rFonts w:ascii="宋体" w:hAnsi="宋体"/>
          <w:sz w:val="18"/>
          <w:szCs w:val="18"/>
        </w:rPr>
        <w:fldChar w:fldCharType="end"/>
      </w:r>
      <w:r>
        <w:rPr>
          <w:rFonts w:hint="eastAsia" w:ascii="宋体" w:hAnsi="宋体"/>
          <w:sz w:val="18"/>
          <w:szCs w:val="18"/>
        </w:rPr>
        <w:t>噪声标准</w:t>
      </w:r>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3276"/>
        <w:gridCol w:w="1657"/>
        <w:gridCol w:w="1794"/>
        <w:gridCol w:w="1569"/>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3276"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标准</w:t>
            </w:r>
            <w:r>
              <w:rPr>
                <w:rFonts w:asciiTheme="minorHAnsi" w:hAnsiTheme="minorHAnsi" w:eastAsiaTheme="minorEastAsia" w:cstheme="minorBidi"/>
                <w:b/>
                <w:bCs/>
                <w:color w:val="FFFFFF"/>
                <w:szCs w:val="21"/>
              </w:rPr>
              <w:t>名称</w:t>
            </w:r>
          </w:p>
        </w:tc>
        <w:tc>
          <w:tcPr>
            <w:tcW w:w="165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类别</w:t>
            </w:r>
          </w:p>
        </w:tc>
        <w:tc>
          <w:tcPr>
            <w:tcW w:w="179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昼间</w:t>
            </w:r>
          </w:p>
        </w:tc>
        <w:tc>
          <w:tcPr>
            <w:tcW w:w="1569"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FFFFFF"/>
              </w:rPr>
            </w:pPr>
            <w:r>
              <w:rPr>
                <w:rFonts w:hint="eastAsia" w:asciiTheme="minorHAnsi" w:hAnsiTheme="minorHAnsi" w:eastAsiaTheme="minorEastAsia" w:cstheme="minorBidi"/>
                <w:b/>
                <w:bCs/>
                <w:color w:val="FFFFFF"/>
                <w:szCs w:val="21"/>
              </w:rPr>
              <w:t>夜间</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3276" w:type="dxa"/>
            <w:vMerge w:val="restart"/>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r>
              <w:rPr>
                <w:rFonts w:hint="eastAsia" w:asciiTheme="minorHAnsi" w:hAnsiTheme="minorHAnsi" w:eastAsiaTheme="minorEastAsia" w:cstheme="minorBidi"/>
                <w:b/>
                <w:bCs/>
                <w:color w:val="000000"/>
                <w:szCs w:val="21"/>
              </w:rPr>
              <w:t>《工业</w:t>
            </w:r>
            <w:r>
              <w:rPr>
                <w:rFonts w:asciiTheme="minorHAnsi" w:hAnsiTheme="minorHAnsi" w:eastAsiaTheme="minorEastAsia" w:cstheme="minorBidi"/>
                <w:b/>
                <w:bCs/>
                <w:color w:val="000000"/>
                <w:szCs w:val="21"/>
              </w:rPr>
              <w:t>企业厂界噪声标准</w:t>
            </w:r>
            <w:r>
              <w:rPr>
                <w:rFonts w:hint="eastAsia" w:asciiTheme="minorHAnsi" w:hAnsiTheme="minorHAnsi" w:eastAsiaTheme="minorEastAsia" w:cstheme="minorBidi"/>
                <w:b/>
                <w:bCs/>
                <w:color w:val="000000"/>
                <w:szCs w:val="21"/>
              </w:rPr>
              <w:t>》</w:t>
            </w:r>
          </w:p>
        </w:tc>
        <w:tc>
          <w:tcPr>
            <w:tcW w:w="1657"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Ⅲ</w:t>
            </w:r>
          </w:p>
        </w:tc>
        <w:tc>
          <w:tcPr>
            <w:tcW w:w="1794"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65</w:t>
            </w:r>
          </w:p>
        </w:tc>
        <w:tc>
          <w:tcPr>
            <w:tcW w:w="1569" w:type="dxa"/>
            <w:shd w:val="clear" w:color="auto" w:fill="D9E2F3" w:themeFill="accent1" w:themeFillTint="33"/>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55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3276" w:type="dxa"/>
            <w:vMerge w:val="continue"/>
            <w:vAlign w:val="center"/>
          </w:tcPr>
          <w:p>
            <w:pPr>
              <w:spacing w:before="0" w:beforeLines="0" w:after="0" w:afterLines="0" w:line="240" w:lineRule="auto"/>
              <w:ind w:firstLine="0" w:firstLineChars="0"/>
              <w:jc w:val="center"/>
              <w:rPr>
                <w:rFonts w:asciiTheme="minorHAnsi" w:hAnsiTheme="minorHAnsi" w:eastAsiaTheme="minorEastAsia" w:cstheme="minorBidi"/>
                <w:b/>
                <w:bCs/>
                <w:color w:val="000000"/>
              </w:rPr>
            </w:pPr>
          </w:p>
        </w:tc>
        <w:tc>
          <w:tcPr>
            <w:tcW w:w="1657"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Ⅳ</w:t>
            </w:r>
          </w:p>
        </w:tc>
        <w:tc>
          <w:tcPr>
            <w:tcW w:w="1794"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70</w:t>
            </w:r>
          </w:p>
        </w:tc>
        <w:tc>
          <w:tcPr>
            <w:tcW w:w="1569" w:type="dxa"/>
            <w:vAlign w:val="center"/>
          </w:tcPr>
          <w:p>
            <w:pPr>
              <w:spacing w:before="0" w:beforeLines="0" w:after="0" w:afterLines="0" w:line="240" w:lineRule="auto"/>
              <w:ind w:firstLine="0" w:firstLineChars="0"/>
              <w:jc w:val="center"/>
              <w:rPr>
                <w:rFonts w:asciiTheme="minorHAnsi" w:hAnsiTheme="minorHAnsi" w:eastAsiaTheme="minorEastAsia" w:cstheme="minorBidi"/>
                <w:color w:val="000000"/>
              </w:rPr>
            </w:pPr>
            <w:r>
              <w:rPr>
                <w:rFonts w:hint="eastAsia" w:asciiTheme="minorHAnsi" w:hAnsiTheme="minorHAnsi" w:eastAsiaTheme="minorEastAsia" w:cstheme="minorBidi"/>
                <w:color w:val="000000"/>
                <w:szCs w:val="21"/>
              </w:rPr>
              <w:t>55</w:t>
            </w:r>
          </w:p>
        </w:tc>
      </w:tr>
    </w:tbl>
    <w:p>
      <w:pPr>
        <w:pStyle w:val="5"/>
        <w:spacing w:before="156" w:after="156"/>
        <w:ind w:firstLine="560"/>
      </w:pPr>
      <w:r>
        <w:rPr>
          <w:rFonts w:hint="eastAsia"/>
        </w:rPr>
        <w:t>1</w:t>
      </w:r>
      <w:r>
        <w:t>.</w:t>
      </w:r>
      <w:r>
        <w:rPr>
          <w:rFonts w:hint="eastAsia"/>
        </w:rPr>
        <w:t>10</w:t>
      </w:r>
      <w:r>
        <w:t xml:space="preserve">.2.4 </w:t>
      </w:r>
      <w:r>
        <w:rPr>
          <w:rFonts w:hint="eastAsia"/>
        </w:rPr>
        <w:t>固体废物</w:t>
      </w:r>
    </w:p>
    <w:p>
      <w:pPr>
        <w:spacing w:before="156" w:after="156"/>
        <w:ind w:firstLine="420"/>
      </w:pPr>
      <w:r>
        <w:rPr>
          <w:rFonts w:hint="eastAsia"/>
        </w:rPr>
        <w:t>《危险废物贮存污染控制标准》（GB18597-2001）</w:t>
      </w:r>
    </w:p>
    <w:p>
      <w:pPr>
        <w:spacing w:before="156" w:after="156"/>
        <w:ind w:firstLine="420"/>
      </w:pPr>
      <w:r>
        <w:rPr>
          <w:rFonts w:hint="eastAsia"/>
        </w:rPr>
        <w:t>《危险废物填埋污染控制标准》（GB18598-2001）</w:t>
      </w:r>
    </w:p>
    <w:p>
      <w:pPr>
        <w:spacing w:before="156" w:after="156"/>
        <w:ind w:firstLine="420"/>
      </w:pPr>
      <w:r>
        <w:rPr>
          <w:rFonts w:hint="eastAsia"/>
        </w:rPr>
        <w:t>《危险废物焚烧污染控制标准》（GB18484-2001）</w:t>
      </w:r>
    </w:p>
    <w:p>
      <w:pPr>
        <w:spacing w:before="156" w:after="156"/>
        <w:ind w:firstLine="420"/>
      </w:pPr>
      <w:r>
        <w:rPr>
          <w:rFonts w:hint="eastAsia"/>
        </w:rPr>
        <w:t>《一般工业固体废物贮存、处置场污染控制标准》（</w:t>
      </w:r>
      <w:r>
        <w:t>GB18599-2001</w:t>
      </w:r>
      <w:r>
        <w:rPr>
          <w:rFonts w:hint="eastAsia"/>
        </w:rPr>
        <w:t>）</w:t>
      </w:r>
    </w:p>
    <w:p>
      <w:pPr>
        <w:spacing w:before="156" w:after="156"/>
        <w:ind w:firstLine="420"/>
      </w:pPr>
    </w:p>
    <w:p>
      <w:pPr>
        <w:widowControl/>
        <w:autoSpaceDE/>
        <w:autoSpaceDN/>
        <w:spacing w:before="0" w:beforeLines="0" w:after="0" w:afterLines="0" w:line="240" w:lineRule="auto"/>
        <w:ind w:firstLine="0" w:firstLineChars="0"/>
      </w:pPr>
      <w:r>
        <w:br w:type="page"/>
      </w:r>
    </w:p>
    <w:p>
      <w:pPr>
        <w:pStyle w:val="2"/>
        <w:spacing w:before="156" w:after="156"/>
        <w:ind w:firstLine="883"/>
        <w:rPr>
          <w:lang w:val="zh-CN"/>
        </w:rPr>
      </w:pPr>
      <w:bookmarkStart w:id="78" w:name="_Toc108109710"/>
      <w:r>
        <w:rPr>
          <w:rFonts w:hint="eastAsia"/>
          <w:lang w:val="zh-CN"/>
        </w:rPr>
        <w:t>第二章 区域环境概况</w:t>
      </w:r>
      <w:bookmarkEnd w:id="78"/>
    </w:p>
    <w:p>
      <w:pPr>
        <w:pStyle w:val="3"/>
        <w:spacing w:before="156" w:after="156"/>
        <w:ind w:firstLine="562"/>
        <w:rPr>
          <w:lang w:val="zh-CN"/>
        </w:rPr>
      </w:pPr>
      <w:bookmarkStart w:id="79" w:name="_Toc108109711"/>
      <w:r>
        <w:rPr>
          <w:rFonts w:hint="eastAsia"/>
          <w:lang w:val="zh-CN"/>
        </w:rPr>
        <w:t>2</w:t>
      </w:r>
      <w:r>
        <w:rPr>
          <w:lang w:val="zh-CN"/>
        </w:rPr>
        <w:t xml:space="preserve">.1 </w:t>
      </w:r>
      <w:r>
        <w:rPr>
          <w:rFonts w:hint="eastAsia"/>
          <w:lang w:val="zh-CN"/>
        </w:rPr>
        <w:t>自然环境概况</w:t>
      </w:r>
      <w:bookmarkEnd w:id="79"/>
    </w:p>
    <w:p>
      <w:pPr>
        <w:pStyle w:val="4"/>
        <w:spacing w:before="156" w:after="156"/>
        <w:ind w:firstLine="482"/>
        <w:rPr>
          <w:lang w:val="zh-CN"/>
        </w:rPr>
      </w:pPr>
      <w:bookmarkStart w:id="80" w:name="_Toc108109712"/>
      <w:r>
        <w:rPr>
          <w:rFonts w:hint="eastAsia"/>
          <w:lang w:val="zh-CN"/>
        </w:rPr>
        <w:t>2</w:t>
      </w:r>
      <w:r>
        <w:rPr>
          <w:lang w:val="zh-CN"/>
        </w:rPr>
        <w:t xml:space="preserve">.1.1 </w:t>
      </w:r>
      <w:r>
        <w:rPr>
          <w:rFonts w:hint="eastAsia"/>
          <w:lang w:val="zh-CN"/>
        </w:rPr>
        <w:t>地理位置</w:t>
      </w:r>
      <w:bookmarkEnd w:id="80"/>
    </w:p>
    <w:p>
      <w:pPr>
        <w:spacing w:before="156" w:after="156"/>
        <w:ind w:firstLine="420"/>
      </w:pPr>
      <w:r>
        <w:rPr>
          <w:rFonts w:hint="eastAsia"/>
        </w:rPr>
        <w:t>重庆白涛化工园区是重庆市特色工业园区规划建设领导小组于2</w:t>
      </w:r>
      <w:r>
        <w:t>006</w:t>
      </w:r>
      <w:r>
        <w:rPr>
          <w:rFonts w:hint="eastAsia"/>
        </w:rPr>
        <w:t>年1</w:t>
      </w:r>
      <w:r>
        <w:t>2</w:t>
      </w:r>
      <w:r>
        <w:rPr>
          <w:rFonts w:hint="eastAsia"/>
        </w:rPr>
        <w:t>月批准设立的市级特色工业园区，是重庆市政府规划建设的三大化工园区之一，园区位于乌江东岸，距白涛老镇1</w:t>
      </w:r>
      <w:r>
        <w:t>.5</w:t>
      </w:r>
      <w:r>
        <w:rPr>
          <w:rFonts w:hint="eastAsia"/>
        </w:rPr>
        <w:t>km（直线距离），新镇约2</w:t>
      </w:r>
      <w:r>
        <w:t>.5km</w:t>
      </w:r>
      <w:r>
        <w:rPr>
          <w:rFonts w:hint="eastAsia"/>
        </w:rPr>
        <w:t>（西岸），距涪陵城区约2</w:t>
      </w:r>
      <w:r>
        <w:t>6</w:t>
      </w:r>
      <w:r>
        <w:rPr>
          <w:rFonts w:hint="eastAsia"/>
        </w:rPr>
        <w:t>km，距渝怀铁路白涛火车站约3km，距其现有码头作业区约1km。同时拥有天然的自然保护屏障，利于发展化工项目。</w:t>
      </w:r>
    </w:p>
    <w:p>
      <w:pPr>
        <w:spacing w:before="156" w:after="156"/>
        <w:ind w:firstLine="420"/>
        <w:jc w:val="center"/>
      </w:pPr>
      <w:r>
        <w:drawing>
          <wp:inline distT="0" distB="0" distL="0" distR="0">
            <wp:extent cx="4378960" cy="2756535"/>
            <wp:effectExtent l="0" t="0" r="254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4386941" cy="2761249"/>
                    </a:xfrm>
                    <a:prstGeom prst="rect">
                      <a:avLst/>
                    </a:prstGeom>
                  </pic:spPr>
                </pic:pic>
              </a:graphicData>
            </a:graphic>
          </wp:inline>
        </w:drawing>
      </w:r>
    </w:p>
    <w:p>
      <w:pPr>
        <w:spacing w:before="156" w:after="156"/>
        <w:ind w:firstLine="361"/>
        <w:jc w:val="center"/>
        <w:rPr>
          <w:rFonts w:ascii="宋体" w:hAnsi="宋体"/>
          <w:b/>
          <w:sz w:val="18"/>
          <w:szCs w:val="18"/>
        </w:rPr>
      </w:pPr>
      <w:r>
        <w:rPr>
          <w:rFonts w:hint="eastAsia" w:ascii="宋体" w:hAnsi="宋体"/>
          <w:b/>
          <w:sz w:val="18"/>
          <w:szCs w:val="18"/>
        </w:rPr>
        <w:t>图2</w:t>
      </w:r>
      <w:r>
        <w:rPr>
          <w:rFonts w:ascii="宋体" w:hAnsi="宋体"/>
          <w:b/>
          <w:sz w:val="18"/>
          <w:szCs w:val="18"/>
        </w:rPr>
        <w:t xml:space="preserve">-1 </w:t>
      </w:r>
      <w:r>
        <w:rPr>
          <w:rFonts w:hint="eastAsia" w:ascii="宋体" w:hAnsi="宋体"/>
          <w:b/>
          <w:sz w:val="18"/>
          <w:szCs w:val="18"/>
        </w:rPr>
        <w:t>项目厂址所在地</w:t>
      </w:r>
    </w:p>
    <w:p>
      <w:pPr>
        <w:pStyle w:val="4"/>
        <w:spacing w:before="156" w:after="156"/>
        <w:ind w:firstLine="482"/>
        <w:rPr>
          <w:lang w:val="zh-CN"/>
        </w:rPr>
      </w:pPr>
      <w:bookmarkStart w:id="81" w:name="_Toc108109713"/>
      <w:r>
        <w:rPr>
          <w:rFonts w:hint="eastAsia"/>
          <w:lang w:val="zh-CN"/>
        </w:rPr>
        <w:t>2</w:t>
      </w:r>
      <w:r>
        <w:rPr>
          <w:lang w:val="zh-CN"/>
        </w:rPr>
        <w:t xml:space="preserve">.1.2 </w:t>
      </w:r>
      <w:r>
        <w:rPr>
          <w:rFonts w:hint="eastAsia"/>
          <w:lang w:val="zh-CN"/>
        </w:rPr>
        <w:t>地质地貌</w:t>
      </w:r>
      <w:bookmarkEnd w:id="81"/>
    </w:p>
    <w:p>
      <w:pPr>
        <w:autoSpaceDE/>
        <w:autoSpaceDN/>
        <w:spacing w:before="120" w:beforeLines="0" w:after="120" w:afterLines="0"/>
        <w:ind w:firstLine="420"/>
        <w:jc w:val="both"/>
        <w:rPr>
          <w:rFonts w:ascii="Times New Roman" w:hAnsi="Times New Roman" w:cs="Times New Roman"/>
          <w:kern w:val="2"/>
          <w:szCs w:val="21"/>
        </w:rPr>
      </w:pPr>
      <w:bookmarkStart w:id="82" w:name="_Hlk141108739"/>
      <w:r>
        <w:rPr>
          <w:rFonts w:hint="eastAsia" w:ascii="Times New Roman" w:hAnsi="Times New Roman" w:cs="Times New Roman"/>
          <w:kern w:val="2"/>
          <w:szCs w:val="21"/>
        </w:rPr>
        <w:t>本项目位于重庆市，园区位于重庆市涪陵区，涪陵区位于四川盆地东南边缘，区境处于四川盆地东部的“盆东平行岭谷区”与“巫山大娄山中山区”过渡地带，一般海拔为</w:t>
      </w:r>
      <w:r>
        <w:rPr>
          <w:rFonts w:ascii="Times New Roman" w:hAnsi="Times New Roman" w:cs="Times New Roman"/>
          <w:kern w:val="2"/>
          <w:szCs w:val="21"/>
        </w:rPr>
        <w:t>200—800米。地形总体趋势：西北部地势较低，多为河谷丘陵、低山；东南部较高，多为丘陵山地。由于岩性和地质构造上的差异，区境呈现两类迥然不同的地貌景观。西北部碎屑岩广泛分布，属盆东平行岭谷范围，以构造剥蚀地貌为主，河谷为宽谷；东南部大片出露炭酸盐地层，属南北经向构造体系，以岩溶地貌为主，河谷多为窄谷。</w:t>
      </w:r>
    </w:p>
    <w:bookmarkEnd w:id="82"/>
    <w:p>
      <w:pPr>
        <w:pStyle w:val="4"/>
        <w:spacing w:before="156" w:after="156"/>
        <w:ind w:firstLine="482"/>
        <w:rPr>
          <w:lang w:val="zh-CN"/>
        </w:rPr>
      </w:pPr>
      <w:bookmarkStart w:id="83" w:name="_Toc108109714"/>
      <w:r>
        <w:rPr>
          <w:rFonts w:hint="eastAsia"/>
          <w:lang w:val="zh-CN"/>
        </w:rPr>
        <w:t>2</w:t>
      </w:r>
      <w:r>
        <w:rPr>
          <w:lang w:val="zh-CN"/>
        </w:rPr>
        <w:t xml:space="preserve">.1.3 </w:t>
      </w:r>
      <w:r>
        <w:rPr>
          <w:rFonts w:hint="eastAsia"/>
          <w:lang w:val="zh-CN"/>
        </w:rPr>
        <w:t>气候、气象条件</w:t>
      </w:r>
      <w:bookmarkEnd w:id="83"/>
    </w:p>
    <w:p>
      <w:pPr>
        <w:autoSpaceDE/>
        <w:autoSpaceDN/>
        <w:spacing w:before="0" w:beforeLines="0" w:after="0" w:afterLines="0"/>
        <w:ind w:firstLine="420"/>
        <w:jc w:val="both"/>
        <w:rPr>
          <w:rFonts w:ascii="Times New Roman" w:hAnsi="Times New Roman" w:cs="Times New Roman"/>
          <w:kern w:val="2"/>
        </w:rPr>
      </w:pPr>
      <w:r>
        <w:rPr>
          <w:rFonts w:hint="eastAsia" w:ascii="Times New Roman" w:hAnsi="Times New Roman" w:cs="Times New Roman"/>
          <w:kern w:val="2"/>
        </w:rPr>
        <w:t>重庆涪陵区年平均气温：</w:t>
      </w:r>
      <w:r>
        <w:rPr>
          <w:rFonts w:ascii="Times New Roman" w:hAnsi="Times New Roman" w:cs="Times New Roman"/>
          <w:kern w:val="2"/>
        </w:rPr>
        <w:t xml:space="preserve">18.1℃ </w:t>
      </w:r>
      <w:r>
        <w:rPr>
          <w:rFonts w:hint="eastAsia" w:ascii="Times New Roman" w:hAnsi="Times New Roman" w:cs="Times New Roman"/>
          <w:kern w:val="2"/>
        </w:rPr>
        <w:t>，</w:t>
      </w:r>
      <w:r>
        <w:rPr>
          <w:rFonts w:ascii="Times New Roman" w:hAnsi="Times New Roman" w:cs="Times New Roman"/>
          <w:kern w:val="2"/>
        </w:rPr>
        <w:t xml:space="preserve"> 年平均最高气温：22℃</w:t>
      </w:r>
      <w:r>
        <w:rPr>
          <w:rFonts w:hint="eastAsia" w:ascii="Times New Roman" w:hAnsi="Times New Roman" w:cs="Times New Roman"/>
          <w:kern w:val="2"/>
        </w:rPr>
        <w:t>，</w:t>
      </w:r>
      <w:r>
        <w:rPr>
          <w:rFonts w:ascii="Times New Roman" w:hAnsi="Times New Roman" w:cs="Times New Roman"/>
          <w:kern w:val="2"/>
        </w:rPr>
        <w:t>年平均最低气温：15℃</w:t>
      </w:r>
      <w:r>
        <w:rPr>
          <w:rFonts w:hint="eastAsia" w:ascii="Times New Roman" w:hAnsi="Times New Roman" w:cs="Times New Roman"/>
          <w:kern w:val="2"/>
        </w:rPr>
        <w:t>，年平均降水量约为</w:t>
      </w:r>
      <w:r>
        <w:rPr>
          <w:rFonts w:ascii="Times New Roman" w:hAnsi="Times New Roman" w:cs="Times New Roman"/>
          <w:kern w:val="2"/>
        </w:rPr>
        <w:t>1094毫米</w:t>
      </w:r>
      <w:r>
        <w:rPr>
          <w:rFonts w:hint="eastAsia" w:ascii="Times New Roman" w:hAnsi="Times New Roman" w:cs="Times New Roman"/>
          <w:kern w:val="2"/>
        </w:rPr>
        <w:t>，年日照时长为</w:t>
      </w:r>
      <w:r>
        <w:rPr>
          <w:rFonts w:ascii="Times New Roman" w:hAnsi="Times New Roman" w:cs="Times New Roman"/>
        </w:rPr>
        <w:t>1248小时</w:t>
      </w:r>
      <w:r>
        <w:rPr>
          <w:rFonts w:hint="eastAsia" w:ascii="Times New Roman" w:hAnsi="Times New Roman" w:cs="Times New Roman"/>
        </w:rPr>
        <w:t>，重庆市涪陵区夏季的主导风向为东南风。夏季是热带季风气候的影响下，东南风是主要的季风风向，带来了湿润的空气和降雨。这种东南风在夏季通常较为稳定，对涪陵区的气候和气象条件有一定的影响。重庆市涪陵区冬季的主导风向为北风。</w:t>
      </w:r>
      <w:r>
        <w:rPr>
          <w:rFonts w:ascii="Times New Roman" w:hAnsi="Times New Roman" w:cs="Times New Roman"/>
        </w:rPr>
        <w:t xml:space="preserve"> 冬季的气温随海拔高度升高而下降，每升高1000米，气温大约下降6℃。在冷空气影响且有降水条件时，重庆高海拔山区容易出现降雪。</w:t>
      </w:r>
    </w:p>
    <w:p>
      <w:pPr>
        <w:spacing w:before="156" w:after="156"/>
        <w:ind w:firstLine="420"/>
      </w:pPr>
      <w:r>
        <w:t>重庆市年平均相对湿度多在70%~80%，在中国属高湿区。年日照时数1000~1400小时，日照百分率仅为25%~35%，为中国年日照最少的地区之一，冬、春季日照更少，仅占全年的35%左右。主要气候特点可以概括为：冬暖春早，夏热秋凉，四季分明</w:t>
      </w:r>
      <w:r>
        <w:rPr>
          <w:rFonts w:hint="eastAsia"/>
        </w:rPr>
        <w:t>，无霜期长；空气湿润，降水丰沛；太阳辐射弱，日照时间短；多云雾，少霜雪；光温水同季，立体气候显著，气候资源丰富。</w:t>
      </w:r>
    </w:p>
    <w:p>
      <w:pPr>
        <w:pStyle w:val="4"/>
        <w:spacing w:before="156" w:after="156"/>
        <w:ind w:firstLine="482"/>
        <w:rPr>
          <w:lang w:val="zh-CN"/>
        </w:rPr>
      </w:pPr>
      <w:bookmarkStart w:id="84" w:name="_Toc108109715"/>
      <w:r>
        <w:rPr>
          <w:rFonts w:hint="eastAsia"/>
          <w:lang w:val="zh-CN"/>
        </w:rPr>
        <w:t>2</w:t>
      </w:r>
      <w:r>
        <w:rPr>
          <w:lang w:val="zh-CN"/>
        </w:rPr>
        <w:t xml:space="preserve">.1.4 </w:t>
      </w:r>
      <w:r>
        <w:rPr>
          <w:rFonts w:hint="eastAsia"/>
          <w:lang w:val="zh-CN"/>
        </w:rPr>
        <w:t>水文</w:t>
      </w:r>
      <w:bookmarkEnd w:id="84"/>
    </w:p>
    <w:p>
      <w:pPr>
        <w:autoSpaceDE/>
        <w:autoSpaceDN/>
        <w:spacing w:before="120" w:beforeLines="0" w:after="120" w:afterLines="0"/>
        <w:ind w:firstLine="420"/>
        <w:jc w:val="both"/>
        <w:rPr>
          <w:rFonts w:ascii="Times New Roman" w:hAnsi="Times New Roman" w:cs="Times New Roman"/>
          <w:kern w:val="2"/>
          <w:szCs w:val="21"/>
        </w:rPr>
      </w:pPr>
      <w:bookmarkStart w:id="85" w:name="_Hlk141108822"/>
      <w:r>
        <w:rPr>
          <w:rFonts w:hint="eastAsia" w:ascii="Times New Roman" w:hAnsi="Times New Roman" w:cs="Times New Roman"/>
          <w:kern w:val="2"/>
          <w:szCs w:val="21"/>
        </w:rPr>
        <w:t>降水情况：四季降雨量分配，夏秋两季最多，占全年的</w:t>
      </w:r>
      <w:r>
        <w:rPr>
          <w:rFonts w:ascii="Times New Roman" w:hAnsi="Times New Roman" w:cs="Times New Roman"/>
          <w:kern w:val="2"/>
          <w:szCs w:val="21"/>
        </w:rPr>
        <w:t>66％；冬春次之， 占34％。</w:t>
      </w:r>
      <w:r>
        <w:rPr>
          <w:rFonts w:hint="eastAsia" w:ascii="Times New Roman" w:hAnsi="Times New Roman" w:cs="Times New Roman"/>
          <w:kern w:val="2"/>
          <w:szCs w:val="21"/>
        </w:rPr>
        <w:t>涪陵区水域面积</w:t>
      </w:r>
      <w:r>
        <w:rPr>
          <w:rFonts w:ascii="Times New Roman" w:hAnsi="Times New Roman" w:cs="Times New Roman"/>
          <w:kern w:val="2"/>
          <w:szCs w:val="21"/>
        </w:rPr>
        <w:t>209.27平方公里（不含水工建筑占地），占总幅员面积的7.1％。其中河流178.8平方公里、水库13.07平方公里、坑塘16.33平方公里、沟渠1.07平方公里。据调查测算，全区当地水资源总量24.91亿立方米（多年平均量），每平方公里84.57万立方米。</w:t>
      </w:r>
    </w:p>
    <w:p>
      <w:pPr>
        <w:autoSpaceDE/>
        <w:autoSpaceDN/>
        <w:spacing w:before="120" w:beforeLines="0" w:after="120" w:afterLines="0"/>
        <w:ind w:firstLine="420"/>
        <w:jc w:val="both"/>
        <w:rPr>
          <w:rFonts w:ascii="Times New Roman" w:hAnsi="Times New Roman" w:cs="Times New Roman"/>
          <w:kern w:val="2"/>
          <w:szCs w:val="21"/>
        </w:rPr>
      </w:pPr>
      <w:r>
        <w:rPr>
          <w:rFonts w:ascii="Times New Roman" w:hAnsi="Times New Roman" w:cs="Times New Roman"/>
          <w:kern w:val="2"/>
          <w:szCs w:val="21"/>
        </w:rPr>
        <w:t>境内有长江、乌江水系。长江涪陵段主要支流有梨香（黎乡、梨乡）溪、油江河、同乐河、清溪沟、止桥河、渠溪河、碧溪河，乌江涪陵段主要支流有小溪、后溪、麻溪河。</w:t>
      </w:r>
      <w:r>
        <w:rPr>
          <w:rFonts w:hint="eastAsia" w:ascii="Times New Roman" w:hAnsi="Times New Roman" w:cs="Times New Roman"/>
          <w:kern w:val="2"/>
          <w:szCs w:val="21"/>
        </w:rPr>
        <w:t>乌江是长江上游南岸最大支流，乌江流经涪陵区之后注入长江，干流全长约1</w:t>
      </w:r>
      <w:r>
        <w:rPr>
          <w:rFonts w:ascii="Times New Roman" w:hAnsi="Times New Roman" w:cs="Times New Roman"/>
          <w:kern w:val="2"/>
          <w:szCs w:val="21"/>
        </w:rPr>
        <w:t>037</w:t>
      </w:r>
      <w:r>
        <w:rPr>
          <w:rFonts w:hint="eastAsia" w:ascii="Times New Roman" w:hAnsi="Times New Roman" w:cs="Times New Roman"/>
          <w:kern w:val="2"/>
          <w:szCs w:val="21"/>
        </w:rPr>
        <w:t>km，流域面积可达8</w:t>
      </w:r>
      <w:r>
        <w:rPr>
          <w:rFonts w:ascii="Times New Roman" w:hAnsi="Times New Roman" w:cs="Times New Roman"/>
          <w:kern w:val="2"/>
          <w:szCs w:val="21"/>
        </w:rPr>
        <w:t>.792</w:t>
      </w:r>
      <w:r>
        <w:rPr>
          <w:rFonts w:hint="eastAsia" w:ascii="Times New Roman" w:hAnsi="Times New Roman" w:cs="Times New Roman"/>
          <w:kern w:val="2"/>
          <w:szCs w:val="21"/>
        </w:rPr>
        <w:t>万km</w:t>
      </w:r>
      <w:r>
        <w:rPr>
          <w:rFonts w:ascii="Times New Roman" w:hAnsi="Times New Roman" w:cs="Times New Roman"/>
          <w:kern w:val="2"/>
          <w:szCs w:val="21"/>
          <w:vertAlign w:val="superscript"/>
        </w:rPr>
        <w:t>2</w:t>
      </w:r>
      <w:r>
        <w:rPr>
          <w:rFonts w:hint="eastAsia" w:ascii="Times New Roman" w:hAnsi="Times New Roman" w:cs="Times New Roman"/>
          <w:kern w:val="2"/>
          <w:szCs w:val="21"/>
        </w:rPr>
        <w:t>，乌江水系整体呈现羽状分布的特征。</w:t>
      </w:r>
    </w:p>
    <w:p>
      <w:pPr>
        <w:autoSpaceDE/>
        <w:autoSpaceDN/>
        <w:spacing w:before="120" w:beforeLines="0" w:after="120" w:afterLines="0"/>
        <w:ind w:firstLine="420"/>
        <w:jc w:val="both"/>
        <w:rPr>
          <w:rFonts w:ascii="Times New Roman" w:hAnsi="Times New Roman" w:cs="Times New Roman"/>
          <w:kern w:val="2"/>
          <w:szCs w:val="21"/>
        </w:rPr>
      </w:pPr>
      <w:r>
        <w:rPr>
          <w:rFonts w:hint="eastAsia" w:ascii="Times New Roman" w:hAnsi="Times New Roman" w:cs="Times New Roman"/>
          <w:kern w:val="2"/>
          <w:szCs w:val="21"/>
        </w:rPr>
        <w:t>水电资源：区境河流多年平均径流量</w:t>
      </w:r>
      <w:r>
        <w:rPr>
          <w:rFonts w:ascii="Times New Roman" w:hAnsi="Times New Roman" w:cs="Times New Roman"/>
          <w:kern w:val="2"/>
          <w:szCs w:val="21"/>
        </w:rPr>
        <w:t>4023.7亿立方米（含长江和乌江）。区境溪河自然落差大，水能资源丰富，电力工业超前发展，地方电网自成体系，电力供应自给有余。</w:t>
      </w:r>
    </w:p>
    <w:p>
      <w:pPr>
        <w:autoSpaceDE/>
        <w:autoSpaceDN/>
        <w:spacing w:before="120" w:beforeLines="0" w:after="120" w:afterLines="0"/>
        <w:ind w:firstLine="420"/>
        <w:jc w:val="both"/>
        <w:rPr>
          <w:rFonts w:ascii="Times New Roman" w:hAnsi="Times New Roman" w:cs="Times New Roman"/>
          <w:kern w:val="2"/>
          <w:szCs w:val="21"/>
        </w:rPr>
      </w:pPr>
      <w:r>
        <w:rPr>
          <w:rFonts w:hint="eastAsia" w:ascii="Times New Roman" w:hAnsi="Times New Roman" w:cs="Times New Roman"/>
          <w:kern w:val="2"/>
          <w:szCs w:val="21"/>
        </w:rPr>
        <w:t>河流：境内长江流程</w:t>
      </w:r>
      <w:r>
        <w:rPr>
          <w:rFonts w:ascii="Times New Roman" w:hAnsi="Times New Roman" w:cs="Times New Roman"/>
          <w:kern w:val="2"/>
          <w:szCs w:val="21"/>
        </w:rPr>
        <w:t>77千米，乌江流程33千米。汇入长江的一级支流有35条，其中流域面积大于100平方公里的河流有乌江、梨香溪、小溪、渠溪河等12条。</w:t>
      </w:r>
    </w:p>
    <w:p>
      <w:pPr>
        <w:autoSpaceDE/>
        <w:autoSpaceDN/>
        <w:spacing w:before="120" w:beforeLines="0" w:after="120" w:afterLines="0"/>
        <w:ind w:firstLine="420"/>
        <w:jc w:val="both"/>
        <w:rPr>
          <w:rFonts w:ascii="Times New Roman" w:hAnsi="Times New Roman" w:cs="Times New Roman"/>
          <w:kern w:val="2"/>
          <w:szCs w:val="21"/>
        </w:rPr>
      </w:pPr>
      <w:r>
        <w:rPr>
          <w:rFonts w:hint="eastAsia" w:ascii="Times New Roman" w:hAnsi="Times New Roman" w:cs="Times New Roman"/>
          <w:kern w:val="2"/>
          <w:szCs w:val="21"/>
        </w:rPr>
        <w:t>地下水：涪陵区的地下水资源总量：枯水期（频率</w:t>
      </w:r>
      <w:r>
        <w:rPr>
          <w:rFonts w:ascii="Times New Roman" w:hAnsi="Times New Roman" w:cs="Times New Roman"/>
          <w:kern w:val="2"/>
          <w:szCs w:val="21"/>
        </w:rPr>
        <w:t>75％）为1.43亿立方米，多年平均4.51亿立方米。区境已查明的暗河有8条，均分布在三迭系嘉陵江组灰岩中，为顺层发育；总长度27.2千米，平均每条长3.4千米，最枯总流量707.02升/秒，平均每条88.38升/秒。岩溶大泉21个，正常流量为659.81升/秒，平均每个31.42升/秒。暗河及大泉总流量1366.83升/秒，占全区岩溶地下水流量的11.6％。</w:t>
      </w:r>
    </w:p>
    <w:bookmarkEnd w:id="85"/>
    <w:p>
      <w:pPr>
        <w:pStyle w:val="3"/>
        <w:spacing w:before="156" w:after="156"/>
        <w:ind w:firstLine="562"/>
        <w:rPr>
          <w:lang w:val="zh-CN"/>
        </w:rPr>
      </w:pPr>
      <w:bookmarkStart w:id="86" w:name="_Toc108109716"/>
      <w:r>
        <w:rPr>
          <w:rFonts w:hint="eastAsia"/>
          <w:lang w:val="zh-CN"/>
        </w:rPr>
        <w:t>2</w:t>
      </w:r>
      <w:r>
        <w:rPr>
          <w:lang w:val="zh-CN"/>
        </w:rPr>
        <w:t xml:space="preserve">.2 </w:t>
      </w:r>
      <w:r>
        <w:rPr>
          <w:rFonts w:hint="eastAsia"/>
          <w:lang w:val="zh-CN"/>
        </w:rPr>
        <w:t>社会环境概况</w:t>
      </w:r>
      <w:bookmarkEnd w:id="86"/>
    </w:p>
    <w:p>
      <w:pPr>
        <w:pStyle w:val="4"/>
        <w:spacing w:before="156" w:after="156"/>
        <w:ind w:firstLine="482"/>
        <w:rPr>
          <w:lang w:val="zh-CN"/>
        </w:rPr>
      </w:pPr>
      <w:bookmarkStart w:id="87" w:name="_Toc108109717"/>
      <w:r>
        <w:rPr>
          <w:rFonts w:hint="eastAsia"/>
          <w:lang w:val="zh-CN"/>
        </w:rPr>
        <w:t>2</w:t>
      </w:r>
      <w:r>
        <w:rPr>
          <w:lang w:val="zh-CN"/>
        </w:rPr>
        <w:t xml:space="preserve">.2.1 </w:t>
      </w:r>
      <w:r>
        <w:rPr>
          <w:rFonts w:hint="eastAsia"/>
          <w:lang w:val="zh-CN"/>
        </w:rPr>
        <w:t>经济概况</w:t>
      </w:r>
      <w:bookmarkEnd w:id="87"/>
    </w:p>
    <w:p>
      <w:pPr>
        <w:spacing w:before="156" w:after="156"/>
        <w:ind w:firstLine="420"/>
      </w:pPr>
      <w:r>
        <w:rPr>
          <w:rFonts w:hint="eastAsia"/>
        </w:rPr>
        <w:t>重庆是中国西南地区的经济中心，也是中国内陆开放城市之一，近年来重庆的经济发展呈现出快速增长的趋势，2</w:t>
      </w:r>
      <w:r>
        <w:t>019</w:t>
      </w:r>
      <w:r>
        <w:rPr>
          <w:rFonts w:hint="eastAsia"/>
        </w:rPr>
        <w:t>年，重庆市地区生产总值达到2</w:t>
      </w:r>
      <w:r>
        <w:t>.76</w:t>
      </w:r>
      <w:r>
        <w:rPr>
          <w:rFonts w:hint="eastAsia"/>
        </w:rPr>
        <w:t>万亿元，同比增长6</w:t>
      </w:r>
      <w:r>
        <w:t>.2%</w:t>
      </w:r>
      <w:r>
        <w:rPr>
          <w:rFonts w:hint="eastAsia"/>
        </w:rPr>
        <w:t>，其中第一产业增加值为3</w:t>
      </w:r>
      <w:r>
        <w:t>07.5</w:t>
      </w:r>
      <w:r>
        <w:rPr>
          <w:rFonts w:hint="eastAsia"/>
        </w:rPr>
        <w:t>亿元，同比增长3</w:t>
      </w:r>
      <w:r>
        <w:t>.1%</w:t>
      </w:r>
      <w:r>
        <w:rPr>
          <w:rFonts w:hint="eastAsia"/>
        </w:rPr>
        <w:t>；第二产业增加值为1</w:t>
      </w:r>
      <w:r>
        <w:t>.28</w:t>
      </w:r>
      <w:r>
        <w:rPr>
          <w:rFonts w:hint="eastAsia"/>
        </w:rPr>
        <w:t>万亿元，同比增长6</w:t>
      </w:r>
      <w:r>
        <w:t>.1%</w:t>
      </w:r>
      <w:r>
        <w:rPr>
          <w:rFonts w:hint="eastAsia"/>
        </w:rPr>
        <w:t>；第三产业增加值为1</w:t>
      </w:r>
      <w:r>
        <w:t>.17</w:t>
      </w:r>
      <w:r>
        <w:rPr>
          <w:rFonts w:hint="eastAsia"/>
        </w:rPr>
        <w:t>万亿元，同比增长6</w:t>
      </w:r>
      <w:r>
        <w:t>.5%</w:t>
      </w:r>
      <w:r>
        <w:rPr>
          <w:rFonts w:hint="eastAsia"/>
        </w:rPr>
        <w:t>。重庆的经济总量和增速均位于中国西南地区前列。</w:t>
      </w:r>
    </w:p>
    <w:p>
      <w:pPr>
        <w:spacing w:before="156" w:after="156"/>
        <w:ind w:firstLine="420"/>
      </w:pPr>
      <w:r>
        <w:rPr>
          <w:rFonts w:hint="eastAsia"/>
        </w:rPr>
        <w:t>重庆的产业结构也在不断优化，重庆市政府提出“三化一提升”战略，即“产业化、城市化、生态化”和“提升服务业水平”。在产业方面，重庆正在加快推进新一代信息技术、高端装备制造、新材料、新能源等战略性新兴产业的发展。同时重庆也在加强传统产业的转型升级，如钢铁、化工、治金等行业。</w:t>
      </w:r>
    </w:p>
    <w:p>
      <w:pPr>
        <w:pStyle w:val="4"/>
        <w:spacing w:before="156" w:after="156"/>
        <w:ind w:firstLine="482"/>
        <w:rPr>
          <w:lang w:val="zh-CN"/>
        </w:rPr>
      </w:pPr>
      <w:bookmarkStart w:id="88" w:name="_Toc108109718"/>
      <w:r>
        <w:rPr>
          <w:rFonts w:hint="eastAsia"/>
          <w:lang w:val="zh-CN"/>
        </w:rPr>
        <w:t>2</w:t>
      </w:r>
      <w:r>
        <w:rPr>
          <w:lang w:val="zh-CN"/>
        </w:rPr>
        <w:t xml:space="preserve">.2.2 </w:t>
      </w:r>
      <w:r>
        <w:rPr>
          <w:rFonts w:hint="eastAsia"/>
          <w:lang w:val="zh-CN"/>
        </w:rPr>
        <w:t>交通概况</w:t>
      </w:r>
      <w:bookmarkEnd w:id="88"/>
    </w:p>
    <w:p>
      <w:pPr>
        <w:spacing w:before="156" w:after="156"/>
        <w:ind w:firstLine="420"/>
      </w:pPr>
      <w:r>
        <w:rPr>
          <w:rFonts w:hint="eastAsia"/>
        </w:rPr>
        <w:t>重庆白涛化工园区</w:t>
      </w:r>
      <w:r>
        <w:t>的交通条件优越，交通网络比较完善</w:t>
      </w:r>
      <w:r>
        <w:rPr>
          <w:rFonts w:hint="eastAsia"/>
        </w:rPr>
        <w:t>。</w:t>
      </w:r>
    </w:p>
    <w:p>
      <w:pPr>
        <w:spacing w:before="156" w:after="156"/>
        <w:ind w:firstLine="420"/>
      </w:pPr>
    </w:p>
    <w:p>
      <w:pPr>
        <w:spacing w:before="156" w:after="156" w:line="240" w:lineRule="auto"/>
        <w:ind w:firstLine="420"/>
        <w:jc w:val="center"/>
        <w:rPr>
          <w:rFonts w:ascii="Times New Roman" w:hAnsi="Times New Roman" w:cs="Times New Roman"/>
        </w:rPr>
      </w:pPr>
      <w:r>
        <w:rPr>
          <w:rFonts w:ascii="Times New Roman" w:hAnsi="Times New Roman" w:cs="Times New Roman"/>
          <w:kern w:val="2"/>
          <w:szCs w:val="21"/>
        </w:rPr>
        <w:drawing>
          <wp:inline distT="0" distB="0" distL="0" distR="0">
            <wp:extent cx="5060950" cy="3721735"/>
            <wp:effectExtent l="0" t="0" r="635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65469" cy="3724933"/>
                    </a:xfrm>
                    <a:prstGeom prst="rect">
                      <a:avLst/>
                    </a:prstGeom>
                    <a:noFill/>
                  </pic:spPr>
                </pic:pic>
              </a:graphicData>
            </a:graphic>
          </wp:inline>
        </w:drawing>
      </w:r>
    </w:p>
    <w:p>
      <w:pPr>
        <w:spacing w:before="156" w:after="156" w:line="240" w:lineRule="auto"/>
        <w:ind w:firstLine="361"/>
        <w:jc w:val="center"/>
        <w:rPr>
          <w:rFonts w:ascii="Times New Roman" w:hAnsi="Times New Roman" w:cs="Times New Roman"/>
          <w:b/>
          <w:sz w:val="18"/>
          <w:szCs w:val="18"/>
        </w:rPr>
      </w:pPr>
      <w:r>
        <w:rPr>
          <w:rFonts w:hint="eastAsia" w:ascii="Times New Roman" w:hAnsi="Times New Roman" w:cs="Times New Roman"/>
          <w:b/>
          <w:sz w:val="18"/>
          <w:szCs w:val="18"/>
        </w:rPr>
        <w:t>图</w:t>
      </w:r>
      <w:r>
        <w:rPr>
          <w:rFonts w:ascii="Times New Roman" w:hAnsi="Times New Roman" w:cs="Times New Roman"/>
          <w:b/>
          <w:sz w:val="18"/>
          <w:szCs w:val="18"/>
        </w:rPr>
        <w:t xml:space="preserve">2-2-1 </w:t>
      </w:r>
      <w:r>
        <w:rPr>
          <w:rFonts w:hint="eastAsia" w:ascii="Times New Roman" w:hAnsi="Times New Roman" w:cs="Times New Roman"/>
          <w:b/>
          <w:sz w:val="18"/>
          <w:szCs w:val="18"/>
        </w:rPr>
        <w:t>涪陵区交通规划布局图</w:t>
      </w:r>
    </w:p>
    <w:p>
      <w:pPr>
        <w:spacing w:before="156" w:after="156"/>
        <w:ind w:firstLine="420"/>
      </w:pPr>
      <w:r>
        <w:t>包括以下方面：</w:t>
      </w:r>
    </w:p>
    <w:p>
      <w:pPr>
        <w:spacing w:before="156" w:after="156"/>
        <w:ind w:firstLine="420"/>
      </w:pPr>
    </w:p>
    <w:p>
      <w:pPr>
        <w:spacing w:before="156" w:after="156"/>
        <w:ind w:firstLine="420"/>
        <w:rPr>
          <w:rFonts w:ascii="宋体" w:hAnsi="宋体"/>
        </w:rPr>
      </w:pPr>
      <w:r>
        <w:t>（1）</w:t>
      </w:r>
      <w:r>
        <w:rPr>
          <w:rFonts w:ascii="宋体" w:hAnsi="宋体"/>
        </w:rPr>
        <w:t>公路</w:t>
      </w:r>
      <w:r>
        <w:rPr>
          <w:rFonts w:hint="eastAsia" w:ascii="宋体" w:hAnsi="宋体"/>
        </w:rPr>
        <w:t>：现有长涪高速公路直通重庆主城，在建重庆沿江高速公路</w:t>
      </w:r>
      <w:r>
        <w:rPr>
          <w:rFonts w:ascii="宋体" w:hAnsi="宋体"/>
        </w:rPr>
        <w:t>(重庆主城—涪陵—丰都-万州)、南川—涪陵高速公路(重庆三环高速公路的一部分)。规划涪陵—武隆高速公路、涪陵—重庆江北国际机场高速公路、垫江—涪陵高速公路、丰都—涪陵大木—武隆高速公路。园区内部建成武陵大道、华峰大道、石化大道、新哨路、新油路、白麻路、新盛路及华峰大道二期工程，基本形成“三横三纵”；对外连接道路有319国道和梓（里）白（涛）高速公路，连通白涛新材料科技城的城市中环高速路网已纳入规划。</w:t>
      </w:r>
    </w:p>
    <w:p>
      <w:pPr>
        <w:spacing w:before="156" w:after="156" w:line="240" w:lineRule="auto"/>
        <w:ind w:firstLine="420"/>
        <w:jc w:val="center"/>
        <w:rPr>
          <w:rFonts w:ascii="Times New Roman" w:hAnsi="Times New Roman" w:cs="Times New Roman"/>
        </w:rPr>
      </w:pPr>
      <w:r>
        <w:rPr>
          <w:rFonts w:ascii="Times New Roman" w:hAnsi="Times New Roman" w:cs="Times New Roman"/>
        </w:rPr>
        <w:drawing>
          <wp:inline distT="0" distB="0" distL="0" distR="0">
            <wp:extent cx="4213860" cy="3272155"/>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224366" cy="3280694"/>
                    </a:xfrm>
                    <a:prstGeom prst="rect">
                      <a:avLst/>
                    </a:prstGeom>
                    <a:noFill/>
                  </pic:spPr>
                </pic:pic>
              </a:graphicData>
            </a:graphic>
          </wp:inline>
        </w:drawing>
      </w:r>
    </w:p>
    <w:p>
      <w:pPr>
        <w:spacing w:before="156" w:after="156" w:line="240" w:lineRule="auto"/>
        <w:ind w:firstLine="361"/>
        <w:jc w:val="center"/>
        <w:rPr>
          <w:rFonts w:ascii="Times New Roman" w:hAnsi="Times New Roman" w:cs="Times New Roman"/>
          <w:b/>
          <w:sz w:val="18"/>
          <w:szCs w:val="18"/>
        </w:rPr>
      </w:pPr>
      <w:r>
        <w:rPr>
          <w:rFonts w:hint="eastAsia" w:ascii="Times New Roman" w:hAnsi="Times New Roman" w:cs="Times New Roman"/>
          <w:b/>
          <w:sz w:val="18"/>
          <w:szCs w:val="18"/>
        </w:rPr>
        <w:t>图</w:t>
      </w:r>
      <w:r>
        <w:rPr>
          <w:rFonts w:ascii="Times New Roman" w:hAnsi="Times New Roman" w:cs="Times New Roman"/>
          <w:b/>
          <w:sz w:val="18"/>
          <w:szCs w:val="18"/>
        </w:rPr>
        <w:t xml:space="preserve">2-2-2 </w:t>
      </w:r>
      <w:r>
        <w:rPr>
          <w:rFonts w:hint="eastAsia" w:ascii="Times New Roman" w:hAnsi="Times New Roman" w:cs="Times New Roman"/>
          <w:b/>
          <w:sz w:val="18"/>
          <w:szCs w:val="18"/>
        </w:rPr>
        <w:t>高速公路布局形态图</w:t>
      </w:r>
    </w:p>
    <w:p>
      <w:pPr>
        <w:spacing w:before="156" w:after="156"/>
        <w:ind w:firstLine="420"/>
      </w:pPr>
      <w:r>
        <w:t>（2）</w:t>
      </w:r>
      <w:r>
        <w:rPr>
          <w:rFonts w:ascii="宋体" w:hAnsi="宋体"/>
        </w:rPr>
        <w:t>铁路：</w:t>
      </w:r>
      <w:r>
        <w:rPr>
          <w:rFonts w:hint="eastAsia" w:ascii="宋体" w:hAnsi="宋体"/>
        </w:rPr>
        <w:t>拥有涪通物流危化品专用站、渝怀铁路白涛货站、白涛园区铁路专用站</w:t>
      </w:r>
      <w:r>
        <w:rPr>
          <w:rFonts w:ascii="宋体" w:hAnsi="宋体"/>
        </w:rPr>
        <w:t>3个货车站，总运能627万吨/年</w:t>
      </w:r>
      <w:r>
        <w:t>。</w:t>
      </w:r>
      <w:r>
        <w:rPr>
          <w:rFonts w:hint="eastAsia"/>
        </w:rPr>
        <w:t>现有渝怀铁路</w:t>
      </w:r>
      <w:r>
        <w:t>(国铁I级单线，境内有5个客运站：涪陵、石沱、蔺市、磨溪、白涛)、南涪铁路(国铁II级单线，已开通货运，暂未开通客运，境内有2个客运站：涪陵、梓里)。在建渝怀铁路重庆—涪陵段二线(2012年建成)、渝利铁路(国铁I级双线，2013年建成)。另规划有重庆沿江铁路、广安—涪陵铁路。</w:t>
      </w:r>
    </w:p>
    <w:p>
      <w:pPr>
        <w:spacing w:before="156" w:after="156" w:line="240" w:lineRule="auto"/>
        <w:ind w:firstLine="420"/>
        <w:jc w:val="center"/>
        <w:rPr>
          <w:rFonts w:ascii="Times New Roman" w:hAnsi="Times New Roman" w:cs="Times New Roman"/>
        </w:rPr>
      </w:pPr>
      <w:r>
        <w:drawing>
          <wp:inline distT="0" distB="0" distL="0" distR="0">
            <wp:extent cx="3616960" cy="2747010"/>
            <wp:effectExtent l="0" t="0" r="2540" b="0"/>
            <wp:docPr id="15" name="图片 15" descr="http://www.fl.gov.cn/zfxxgk_206/fdzdgknr/ghxx/zxgh/202112/W0202204213532900603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http://www.fl.gov.cn/zfxxgk_206/fdzdgknr/ghxx/zxgh/202112/W02022042135329006034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635570" cy="2760829"/>
                    </a:xfrm>
                    <a:prstGeom prst="rect">
                      <a:avLst/>
                    </a:prstGeom>
                    <a:noFill/>
                    <a:ln>
                      <a:noFill/>
                    </a:ln>
                  </pic:spPr>
                </pic:pic>
              </a:graphicData>
            </a:graphic>
          </wp:inline>
        </w:drawing>
      </w:r>
    </w:p>
    <w:p>
      <w:pPr>
        <w:spacing w:before="156" w:after="156" w:line="240" w:lineRule="auto"/>
        <w:ind w:firstLine="361"/>
        <w:jc w:val="center"/>
        <w:rPr>
          <w:rFonts w:ascii="Times New Roman" w:hAnsi="Times New Roman" w:cs="Times New Roman"/>
          <w:b/>
          <w:sz w:val="18"/>
          <w:szCs w:val="18"/>
        </w:rPr>
      </w:pPr>
      <w:r>
        <w:rPr>
          <w:rFonts w:hint="eastAsia" w:ascii="Times New Roman" w:hAnsi="Times New Roman" w:cs="Times New Roman"/>
          <w:b/>
          <w:sz w:val="18"/>
          <w:szCs w:val="18"/>
        </w:rPr>
        <w:t>图</w:t>
      </w:r>
      <w:r>
        <w:rPr>
          <w:rFonts w:ascii="Times New Roman" w:hAnsi="Times New Roman" w:cs="Times New Roman"/>
          <w:b/>
          <w:sz w:val="18"/>
          <w:szCs w:val="18"/>
        </w:rPr>
        <w:t xml:space="preserve">2-2-3 </w:t>
      </w:r>
      <w:r>
        <w:rPr>
          <w:rFonts w:hint="eastAsia" w:ascii="Times New Roman" w:hAnsi="Times New Roman" w:cs="Times New Roman"/>
          <w:b/>
          <w:sz w:val="18"/>
          <w:szCs w:val="18"/>
        </w:rPr>
        <w:t>涪陵区铁路布局形态图</w:t>
      </w:r>
    </w:p>
    <w:p>
      <w:pPr>
        <w:spacing w:before="156" w:after="156"/>
        <w:ind w:firstLine="420"/>
      </w:pPr>
      <w:r>
        <w:rPr>
          <w:rFonts w:ascii="Times New Roman" w:hAnsi="Times New Roman"/>
        </w:rPr>
        <w:t>（3）</w:t>
      </w:r>
      <w:r>
        <w:t>港运</w:t>
      </w:r>
      <w:r>
        <w:rPr>
          <w:rFonts w:hint="eastAsia"/>
        </w:rPr>
        <w:t>：现有</w:t>
      </w:r>
      <w:r>
        <w:t>23个港口，大型新建集装箱码头已投入使用。3000吨级货船全年通航，建有建峰尿素专用码头、大件码头、涪通物流固体危化品码头、涪通物流液体危化品码头、大石溪固态危化品及散杂货码头，总吞吐能力630万吨/年。</w:t>
      </w:r>
    </w:p>
    <w:p>
      <w:pPr>
        <w:pStyle w:val="4"/>
        <w:spacing w:before="156" w:after="156"/>
        <w:ind w:firstLine="482"/>
        <w:rPr>
          <w:lang w:val="zh-CN"/>
        </w:rPr>
      </w:pPr>
      <w:bookmarkStart w:id="89" w:name="_Toc108109719"/>
      <w:r>
        <w:rPr>
          <w:rFonts w:hint="eastAsia"/>
          <w:lang w:val="zh-CN"/>
        </w:rPr>
        <w:t>2</w:t>
      </w:r>
      <w:r>
        <w:rPr>
          <w:lang w:val="zh-CN"/>
        </w:rPr>
        <w:t xml:space="preserve">.2.3 </w:t>
      </w:r>
      <w:r>
        <w:rPr>
          <w:rFonts w:hint="eastAsia"/>
          <w:lang w:val="zh-CN"/>
        </w:rPr>
        <w:t>基础设施</w:t>
      </w:r>
      <w:bookmarkEnd w:id="89"/>
    </w:p>
    <w:p>
      <w:pPr>
        <w:spacing w:before="156" w:after="156"/>
        <w:ind w:firstLine="420"/>
      </w:pPr>
      <w:r>
        <w:rPr>
          <w:rFonts w:hint="eastAsia"/>
        </w:rPr>
        <w:t>本项目公用工程和配套设施中，给排水系统、供配电系统、蒸汽供应系统等，均依靠化工园区的相应外部配套设施，具体情况如表2</w:t>
      </w:r>
      <w:r>
        <w:t>-2</w:t>
      </w:r>
      <w:r>
        <w:rPr>
          <w:rFonts w:hint="eastAsia"/>
        </w:rPr>
        <w:t>所示</w:t>
      </w:r>
    </w:p>
    <w:p>
      <w:pPr>
        <w:pStyle w:val="24"/>
        <w:spacing w:before="156" w:after="156"/>
        <w:ind w:firstLine="420"/>
        <w:rPr>
          <w:rFonts w:ascii="宋体" w:hAnsi="宋体"/>
          <w:sz w:val="18"/>
          <w:szCs w:val="18"/>
        </w:rPr>
      </w:pPr>
      <w:r>
        <w:rPr>
          <w:rFonts w:hint="eastAsia" w:ascii="宋体" w:hAnsi="宋体"/>
          <w:sz w:val="18"/>
          <w:szCs w:val="18"/>
        </w:rPr>
        <w:t>表</w:t>
      </w:r>
      <w:r>
        <w:rPr>
          <w:rFonts w:ascii="宋体" w:hAnsi="宋体"/>
          <w:sz w:val="18"/>
          <w:szCs w:val="18"/>
        </w:rPr>
        <w:fldChar w:fldCharType="begin"/>
      </w:r>
      <w:r>
        <w:rPr>
          <w:rFonts w:ascii="宋体" w:hAnsi="宋体"/>
          <w:sz w:val="18"/>
          <w:szCs w:val="18"/>
        </w:rPr>
        <w:instrText xml:space="preserve"> SET myBK "一九一一年一月</w:instrText>
      </w:r>
      <w:r>
        <w:rPr>
          <w:rFonts w:ascii="宋体" w:hAnsi="宋体"/>
          <w:sz w:val="18"/>
          <w:szCs w:val="18"/>
        </w:rPr>
        <w:fldChar w:fldCharType="begin"/>
      </w:r>
      <w:r>
        <w:rPr>
          <w:rFonts w:ascii="宋体" w:hAnsi="宋体"/>
          <w:sz w:val="18"/>
          <w:szCs w:val="18"/>
        </w:rPr>
        <w:instrText xml:space="preserve"> STYLEREF 1 \s </w:instrText>
      </w:r>
      <w:r>
        <w:rPr>
          <w:rFonts w:ascii="宋体" w:hAnsi="宋体"/>
          <w:sz w:val="18"/>
          <w:szCs w:val="18"/>
        </w:rPr>
        <w:fldChar w:fldCharType="separate"/>
      </w:r>
      <w:r>
        <w:rPr>
          <w:rFonts w:hint="eastAsia" w:ascii="宋体" w:hAnsi="宋体"/>
          <w:sz w:val="18"/>
          <w:szCs w:val="18"/>
        </w:rPr>
        <w:instrText xml:space="preserve">二</w:instrText>
      </w:r>
      <w:r>
        <w:rPr>
          <w:rFonts w:ascii="宋体" w:hAnsi="宋体"/>
          <w:sz w:val="18"/>
          <w:szCs w:val="18"/>
        </w:rPr>
        <w:fldChar w:fldCharType="end"/>
      </w:r>
      <w:r>
        <w:rPr>
          <w:rFonts w:ascii="宋体" w:hAnsi="宋体"/>
          <w:sz w:val="18"/>
          <w:szCs w:val="18"/>
        </w:rPr>
        <w:instrText xml:space="preserve">日" </w:instrText>
      </w:r>
      <w:r>
        <w:rPr>
          <w:rFonts w:ascii="宋体" w:hAnsi="宋体"/>
          <w:sz w:val="18"/>
          <w:szCs w:val="18"/>
        </w:rPr>
        <w:fldChar w:fldCharType="separate"/>
      </w:r>
      <w:r>
        <w:rPr>
          <w:rFonts w:ascii="宋体" w:hAnsi="宋体"/>
          <w:sz w:val="18"/>
          <w:szCs w:val="18"/>
        </w:rPr>
        <w:t>一九一一年一月日</w:t>
      </w:r>
      <w:r>
        <w:rPr>
          <w:rFonts w:ascii="宋体" w:hAnsi="宋体"/>
          <w:sz w:val="18"/>
          <w:szCs w:val="18"/>
        </w:rPr>
        <w:fldChar w:fldCharType="end"/>
      </w:r>
      <w:r>
        <w:rPr>
          <w:rFonts w:ascii="宋体" w:hAnsi="宋体"/>
          <w:sz w:val="18"/>
          <w:szCs w:val="18"/>
        </w:rPr>
        <w:fldChar w:fldCharType="begin"/>
      </w:r>
      <w:r>
        <w:rPr>
          <w:rFonts w:ascii="宋体" w:hAnsi="宋体"/>
          <w:sz w:val="18"/>
          <w:szCs w:val="18"/>
        </w:rPr>
        <w:instrText xml:space="preserve"> myBK \@ "D" </w:instrText>
      </w:r>
      <w:r>
        <w:rPr>
          <w:rFonts w:ascii="宋体" w:hAnsi="宋体"/>
          <w:sz w:val="18"/>
          <w:szCs w:val="18"/>
        </w:rPr>
        <w:fldChar w:fldCharType="separate"/>
      </w:r>
      <w:r>
        <w:rPr>
          <w:rFonts w:ascii="宋体" w:hAnsi="宋体"/>
          <w:sz w:val="18"/>
          <w:szCs w:val="18"/>
        </w:rPr>
        <w:t>2</w:t>
      </w:r>
      <w:r>
        <w:rPr>
          <w:rFonts w:ascii="宋体" w:hAnsi="宋体"/>
          <w:sz w:val="18"/>
          <w:szCs w:val="18"/>
        </w:rPr>
        <w:fldChar w:fldCharType="end"/>
      </w:r>
      <w:r>
        <w:rPr>
          <w:rFonts w:ascii="宋体" w:hAnsi="宋体"/>
          <w:sz w:val="18"/>
          <w:szCs w:val="18"/>
        </w:rPr>
        <w:noBreakHyphen/>
      </w:r>
      <w:r>
        <w:rPr>
          <w:rFonts w:ascii="宋体" w:hAnsi="宋体"/>
          <w:sz w:val="18"/>
          <w:szCs w:val="18"/>
        </w:rPr>
        <w:t xml:space="preserve">2 </w:t>
      </w:r>
      <w:r>
        <w:rPr>
          <w:rFonts w:hint="eastAsia" w:ascii="宋体" w:hAnsi="宋体"/>
          <w:sz w:val="18"/>
          <w:szCs w:val="18"/>
        </w:rPr>
        <w:t>基础设施</w:t>
      </w:r>
    </w:p>
    <w:tbl>
      <w:tblPr>
        <w:tblStyle w:val="30"/>
        <w:tblW w:w="8677"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838"/>
        <w:gridCol w:w="6839"/>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10" w:hRule="atLeast"/>
          <w:jc w:val="center"/>
        </w:trPr>
        <w:tc>
          <w:tcPr>
            <w:tcW w:w="1838"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widowControl/>
              <w:spacing w:before="0" w:beforeLines="0" w:after="0" w:afterLines="0" w:line="240" w:lineRule="auto"/>
              <w:ind w:firstLine="0" w:firstLineChars="0"/>
              <w:jc w:val="center"/>
              <w:rPr>
                <w:rFonts w:asciiTheme="minorHAnsi" w:hAnsiTheme="minorHAnsi" w:eastAsiaTheme="minorEastAsia" w:cstheme="minorBidi"/>
                <w:b/>
                <w:bCs/>
                <w:color w:val="FFFFFF" w:themeColor="background1"/>
                <w:sz w:val="22"/>
                <w14:textFill>
                  <w14:solidFill>
                    <w14:schemeClr w14:val="bg1"/>
                  </w14:solidFill>
                </w14:textFill>
              </w:rPr>
            </w:pPr>
          </w:p>
        </w:tc>
        <w:tc>
          <w:tcPr>
            <w:tcW w:w="6839"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widowControl/>
              <w:spacing w:before="0" w:beforeLines="0" w:after="0" w:afterLines="0" w:line="240" w:lineRule="auto"/>
              <w:ind w:firstLine="0" w:firstLineChars="0"/>
              <w:jc w:val="center"/>
              <w:rPr>
                <w:rFonts w:asciiTheme="minorHAnsi" w:hAnsiTheme="minorHAnsi" w:eastAsiaTheme="minorEastAsia" w:cstheme="minorBidi"/>
                <w:b/>
                <w:bCs/>
                <w:color w:val="FFFFFF" w:themeColor="background1"/>
                <w:sz w:val="22"/>
                <w14:textFill>
                  <w14:solidFill>
                    <w14:schemeClr w14:val="bg1"/>
                  </w14:solidFill>
                </w14:textFill>
              </w:rPr>
            </w:pPr>
            <w:r>
              <w:rPr>
                <w:rFonts w:asciiTheme="minorHAnsi" w:hAnsiTheme="minorHAnsi" w:eastAsiaTheme="minorEastAsia" w:cstheme="minorBidi"/>
                <w:b/>
                <w:bCs/>
                <w:color w:val="FFFFFF" w:themeColor="background1"/>
                <w:sz w:val="22"/>
                <w14:textFill>
                  <w14:solidFill>
                    <w14:schemeClr w14:val="bg1"/>
                  </w14:solidFill>
                </w14:textFill>
              </w:rPr>
              <w:t>惠州大亚湾石化产业区</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20" w:hRule="atLeast"/>
          <w:jc w:val="center"/>
        </w:trPr>
        <w:tc>
          <w:tcPr>
            <w:tcW w:w="1838" w:type="dxa"/>
            <w:shd w:val="clear" w:color="auto" w:fill="D9E2F3" w:themeFill="accent1" w:themeFillTint="33"/>
            <w:vAlign w:val="center"/>
          </w:tcPr>
          <w:p>
            <w:pPr>
              <w:widowControl/>
              <w:spacing w:before="0" w:beforeLines="0" w:after="0" w:afterLines="0" w:line="240" w:lineRule="auto"/>
              <w:ind w:firstLine="0" w:firstLineChars="0"/>
              <w:jc w:val="center"/>
              <w:rPr>
                <w:rFonts w:asciiTheme="minorHAnsi" w:hAnsiTheme="minorHAnsi" w:eastAsiaTheme="minorEastAsia" w:cstheme="minorBidi"/>
                <w:b/>
                <w:bCs/>
                <w:color w:val="000000" w:themeColor="text1"/>
                <w:sz w:val="22"/>
                <w14:textFill>
                  <w14:solidFill>
                    <w14:schemeClr w14:val="tx1"/>
                  </w14:solidFill>
                </w14:textFill>
              </w:rPr>
            </w:pPr>
            <w:r>
              <w:rPr>
                <w:rFonts w:asciiTheme="minorHAnsi" w:hAnsiTheme="minorHAnsi" w:eastAsiaTheme="minorEastAsia" w:cstheme="minorBidi"/>
                <w:b/>
                <w:bCs/>
                <w:color w:val="000000" w:themeColor="text1"/>
                <w:sz w:val="22"/>
                <w14:textFill>
                  <w14:solidFill>
                    <w14:schemeClr w14:val="tx1"/>
                  </w14:solidFill>
                </w14:textFill>
              </w:rPr>
              <w:t>工业供水</w:t>
            </w:r>
          </w:p>
        </w:tc>
        <w:tc>
          <w:tcPr>
            <w:tcW w:w="6839" w:type="dxa"/>
            <w:shd w:val="clear" w:color="auto" w:fill="D9E2F3" w:themeFill="accent1" w:themeFillTint="33"/>
            <w:vAlign w:val="center"/>
          </w:tcPr>
          <w:p>
            <w:pPr>
              <w:widowControl/>
              <w:spacing w:before="0" w:beforeLines="0" w:after="0" w:afterLines="0" w:line="240" w:lineRule="auto"/>
              <w:ind w:firstLine="0" w:firstLineChars="0"/>
              <w:jc w:val="center"/>
              <w:rPr>
                <w:rFonts w:asciiTheme="minorHAnsi" w:hAnsiTheme="minorHAnsi" w:eastAsiaTheme="minorEastAsia" w:cstheme="minorBidi"/>
                <w:color w:val="000000" w:themeColor="text1"/>
                <w:sz w:val="22"/>
                <w14:textFill>
                  <w14:solidFill>
                    <w14:schemeClr w14:val="tx1"/>
                  </w14:solidFill>
                </w14:textFill>
              </w:rPr>
            </w:pPr>
            <w:r>
              <w:rPr>
                <w:rFonts w:asciiTheme="minorHAnsi" w:hAnsiTheme="minorHAnsi" w:eastAsiaTheme="minorEastAsia" w:cstheme="minorBidi"/>
                <w:color w:val="000000" w:themeColor="text1"/>
                <w:sz w:val="22"/>
                <w14:textFill>
                  <w14:solidFill>
                    <w14:schemeClr w14:val="tx1"/>
                  </w14:solidFill>
                </w14:textFill>
              </w:rPr>
              <w:t>总供水能力20万吨/天</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40" w:hRule="atLeast"/>
          <w:jc w:val="center"/>
        </w:trPr>
        <w:tc>
          <w:tcPr>
            <w:tcW w:w="1838" w:type="dxa"/>
            <w:vAlign w:val="center"/>
          </w:tcPr>
          <w:p>
            <w:pPr>
              <w:widowControl/>
              <w:spacing w:before="0" w:beforeLines="0" w:after="0" w:afterLines="0" w:line="240" w:lineRule="auto"/>
              <w:ind w:firstLine="0" w:firstLineChars="0"/>
              <w:jc w:val="center"/>
              <w:rPr>
                <w:rFonts w:asciiTheme="minorHAnsi" w:hAnsiTheme="minorHAnsi" w:eastAsiaTheme="minorEastAsia" w:cstheme="minorBidi"/>
                <w:b/>
                <w:bCs/>
                <w:color w:val="000000" w:themeColor="text1"/>
                <w:sz w:val="22"/>
                <w14:textFill>
                  <w14:solidFill>
                    <w14:schemeClr w14:val="tx1"/>
                  </w14:solidFill>
                </w14:textFill>
              </w:rPr>
            </w:pPr>
            <w:r>
              <w:rPr>
                <w:rFonts w:asciiTheme="minorHAnsi" w:hAnsiTheme="minorHAnsi" w:eastAsiaTheme="minorEastAsia" w:cstheme="minorBidi"/>
                <w:b/>
                <w:bCs/>
                <w:color w:val="000000" w:themeColor="text1"/>
                <w:sz w:val="22"/>
                <w14:textFill>
                  <w14:solidFill>
                    <w14:schemeClr w14:val="tx1"/>
                  </w14:solidFill>
                </w14:textFill>
              </w:rPr>
              <w:t>排水条件</w:t>
            </w:r>
          </w:p>
        </w:tc>
        <w:tc>
          <w:tcPr>
            <w:tcW w:w="6839" w:type="dxa"/>
            <w:vAlign w:val="center"/>
          </w:tcPr>
          <w:p>
            <w:pPr>
              <w:widowControl/>
              <w:spacing w:before="0" w:beforeLines="0" w:after="0" w:afterLines="0" w:line="240" w:lineRule="auto"/>
              <w:ind w:firstLine="0" w:firstLineChars="0"/>
              <w:jc w:val="center"/>
              <w:rPr>
                <w:rFonts w:asciiTheme="minorHAnsi" w:hAnsiTheme="minorHAnsi" w:eastAsiaTheme="minorEastAsia" w:cstheme="minorBidi"/>
                <w:color w:val="000000" w:themeColor="text1"/>
                <w:sz w:val="22"/>
                <w14:textFill>
                  <w14:solidFill>
                    <w14:schemeClr w14:val="tx1"/>
                  </w14:solidFill>
                </w14:textFill>
              </w:rPr>
            </w:pPr>
            <w:r>
              <w:rPr>
                <w:rFonts w:asciiTheme="minorHAnsi" w:hAnsiTheme="minorHAnsi" w:eastAsiaTheme="minorEastAsia" w:cstheme="minorBidi"/>
                <w:color w:val="000000" w:themeColor="text1"/>
                <w:sz w:val="22"/>
                <w14:textFill>
                  <w14:solidFill>
                    <w14:schemeClr w14:val="tx1"/>
                  </w14:solidFill>
                </w14:textFill>
              </w:rPr>
              <w:t>总污水处理能力3万立方米/日。</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40" w:hRule="atLeast"/>
          <w:jc w:val="center"/>
        </w:trPr>
        <w:tc>
          <w:tcPr>
            <w:tcW w:w="1838" w:type="dxa"/>
            <w:shd w:val="clear" w:color="auto" w:fill="D9E2F3" w:themeFill="accent1" w:themeFillTint="33"/>
            <w:vAlign w:val="center"/>
          </w:tcPr>
          <w:p>
            <w:pPr>
              <w:widowControl/>
              <w:spacing w:before="0" w:beforeLines="0" w:after="0" w:afterLines="0" w:line="240" w:lineRule="auto"/>
              <w:ind w:firstLine="0" w:firstLineChars="0"/>
              <w:jc w:val="center"/>
              <w:rPr>
                <w:rFonts w:asciiTheme="minorHAnsi" w:hAnsiTheme="minorHAnsi" w:eastAsiaTheme="minorEastAsia" w:cstheme="minorBidi"/>
                <w:b/>
                <w:bCs/>
                <w:color w:val="000000" w:themeColor="text1"/>
                <w:sz w:val="22"/>
                <w14:textFill>
                  <w14:solidFill>
                    <w14:schemeClr w14:val="tx1"/>
                  </w14:solidFill>
                </w14:textFill>
              </w:rPr>
            </w:pPr>
            <w:r>
              <w:rPr>
                <w:rFonts w:asciiTheme="minorHAnsi" w:hAnsiTheme="minorHAnsi" w:eastAsiaTheme="minorEastAsia" w:cstheme="minorBidi"/>
                <w:b/>
                <w:bCs/>
                <w:color w:val="000000" w:themeColor="text1"/>
                <w:sz w:val="22"/>
                <w14:textFill>
                  <w14:solidFill>
                    <w14:schemeClr w14:val="tx1"/>
                  </w14:solidFill>
                </w14:textFill>
              </w:rPr>
              <w:t>电力工程</w:t>
            </w:r>
          </w:p>
        </w:tc>
        <w:tc>
          <w:tcPr>
            <w:tcW w:w="6839" w:type="dxa"/>
            <w:shd w:val="clear" w:color="auto" w:fill="D9E2F3" w:themeFill="accent1" w:themeFillTint="33"/>
            <w:vAlign w:val="center"/>
          </w:tcPr>
          <w:p>
            <w:pPr>
              <w:widowControl/>
              <w:spacing w:before="0" w:beforeLines="0" w:after="0" w:afterLines="0" w:line="240" w:lineRule="auto"/>
              <w:ind w:firstLine="0" w:firstLineChars="0"/>
              <w:jc w:val="center"/>
              <w:rPr>
                <w:rFonts w:asciiTheme="minorHAnsi" w:hAnsiTheme="minorHAnsi" w:eastAsiaTheme="minorEastAsia" w:cstheme="minorBidi"/>
                <w:color w:val="000000" w:themeColor="text1"/>
                <w:sz w:val="22"/>
                <w14:textFill>
                  <w14:solidFill>
                    <w14:schemeClr w14:val="tx1"/>
                  </w14:solidFill>
                </w14:textFill>
              </w:rPr>
            </w:pPr>
            <w:r>
              <w:rPr>
                <w:rFonts w:hint="eastAsia" w:asciiTheme="minorHAnsi" w:hAnsiTheme="minorHAnsi" w:eastAsiaTheme="minorEastAsia" w:cstheme="minorBidi"/>
                <w:color w:val="000000" w:themeColor="text1"/>
                <w:sz w:val="22"/>
                <w14:textFill>
                  <w14:solidFill>
                    <w14:schemeClr w14:val="tx1"/>
                  </w14:solidFill>
                </w14:textFill>
              </w:rPr>
              <w:t>区内建有聚龙电力</w:t>
            </w:r>
            <w:r>
              <w:rPr>
                <w:rFonts w:asciiTheme="minorHAnsi" w:hAnsiTheme="minorHAnsi" w:eastAsiaTheme="minorEastAsia" w:cstheme="minorBidi"/>
                <w:color w:val="000000" w:themeColor="text1"/>
                <w:sz w:val="22"/>
                <w14:textFill>
                  <w14:solidFill>
                    <w14:schemeClr w14:val="tx1"/>
                  </w14:solidFill>
                </w14:textFill>
              </w:rPr>
              <w:t>220kV油房变电站、110kV哨楼变电站和国网220kV新立变电站，可实现双电源双回路供电，供电能力88亿度/年。</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20" w:hRule="atLeast"/>
          <w:jc w:val="center"/>
        </w:trPr>
        <w:tc>
          <w:tcPr>
            <w:tcW w:w="1838" w:type="dxa"/>
            <w:vAlign w:val="center"/>
          </w:tcPr>
          <w:p>
            <w:pPr>
              <w:widowControl/>
              <w:spacing w:before="0" w:beforeLines="0" w:after="0" w:afterLines="0" w:line="240" w:lineRule="auto"/>
              <w:ind w:firstLine="0" w:firstLineChars="0"/>
              <w:jc w:val="center"/>
              <w:rPr>
                <w:rFonts w:asciiTheme="minorHAnsi" w:hAnsiTheme="minorHAnsi" w:eastAsiaTheme="minorEastAsia" w:cstheme="minorBidi"/>
                <w:b/>
                <w:bCs/>
                <w:color w:val="000000" w:themeColor="text1"/>
                <w:sz w:val="22"/>
                <w14:textFill>
                  <w14:solidFill>
                    <w14:schemeClr w14:val="tx1"/>
                  </w14:solidFill>
                </w14:textFill>
              </w:rPr>
            </w:pPr>
            <w:r>
              <w:rPr>
                <w:rFonts w:asciiTheme="minorHAnsi" w:hAnsiTheme="minorHAnsi" w:eastAsiaTheme="minorEastAsia" w:cstheme="minorBidi"/>
                <w:b/>
                <w:bCs/>
                <w:color w:val="000000" w:themeColor="text1"/>
                <w:sz w:val="22"/>
                <w14:textFill>
                  <w14:solidFill>
                    <w14:schemeClr w14:val="tx1"/>
                  </w14:solidFill>
                </w14:textFill>
              </w:rPr>
              <w:t>供热工程</w:t>
            </w:r>
          </w:p>
        </w:tc>
        <w:tc>
          <w:tcPr>
            <w:tcW w:w="6839" w:type="dxa"/>
            <w:vAlign w:val="center"/>
          </w:tcPr>
          <w:p>
            <w:pPr>
              <w:widowControl/>
              <w:spacing w:before="0" w:beforeLines="0" w:after="0" w:afterLines="0" w:line="240" w:lineRule="auto"/>
              <w:ind w:firstLine="0" w:firstLineChars="0"/>
              <w:jc w:val="center"/>
              <w:rPr>
                <w:rFonts w:asciiTheme="minorHAnsi" w:hAnsiTheme="minorHAnsi" w:eastAsiaTheme="minorEastAsia" w:cstheme="minorBidi"/>
                <w:color w:val="000000" w:themeColor="text1"/>
                <w:sz w:val="22"/>
                <w14:textFill>
                  <w14:solidFill>
                    <w14:schemeClr w14:val="tx1"/>
                  </w14:solidFill>
                </w14:textFill>
              </w:rPr>
            </w:pPr>
            <w:r>
              <w:rPr>
                <w:rFonts w:hint="eastAsia" w:asciiTheme="minorHAnsi" w:hAnsiTheme="minorHAnsi" w:eastAsiaTheme="minorEastAsia" w:cstheme="minorBidi"/>
                <w:color w:val="000000" w:themeColor="text1"/>
                <w:sz w:val="22"/>
                <w14:textFill>
                  <w14:solidFill>
                    <w14:schemeClr w14:val="tx1"/>
                  </w14:solidFill>
                </w14:textFill>
              </w:rPr>
              <w:t>园区热岛装机容量为</w:t>
            </w:r>
            <w:r>
              <w:rPr>
                <w:rFonts w:asciiTheme="minorHAnsi" w:hAnsiTheme="minorHAnsi" w:eastAsiaTheme="minorEastAsia" w:cstheme="minorBidi"/>
                <w:color w:val="000000" w:themeColor="text1"/>
                <w:sz w:val="22"/>
                <w14:textFill>
                  <w14:solidFill>
                    <w14:schemeClr w14:val="tx1"/>
                  </w14:solidFill>
                </w14:textFill>
              </w:rPr>
              <w:t>4台440T/h循环流化床锅炉+1台5万kw抽汽凝汽式发电机组+2台3万kw抽汽背压式发电机组，可为企业提供514T/h中压蒸汽、520T/h低压蒸汽、5.6万kw/h电力、90T/h除盐水，另华峰集团建有自备热电联产装置。</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10" w:hRule="atLeast"/>
          <w:jc w:val="center"/>
        </w:trPr>
        <w:tc>
          <w:tcPr>
            <w:tcW w:w="1838" w:type="dxa"/>
            <w:shd w:val="clear" w:color="auto" w:fill="D9E2F3" w:themeFill="accent1" w:themeFillTint="33"/>
            <w:vAlign w:val="center"/>
          </w:tcPr>
          <w:p>
            <w:pPr>
              <w:widowControl/>
              <w:spacing w:before="0" w:beforeLines="0" w:after="0" w:afterLines="0" w:line="240" w:lineRule="auto"/>
              <w:ind w:firstLine="0" w:firstLineChars="0"/>
              <w:jc w:val="center"/>
              <w:rPr>
                <w:rFonts w:asciiTheme="minorHAnsi" w:hAnsiTheme="minorHAnsi" w:eastAsiaTheme="minorEastAsia" w:cstheme="minorBidi"/>
                <w:b/>
                <w:bCs/>
                <w:color w:val="000000" w:themeColor="text1"/>
                <w:sz w:val="22"/>
                <w14:textFill>
                  <w14:solidFill>
                    <w14:schemeClr w14:val="tx1"/>
                  </w14:solidFill>
                </w14:textFill>
              </w:rPr>
            </w:pPr>
            <w:r>
              <w:rPr>
                <w:rFonts w:asciiTheme="minorHAnsi" w:hAnsiTheme="minorHAnsi" w:eastAsiaTheme="minorEastAsia" w:cstheme="minorBidi"/>
                <w:b/>
                <w:bCs/>
                <w:color w:val="000000" w:themeColor="text1"/>
                <w:sz w:val="22"/>
                <w14:textFill>
                  <w14:solidFill>
                    <w14:schemeClr w14:val="tx1"/>
                  </w14:solidFill>
                </w14:textFill>
              </w:rPr>
              <w:t>消防</w:t>
            </w:r>
          </w:p>
        </w:tc>
        <w:tc>
          <w:tcPr>
            <w:tcW w:w="6839" w:type="dxa"/>
            <w:shd w:val="clear" w:color="auto" w:fill="D9E2F3" w:themeFill="accent1" w:themeFillTint="33"/>
            <w:vAlign w:val="center"/>
          </w:tcPr>
          <w:p>
            <w:pPr>
              <w:widowControl/>
              <w:spacing w:before="0" w:beforeLines="0" w:after="0" w:afterLines="0" w:line="240" w:lineRule="auto"/>
              <w:ind w:firstLine="0" w:firstLineChars="0"/>
              <w:jc w:val="center"/>
              <w:rPr>
                <w:rFonts w:asciiTheme="minorHAnsi" w:hAnsiTheme="minorHAnsi" w:eastAsiaTheme="minorEastAsia" w:cstheme="minorBidi"/>
                <w:color w:val="000000" w:themeColor="text1"/>
                <w:sz w:val="22"/>
                <w14:textFill>
                  <w14:solidFill>
                    <w14:schemeClr w14:val="tx1"/>
                  </w14:solidFill>
                </w14:textFill>
              </w:rPr>
            </w:pPr>
            <w:r>
              <w:rPr>
                <w:rFonts w:asciiTheme="minorHAnsi" w:hAnsiTheme="minorHAnsi" w:eastAsiaTheme="minorEastAsia" w:cstheme="minorBidi"/>
                <w:color w:val="000000" w:themeColor="text1"/>
                <w:sz w:val="22"/>
                <w14:textFill>
                  <w14:solidFill>
                    <w14:schemeClr w14:val="tx1"/>
                  </w14:solidFill>
                </w14:textFill>
              </w:rPr>
              <w:t>消防设施完善，具有专业消防大队</w:t>
            </w:r>
          </w:p>
        </w:tc>
      </w:tr>
    </w:tbl>
    <w:p>
      <w:pPr>
        <w:spacing w:before="156" w:after="156"/>
        <w:ind w:firstLine="420"/>
        <w:rPr>
          <w:rFonts w:hint="eastAsia"/>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36136"/>
      <w:docPartObj>
        <w:docPartGallery w:val="AutoText"/>
      </w:docPartObj>
    </w:sdtPr>
    <w:sdtContent>
      <w:sdt>
        <w:sdtPr>
          <w:id w:val="-1705238520"/>
          <w:docPartObj>
            <w:docPartGallery w:val="AutoText"/>
          </w:docPartObj>
        </w:sdtPr>
        <w:sdtContent>
          <w:p>
            <w:pPr>
              <w:pStyle w:val="8"/>
              <w:spacing w:before="120" w:after="120"/>
              <w:ind w:firstLine="360"/>
              <w:jc w:val="center"/>
            </w:pPr>
            <w:r>
              <w:rPr>
                <w:rFonts w:ascii="楷体" w:hAnsi="楷体" w:eastAsia="楷体"/>
                <w:color w:val="4472C4"/>
                <w:sz w:val="22"/>
              </w:rPr>
              <w:drawing>
                <wp:anchor distT="0" distB="0" distL="114300" distR="114300" simplePos="0" relativeHeight="251661312" behindDoc="1" locked="0" layoutInCell="1" allowOverlap="1">
                  <wp:simplePos x="0" y="0"/>
                  <wp:positionH relativeFrom="margin">
                    <wp:posOffset>47625</wp:posOffset>
                  </wp:positionH>
                  <wp:positionV relativeFrom="paragraph">
                    <wp:posOffset>83185</wp:posOffset>
                  </wp:positionV>
                  <wp:extent cx="636905" cy="539750"/>
                  <wp:effectExtent l="0" t="0" r="0" b="0"/>
                  <wp:wrapNone/>
                  <wp:docPr id="20" name="图片 20"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pPr>
      <w:pStyle w:val="8"/>
      <w:spacing w:before="120" w:after="120"/>
      <w:ind w:firstLine="1100" w:firstLineChars="500"/>
    </w:pPr>
    <w:r>
      <w:rPr>
        <w:rFonts w:ascii="楷体" w:hAnsi="楷体" w:eastAsia="楷体"/>
        <w:color w:val="4472C4"/>
        <w:sz w:val="22"/>
      </w:rPr>
      <w:t>58</w:t>
    </w:r>
    <w:r>
      <w:rPr>
        <w:rFonts w:hint="eastAsia" w:ascii="楷体" w:hAnsi="楷体" w:eastAsia="楷体"/>
        <w:color w:val="4472C4"/>
        <w:sz w:val="22"/>
      </w:rPr>
      <w:t>同济队</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before="120"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before="120"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20"/>
      </w:pPr>
      <w:r>
        <w:separator/>
      </w:r>
    </w:p>
  </w:footnote>
  <w:footnote w:type="continuationSeparator" w:id="1">
    <w:p>
      <w:pPr>
        <w:spacing w:before="0" w:after="0"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before="120" w:after="120"/>
      <w:ind w:left="0" w:leftChars="0" w:firstLine="0" w:firstLineChars="0"/>
    </w:pPr>
    <w:r>
      <w:drawing>
        <wp:anchor distT="0" distB="0" distL="0" distR="0" simplePos="0" relativeHeight="251659264" behindDoc="1" locked="0" layoutInCell="1" allowOverlap="1">
          <wp:simplePos x="0" y="0"/>
          <wp:positionH relativeFrom="page">
            <wp:posOffset>6549390</wp:posOffset>
          </wp:positionH>
          <wp:positionV relativeFrom="topMargin">
            <wp:align>bottom</wp:align>
          </wp:positionV>
          <wp:extent cx="535940" cy="533400"/>
          <wp:effectExtent l="0" t="0" r="0" b="635"/>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 cstate="print"/>
                  <a:stretch>
                    <a:fillRect/>
                  </a:stretch>
                </pic:blipFill>
                <pic:spPr>
                  <a:xfrm>
                    <a:off x="0" y="0"/>
                    <a:ext cx="536191" cy="533298"/>
                  </a:xfrm>
                  <a:prstGeom prst="rect">
                    <a:avLst/>
                  </a:prstGeom>
                </pic:spPr>
              </pic:pic>
            </a:graphicData>
          </a:graphic>
        </wp:anchor>
      </w:drawing>
    </w:r>
    <w:r>
      <w:rPr>
        <w:rFonts w:hint="eastAsia" w:ascii="楷体" w:eastAsia="楷体"/>
        <w:color w:val="4471C4"/>
        <w:sz w:val="22"/>
        <w:lang w:val="en-US" w:eastAsia="zh-CN"/>
      </w:rPr>
      <w:t>第十七届</w:t>
    </w:r>
    <w:r>
      <w:rPr>
        <w:rFonts w:hint="eastAsia" w:ascii="楷体" w:eastAsia="楷体"/>
        <w:color w:val="4471C4"/>
        <w:sz w:val="22"/>
      </w:rPr>
      <w:t>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ptab w:relativeTo="margin" w:alignment="right" w:leader="none"/>
    </w:r>
    <w:r>
      <w:rPr>
        <w:rFonts w:hint="eastAsia" w:ascii="楷体" w:eastAsia="楷体"/>
        <w:color w:val="4471C4"/>
        <w:sz w:val="22"/>
      </w:rPr>
      <w:t>环境影响评价报告</w:t>
    </w:r>
    <w:r>
      <w:rPr>
        <w:rFonts w:ascii="楷体" w:eastAsia="楷体"/>
        <w:color w:val="4471C4"/>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before="120"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before="120" w:after="120"/>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B55833"/>
    <w:rsid w:val="0022438C"/>
    <w:rsid w:val="0038490D"/>
    <w:rsid w:val="004C34DE"/>
    <w:rsid w:val="007C318A"/>
    <w:rsid w:val="00883FF2"/>
    <w:rsid w:val="008B0FBD"/>
    <w:rsid w:val="009A45C5"/>
    <w:rsid w:val="00B55833"/>
    <w:rsid w:val="00D75107"/>
    <w:rsid w:val="00D75E3D"/>
    <w:rsid w:val="00EE4084"/>
    <w:rsid w:val="00F774B4"/>
    <w:rsid w:val="00F83D87"/>
    <w:rsid w:val="606C688A"/>
    <w:rsid w:val="7BC73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50" w:beforeLines="50" w:after="50" w:afterLines="50" w:line="360" w:lineRule="auto"/>
      <w:ind w:firstLine="200" w:firstLineChars="200"/>
    </w:pPr>
    <w:rPr>
      <w:rFonts w:ascii="仿宋" w:hAnsi="仿宋" w:eastAsia="宋体" w:cs="仿宋"/>
      <w:kern w:val="0"/>
      <w:sz w:val="21"/>
      <w:szCs w:val="22"/>
      <w:lang w:val="en-US" w:eastAsia="zh-CN" w:bidi="ar-SA"/>
    </w:rPr>
  </w:style>
  <w:style w:type="paragraph" w:styleId="2">
    <w:name w:val="heading 1"/>
    <w:basedOn w:val="1"/>
    <w:next w:val="1"/>
    <w:link w:val="16"/>
    <w:qFormat/>
    <w:uiPriority w:val="9"/>
    <w:pPr>
      <w:keepNext/>
      <w:keepLines/>
      <w:spacing w:before="340" w:after="330" w:line="578" w:lineRule="auto"/>
      <w:jc w:val="center"/>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cstheme="majorBidi"/>
      <w:b/>
      <w:bCs/>
      <w:sz w:val="28"/>
      <w:szCs w:val="32"/>
    </w:rPr>
  </w:style>
  <w:style w:type="paragraph" w:styleId="4">
    <w:name w:val="heading 3"/>
    <w:basedOn w:val="1"/>
    <w:next w:val="1"/>
    <w:link w:val="22"/>
    <w:semiHidden/>
    <w:unhideWhenUsed/>
    <w:qFormat/>
    <w:uiPriority w:val="9"/>
    <w:pPr>
      <w:keepNext/>
      <w:keepLines/>
      <w:spacing w:before="260" w:after="260" w:line="416" w:lineRule="auto"/>
      <w:outlineLvl w:val="2"/>
    </w:pPr>
    <w:rPr>
      <w:b/>
      <w:bCs/>
      <w:sz w:val="24"/>
      <w:szCs w:val="32"/>
    </w:rPr>
  </w:style>
  <w:style w:type="paragraph" w:styleId="5">
    <w:name w:val="heading 4"/>
    <w:basedOn w:val="1"/>
    <w:next w:val="1"/>
    <w:link w:val="23"/>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Body Text"/>
    <w:basedOn w:val="1"/>
    <w:link w:val="17"/>
    <w:qFormat/>
    <w:uiPriority w:val="99"/>
    <w:rPr>
      <w:szCs w:val="21"/>
    </w:rPr>
  </w:style>
  <w:style w:type="paragraph" w:styleId="7">
    <w:name w:val="toc 3"/>
    <w:basedOn w:val="1"/>
    <w:next w:val="1"/>
    <w:unhideWhenUsed/>
    <w:uiPriority w:val="39"/>
    <w:pPr>
      <w:ind w:left="840" w:leftChars="400"/>
    </w:pPr>
  </w:style>
  <w:style w:type="paragraph" w:styleId="8">
    <w:name w:val="footer"/>
    <w:basedOn w:val="1"/>
    <w:link w:val="20"/>
    <w:unhideWhenUsed/>
    <w:uiPriority w:val="99"/>
    <w:pPr>
      <w:tabs>
        <w:tab w:val="center" w:pos="4153"/>
        <w:tab w:val="right" w:pos="8306"/>
      </w:tabs>
      <w:snapToGrid w:val="0"/>
      <w:spacing w:line="240" w:lineRule="auto"/>
    </w:pPr>
    <w:rPr>
      <w:sz w:val="18"/>
      <w:szCs w:val="18"/>
    </w:rPr>
  </w:style>
  <w:style w:type="paragraph" w:styleId="9">
    <w:name w:val="header"/>
    <w:basedOn w:val="1"/>
    <w:link w:val="19"/>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0">
    <w:name w:val="toc 1"/>
    <w:basedOn w:val="1"/>
    <w:next w:val="1"/>
    <w:unhideWhenUsed/>
    <w:uiPriority w:val="39"/>
  </w:style>
  <w:style w:type="paragraph" w:styleId="11">
    <w:name w:val="toc 2"/>
    <w:basedOn w:val="1"/>
    <w:next w:val="1"/>
    <w:unhideWhenUsed/>
    <w:uiPriority w:val="39"/>
    <w:pPr>
      <w:ind w:left="420" w:leftChars="200"/>
    </w:pPr>
  </w:style>
  <w:style w:type="table" w:styleId="13">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uiPriority w:val="99"/>
    <w:rPr>
      <w:color w:val="0563C1" w:themeColor="hyperlink"/>
      <w:u w:val="single"/>
      <w14:textFill>
        <w14:solidFill>
          <w14:schemeClr w14:val="hlink"/>
        </w14:solidFill>
      </w14:textFill>
    </w:rPr>
  </w:style>
  <w:style w:type="character" w:customStyle="1" w:styleId="16">
    <w:name w:val="标题 1 字符"/>
    <w:basedOn w:val="14"/>
    <w:link w:val="2"/>
    <w:qFormat/>
    <w:uiPriority w:val="9"/>
    <w:rPr>
      <w:rFonts w:ascii="仿宋" w:hAnsi="仿宋" w:cs="仿宋"/>
      <w:b/>
      <w:bCs/>
      <w:kern w:val="44"/>
      <w:sz w:val="44"/>
      <w:szCs w:val="44"/>
    </w:rPr>
  </w:style>
  <w:style w:type="character" w:customStyle="1" w:styleId="17">
    <w:name w:val="正文文本 字符"/>
    <w:basedOn w:val="14"/>
    <w:link w:val="6"/>
    <w:qFormat/>
    <w:uiPriority w:val="99"/>
    <w:rPr>
      <w:rFonts w:ascii="仿宋" w:hAnsi="仿宋" w:cs="仿宋"/>
      <w:kern w:val="0"/>
      <w:szCs w:val="21"/>
    </w:rPr>
  </w:style>
  <w:style w:type="paragraph" w:customStyle="1" w:styleId="18">
    <w:name w:val="TOC Heading"/>
    <w:basedOn w:val="2"/>
    <w:next w:val="1"/>
    <w:unhideWhenUsed/>
    <w:qFormat/>
    <w:uiPriority w:val="39"/>
    <w:pPr>
      <w:widowControl/>
      <w:autoSpaceDE/>
      <w:autoSpaceDN/>
      <w:spacing w:before="240" w:beforeLines="0" w:after="0" w:afterLines="0" w:line="259" w:lineRule="auto"/>
      <w:ind w:firstLine="0" w:firstLineChars="0"/>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19">
    <w:name w:val="页眉 字符"/>
    <w:basedOn w:val="14"/>
    <w:link w:val="9"/>
    <w:qFormat/>
    <w:uiPriority w:val="99"/>
    <w:rPr>
      <w:rFonts w:ascii="仿宋" w:hAnsi="仿宋" w:cs="仿宋"/>
      <w:kern w:val="0"/>
      <w:sz w:val="18"/>
      <w:szCs w:val="18"/>
    </w:rPr>
  </w:style>
  <w:style w:type="character" w:customStyle="1" w:styleId="20">
    <w:name w:val="页脚 字符"/>
    <w:basedOn w:val="14"/>
    <w:link w:val="8"/>
    <w:uiPriority w:val="99"/>
    <w:rPr>
      <w:rFonts w:ascii="仿宋" w:hAnsi="仿宋" w:cs="仿宋"/>
      <w:kern w:val="0"/>
      <w:sz w:val="18"/>
      <w:szCs w:val="18"/>
    </w:rPr>
  </w:style>
  <w:style w:type="character" w:customStyle="1" w:styleId="21">
    <w:name w:val="标题 2 字符"/>
    <w:basedOn w:val="14"/>
    <w:link w:val="3"/>
    <w:uiPriority w:val="9"/>
    <w:rPr>
      <w:rFonts w:asciiTheme="majorHAnsi" w:hAnsiTheme="majorHAnsi" w:cstheme="majorBidi"/>
      <w:b/>
      <w:bCs/>
      <w:kern w:val="0"/>
      <w:sz w:val="28"/>
      <w:szCs w:val="32"/>
    </w:rPr>
  </w:style>
  <w:style w:type="character" w:customStyle="1" w:styleId="22">
    <w:name w:val="标题 3 字符"/>
    <w:basedOn w:val="14"/>
    <w:link w:val="4"/>
    <w:semiHidden/>
    <w:uiPriority w:val="9"/>
    <w:rPr>
      <w:rFonts w:ascii="仿宋" w:hAnsi="仿宋" w:cs="仿宋"/>
      <w:b/>
      <w:bCs/>
      <w:kern w:val="0"/>
      <w:sz w:val="24"/>
      <w:szCs w:val="32"/>
    </w:rPr>
  </w:style>
  <w:style w:type="character" w:customStyle="1" w:styleId="23">
    <w:name w:val="标题 4 字符"/>
    <w:basedOn w:val="14"/>
    <w:link w:val="5"/>
    <w:semiHidden/>
    <w:qFormat/>
    <w:uiPriority w:val="9"/>
    <w:rPr>
      <w:rFonts w:asciiTheme="majorHAnsi" w:hAnsiTheme="majorHAnsi" w:eastAsiaTheme="majorEastAsia" w:cstheme="majorBidi"/>
      <w:b/>
      <w:bCs/>
      <w:kern w:val="0"/>
      <w:sz w:val="28"/>
      <w:szCs w:val="28"/>
    </w:rPr>
  </w:style>
  <w:style w:type="paragraph" w:customStyle="1" w:styleId="24">
    <w:name w:val="EC图表"/>
    <w:basedOn w:val="1"/>
    <w:link w:val="25"/>
    <w:qFormat/>
    <w:uiPriority w:val="0"/>
    <w:pPr>
      <w:autoSpaceDE/>
      <w:autoSpaceDN/>
      <w:spacing w:before="0" w:beforeLines="0" w:after="0" w:afterLines="0" w:line="324" w:lineRule="auto"/>
      <w:ind w:firstLine="0" w:firstLineChars="0"/>
      <w:jc w:val="center"/>
    </w:pPr>
    <w:rPr>
      <w:rFonts w:ascii="Times New Roman" w:hAnsi="Times New Roman" w:cs="Times New Roman"/>
      <w:b/>
      <w:kern w:val="2"/>
      <w:szCs w:val="20"/>
    </w:rPr>
  </w:style>
  <w:style w:type="character" w:customStyle="1" w:styleId="25">
    <w:name w:val="EC图表 字符"/>
    <w:basedOn w:val="14"/>
    <w:link w:val="24"/>
    <w:qFormat/>
    <w:uiPriority w:val="0"/>
    <w:rPr>
      <w:rFonts w:ascii="Times New Roman" w:hAnsi="Times New Roman" w:cs="Times New Roman"/>
      <w:b/>
      <w:szCs w:val="20"/>
    </w:rPr>
  </w:style>
  <w:style w:type="table" w:customStyle="1" w:styleId="26">
    <w:name w:val="网格表 4 - 着色 11"/>
    <w:basedOn w:val="12"/>
    <w:qFormat/>
    <w:uiPriority w:val="49"/>
    <w:rPr>
      <w:rFonts w:asciiTheme="minorHAnsi" w:hAnsiTheme="minorHAnsi" w:eastAsiaTheme="minorEastAsia"/>
      <w:kern w:val="0"/>
      <w:szCs w:val="21"/>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27">
    <w:name w:val="网格表 4 - 着色 17"/>
    <w:basedOn w:val="12"/>
    <w:qFormat/>
    <w:uiPriority w:val="49"/>
    <w:rPr>
      <w:rFonts w:ascii="Calibri" w:hAnsi="Calibri" w:cs="Times New Roman"/>
      <w:kern w:val="0"/>
      <w:szCs w:val="21"/>
    </w:rPr>
    <w:tblPr>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doub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paragraph" w:customStyle="1" w:styleId="28">
    <w:name w:val="EC表格内文字"/>
    <w:link w:val="29"/>
    <w:qFormat/>
    <w:uiPriority w:val="0"/>
    <w:pPr>
      <w:spacing w:line="360" w:lineRule="auto"/>
    </w:pPr>
    <w:rPr>
      <w:rFonts w:ascii="Times New Roman" w:hAnsi="Times New Roman" w:eastAsia="宋体" w:cs="Times New Roman"/>
      <w:bCs/>
      <w:kern w:val="2"/>
      <w:sz w:val="21"/>
      <w:szCs w:val="21"/>
      <w:lang w:val="en-US" w:eastAsia="zh-CN" w:bidi="ar-SA"/>
    </w:rPr>
  </w:style>
  <w:style w:type="character" w:customStyle="1" w:styleId="29">
    <w:name w:val="EC表格内文字 字符"/>
    <w:basedOn w:val="25"/>
    <w:link w:val="28"/>
    <w:qFormat/>
    <w:uiPriority w:val="0"/>
    <w:rPr>
      <w:rFonts w:ascii="Times New Roman" w:hAnsi="Times New Roman" w:cs="Times New Roman"/>
      <w:b w:val="0"/>
      <w:bCs/>
      <w:szCs w:val="21"/>
    </w:rPr>
  </w:style>
  <w:style w:type="table" w:customStyle="1" w:styleId="30">
    <w:name w:val="Grid Table 4 Accent 1"/>
    <w:basedOn w:val="12"/>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31">
    <w:name w:val="Grid Table 5 Dark Accent 1"/>
    <w:basedOn w:val="12"/>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3F748F-5B6C-4634-9380-F015329BEF9F}">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2424</Words>
  <Characters>13817</Characters>
  <Lines>115</Lines>
  <Paragraphs>32</Paragraphs>
  <TotalTime>1</TotalTime>
  <ScaleCrop>false</ScaleCrop>
  <LinksUpToDate>false</LinksUpToDate>
  <CharactersWithSpaces>16209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2023-07-25T11:02:00Z</dcterms:created>
  <dc:creator>Administrator</dc:creator>
  <cp:lastModifiedBy>林锕</cp:lastModifiedBy>
  <dcterms:modified xsi:type="dcterms:W3CDTF">2023-07-30T22:14:42Z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EB7D468B1ED5404AA0558D520EECB106_12</vt:lpwstr>
  </property>
</Properties>
</file>