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27489A7B">
      <w:pPr>
        <w:pStyle w:val="2"/>
        <w:ind w:left="576" w:leftChars="0" w:firstLineChars="0"/>
      </w:pPr>
      <w:r>
        <w:rPr>
          <w:rFonts w:hint="default"/>
        </w:rPr>
        <w:t>隐私</w:t>
      </w:r>
      <w:r>
        <w:rPr>
          <w:rFonts w:hint="eastAsia"/>
          <w:lang w:val="en-US" w:eastAsia="zh-CN"/>
        </w:rPr>
        <w:t>保护计算</w:t>
      </w:r>
      <w:r>
        <w:rPr>
          <w:rFonts w:hint="default"/>
        </w:rPr>
        <w:t>测试</w:t>
      </w:r>
    </w:p>
    <w:p ns2:paraId="17880A35">
      <w:pPr>
        <w:pStyle w:val="3"/>
        <w:ind w:left="720" w:hanging="72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ns2:textFill>
            <ns2:solidFill>
              <ns2:schemeClr ns2:val="tx1"/>
            </ns2:solidFill>
          </ns2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/>
          <ns2:textFill>
            <ns2:solidFill>
              <ns2:schemeClr ns2:val="tx1"/>
            </ns2:solidFill>
          </ns2:textFill>
        </w:rPr>
        <w:t>同态加密测试</w:t>
      </w:r>
    </w:p>
    <w:p ns2:paraId="50E181F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验证数字资产流通原型系统的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隐私保护计算中同态加密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能力，检查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加密数据从用户本地传输到隐私保护计算服务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后，系统是否能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成功使用同态加密算法完成对应的计算并成功返回正确的计算结果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。</w:t>
      </w:r>
    </w:p>
    <w:p ns2:paraId="042DEA6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firstLine="0" w:firstLineChars="0"/>
        <w:jc w:val="center"/>
        <w:rPr>
          <w:rFonts w:hint="default" w:ascii="Times New Roman" w:hAnsi="Times New Roman" w:eastAsia="宋体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表4-3同态加密测试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ns2:paraId="4BF994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22B26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测试项目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4030A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隐私计算平台中同态加密功能测试</w:t>
            </w:r>
          </w:p>
        </w:tc>
      </w:tr>
      <w:tr ns2:paraId="4EAB2B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11DA5D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测试目的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10B5B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验证在提供方-数据中心-使用方的数据流通场景下，对于同态加密能力模块，隐私计算平台能否正常运行且符合设计预期。</w:t>
            </w:r>
          </w:p>
        </w:tc>
      </w:tr>
      <w:tr ns2:paraId="28BF93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5E01A7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测试环境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4813E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数字资产流通原型系统</w:t>
            </w:r>
          </w:p>
        </w:tc>
      </w:tr>
      <w:tr ns2:paraId="7656C0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33BD4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必选/可选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5F66F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必选</w:t>
            </w:r>
          </w:p>
        </w:tc>
      </w:tr>
      <w:tr ns2:paraId="45B20D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23689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前置条件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549A8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区块链智能合约已部署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、审计系统运行正常，接口可用</w:t>
            </w:r>
          </w:p>
        </w:tc>
      </w:tr>
      <w:tr ns2:paraId="4A8C6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1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7305C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测试流程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6859493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以卖家的身份登录交易系统，在左侧“交易市场”中选择资产交付方法为“同态加密”的交易，点击“确认交易”的按钮。</w:t>
            </w:r>
          </w:p>
          <w:p ns2:paraId="3C9CDC1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买家在系统左侧“资产交付”界面查看最新的交易，点击对应交易条目中的“请求交付”并自动下载相关私钥到本地。</w:t>
            </w:r>
          </w:p>
          <w:p ns2:paraId="5B7F758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卖家在“资产交付”页面找到对应ID的信息并点击“执行交付”，上传需要计算的两个CSV文件，选择交付算法并点击弹窗界面的“执行交付”。</w:t>
            </w:r>
          </w:p>
          <w:p ns2:paraId="621310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计算完成后，买家在“资产交付”界面点击对应记录的“下载结果”，上传第2步保存的对应名称的密钥，将结果CSV文件下载到本地。</w:t>
            </w:r>
          </w:p>
        </w:tc>
      </w:tr>
      <w:tr ns2:paraId="160CBD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0359A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预期结果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36D9F20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正确计算最终结果可下载并解密，结果与明文每行计算结果一致；</w:t>
            </w:r>
          </w:p>
          <w:p ns2:paraId="545C7E4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错误计算无法下载结果。</w:t>
            </w:r>
          </w:p>
        </w:tc>
      </w:tr>
      <w:tr ns2:paraId="1533E3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33EA3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39960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ns2:paraId="19B8A1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076F37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测试结论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34E68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ns2:paraId="0908B505">
      <w:pPr>
        <w:rPr>
          <w:rFonts w:hint="default"/>
        </w:rPr>
      </w:pPr>
    </w:p>
    <w:p ns2:paraId="18D893EB">
      <w:pPr>
        <w:pStyle w:val="3"/>
        <w:ind w:left="720" w:hanging="720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/>
          <ns2:textFill>
            <ns2:solidFill>
              <ns2:schemeClr ns2:val="tx1"/>
            </ns2:solidFill>
          </ns2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/>
          <ns2:textFill>
            <ns2:solidFill>
              <ns2:schemeClr ns2:val="tx1"/>
            </ns2:solidFill>
          </ns2:textFill>
        </w:rPr>
        <w:t>代理重加密测试</w:t>
      </w:r>
    </w:p>
    <w:p ns2:paraId="339424B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验证数字资产流通原型系统的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隐私保护计算中代理重加密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能力，检查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加密数据从用户本地传输到隐私保护计算服务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后，系统是否能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成功使用代理重加密实现密钥转换并成功返回正确的计算结果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。</w:t>
      </w:r>
    </w:p>
    <w:p ns2:paraId="3834FD5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表4-4代理重加密测试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ns2:paraId="2C5084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111E8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测试项目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44BCE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隐私计算平台中代理重加密功能测试</w:t>
            </w:r>
          </w:p>
        </w:tc>
      </w:tr>
      <w:tr ns2:paraId="3149FB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0ABC3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测试目的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1DDCE9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验证在提供方-数据中心-使用方的数据流通场景下，对于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代理重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加密能力模块，隐私计算平台能否正常运行且符合设计预期。</w:t>
            </w:r>
          </w:p>
        </w:tc>
      </w:tr>
      <w:tr ns2:paraId="1B94D4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0D6D5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测试环境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2BEB5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数字资产流通原型系统</w:t>
            </w:r>
          </w:p>
        </w:tc>
      </w:tr>
      <w:tr ns2:paraId="39AB8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793D5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必选/可选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70A30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必选</w:t>
            </w:r>
          </w:p>
        </w:tc>
      </w:tr>
      <w:tr ns2:paraId="3BC355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62021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前置条件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449AD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区块链智能合约已部署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、审计系统运行正常，接口可用</w:t>
            </w:r>
          </w:p>
        </w:tc>
      </w:tr>
      <w:tr ns2:paraId="57132A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1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5CD57A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测试流程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5678B1F2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以卖家的身份登录交易系统，在左侧“交易市场”中选择资产交付方法为“代理重加密”的交易，点击“确认交易”的按钮。</w:t>
            </w:r>
          </w:p>
          <w:p ns2:paraId="3055E6F9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买家在系统左侧“资产交付”界面查看最新的交易，点击对应交易条目中的“请求交付”并自动下载相关私钥到本地。</w:t>
            </w:r>
          </w:p>
          <w:p ns2:paraId="36D2BFC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卖家在“资产交付”页面找到对应ID的信息并点击“执行交付”，上传对应的压缩文件，点击弹窗界面的“执行交付”。</w:t>
            </w:r>
          </w:p>
          <w:p ns2:paraId="42BE43DF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计算完成后，买家在“资产交付”界面点击对应记录的“下载结果”，上传第2步保存的密钥，点击“解密并下载”，将结果压缩包下载到本地。</w:t>
            </w:r>
          </w:p>
        </w:tc>
      </w:tr>
      <w:tr ns2:paraId="282AD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1D578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预期结果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0229E391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正确计算最终结果可下载并解密，结果与明文一致；</w:t>
            </w:r>
          </w:p>
          <w:p ns2:paraId="5445813C">
            <w:pPr>
              <w:keepNext w:val="0"/>
              <w:keepLines w:val="0"/>
              <w:pageBreakBefore w:val="0"/>
              <w:widowControl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错误计算无法下载结果。</w:t>
            </w:r>
          </w:p>
        </w:tc>
      </w:tr>
      <w:tr ns2:paraId="58D17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03424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1F0FD6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ns2:paraId="32658F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0A26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测试结论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5C81C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ns2:paraId="2E1D2312">
      <w:pPr>
        <w:pStyle w:val="3"/>
        <w:ind w:left="720" w:hanging="720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/>
          <ns2:textFill>
            <ns2:solidFill>
              <ns2:schemeClr ns2:val="tx1"/>
            </ns2:solidFill>
          </ns2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/>
          <ns2:textFill>
            <ns2:solidFill>
              <ns2:schemeClr ns2:val="tx1"/>
            </ns2:solidFill>
          </ns2:textFill>
        </w:rPr>
        <w:t>联邦学习测试</w:t>
      </w:r>
      <w:bookmarkStart w:id="0" w:name="_GoBack"/>
      <w:bookmarkEnd w:id="0"/>
    </w:p>
    <w:p ns2:paraId="595EE07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验证数字资产流通原型系统的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隐私保护计算的联邦学习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能力，检查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加密数据从用户本地传输到隐私保护计算服务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后，系统是否能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成功实现联邦学习中的模型下发、梯度更新以及梯度聚合等计算并得到正确的结果模型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。</w:t>
      </w:r>
    </w:p>
    <w:p ns2:paraId="05F555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表4-5联邦学习测试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ns2:paraId="335D98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30D90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测试项目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隐私计算平台中联邦学习功能测试</w:t>
            </w:r>
          </w:p>
        </w:tc>
      </w:tr>
      <w:tr ns2:paraId="2FCD2C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301E6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测试目的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48ED1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验证在提供方-数据中心-使用方的数据流通场景下，对于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联邦学习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能力模块，隐私计算平台能否正常运行且符合设计预期。</w:t>
            </w:r>
          </w:p>
        </w:tc>
      </w:tr>
      <w:tr ns2:paraId="52600E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7492F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测试环境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75A28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数字资产流通原型系统</w:t>
            </w:r>
          </w:p>
        </w:tc>
      </w:tr>
      <w:tr ns2:paraId="1726A8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6E438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必选/可选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2BB6B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必选</w:t>
            </w:r>
          </w:p>
        </w:tc>
      </w:tr>
      <w:tr ns2:paraId="22F88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327AB9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前置条件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4CA12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区块链智能合约已部署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、审计系统运行正常，接口可用</w:t>
            </w:r>
          </w:p>
        </w:tc>
      </w:tr>
      <w:tr ns2:paraId="3D3B04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1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3EB76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测试流程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0C5B74FA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以卖家的身份登录交易系统，在左侧“交易市场”中选择资产交付方法为“联邦学习”的交易，点击“确认交易”的按钮。</w:t>
            </w:r>
          </w:p>
          <w:p ns2:paraId="475F8B7D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买家在系统左侧“资产交付”界面查看最新的交易，并点击对应交易条目中的“请求交付”,提交需要训练的全局模型和用户模型并请求交付，系统自动保存对应密钥到本地。</w:t>
            </w:r>
          </w:p>
          <w:p ns2:paraId="24F0E981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卖家在“资产交付”页面找到对应ID的信息并点击“执行交付”，系统会自动保存卖方密钥到本地并下载需要卖方本地运行的模型。</w:t>
            </w:r>
          </w:p>
          <w:p ns2:paraId="2827A9AE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卖家本地使用个人数据进行训练并导出一个批次后的结果，点击“执行交付”将本地梯度的压缩包上传。</w:t>
            </w:r>
          </w:p>
          <w:p ns2:paraId="5FA428DC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计算完成后，点击“下载结果”按钮并上传第3步保存的密钥，下载全局新的梯度，更新模型。</w:t>
            </w:r>
          </w:p>
          <w:p ns2:paraId="4B7B0D12">
            <w:pPr>
              <w:keepNext w:val="0"/>
              <w:keepLines w:val="0"/>
              <w:pageBreakBefore w:val="0"/>
              <w:widowControl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买方在全流程执行完成后，点击下载结果并上传第2步保存的密钥，获取联邦学习的结果模型压缩包。</w:t>
            </w:r>
          </w:p>
        </w:tc>
      </w:tr>
      <w:tr ns2:paraId="01363A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2DD78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预期结果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7B0831BF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正确计算最终结果可下载并解密，可正确运行；</w:t>
            </w:r>
          </w:p>
          <w:p ns2:paraId="31688385">
            <w:pPr>
              <w:keepNext w:val="0"/>
              <w:keepLines w:val="0"/>
              <w:pageBreakBefore w:val="0"/>
              <w:widowControl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>错误计算无法下载结果。</w:t>
            </w:r>
          </w:p>
        </w:tc>
      </w:tr>
      <w:tr ns2:paraId="0BFCC8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38CB2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00BE6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ns2:paraId="27AC94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ns2:paraId="5CE98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>测试结论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ns2:paraId="6A2BD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ns2:paraId="1A083C1D"/>
    <w:p ns2:paraId="2E1D2312">
      <w:pPr>
        <w:pStyle w:val="3"/>
        <w:ind w:left="720" w:hanging="720"/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/>
          <ns2:textFill>
            <ns2:solidFill>
              <ns2:schemeClr ns2:val="tx1"/>
            </ns2:solidFill>
          </ns2:textFill>
        </w:rPr>
      </w:pPr>
      <w:r>
        <w:rPr>
          <w:rFonts w:hint="default" w:ascii="宋体" w:hAnsi="宋体" w:eastAsia="宋体" w:cs="宋体"/>
          <w:color w:val="000000" w:themeColor="text1"/>
          <w:kern w:val="2"/>
          <w:sz w:val="24"/>
          <w:szCs w:val="24"/>
          <w:lang w:val="en-US" w:eastAsia="zh-CN"/>
          <ns2:textFill>
            <ns2:solidFill>
              <ns2:schemeClr ns2:val="tx1"/>
            </ns2:solidFill>
          </ns2:textFill>
        </w:rPr>
        <w:t xml:space="preserve">多方安全计算测试</w:t>
      </w:r>
      <w:bookmarkStart w:id="0" w:name="_GoBack"/>
      <w:bookmarkEnd w:id="0"/>
    </w:p>
    <w:p ns2:paraId="595EE07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验证数字资产流通原型系统的隐私保护计算中多方安全计算能力，检查参与方在不直接暴露各自原始数据的条件下，能否通过协同计算完成约定任务并返回正确结果。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/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/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/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/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/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/>
      </w:r>
    </w:p>
    <w:p ns2:paraId="05F5552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 xml:space="preserve">表4-6多方安全计算测试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67"/>
      </w:tblGrid>
      <w:tr ns2:paraId="335D98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测试项目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隐私计算平台中多方安全计算功能测试</w:t>
            </w:r>
          </w:p>
        </w:tc>
      </w:tr>
      <w:tr ns2:paraId="2FCD2C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测试目的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验证在提供方、使用方及计算服务协同参与的场景下，多方安全计算模块能否正常创建任务、完成联合计算、生成结果并符合设计预期。</w:t>
            </w:r>
          </w:p>
        </w:tc>
      </w:tr>
      <w:tr ns2:paraId="52600E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测试环境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数字资产流通原型系统</w:t>
            </w:r>
          </w:p>
        </w:tc>
      </w:tr>
      <w:tr ns2:paraId="1726A8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必选/可选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必选</w:t>
            </w:r>
          </w:p>
        </w:tc>
      </w:tr>
      <w:tr ns2:paraId="22F88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前置条件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区块链智能合约已部署、审计系统运行正常，参与方身份及计算接口可用。</w:t>
            </w:r>
          </w:p>
        </w:tc>
      </w:tr>
      <w:tr ns2:paraId="3D3B04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1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测试流程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1.  以卖家身份登录交易系统，在“交易市场”中选择交付方法为“多方安全计算”的交易并确认交易。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2.  买家在“资产交付”页面查看对应交易，提交计算需求及必要参数，发起交付请求。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3.  卖家在“资产交付”页面确认任务，按要求上传本方数据或计算材料，提交联合计算。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4.  系统校验参与方身份、任务参数和数据状态后，创建多方安全计算任务并进入执行状态。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5.  各参与方仅提交计算所需的受保护数据或中间信息，系统完成协同计算并生成结果摘要和审计记录。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6.  计算完成且审计通过后，买家在“资产交付”页面获取结果；未通过校验或计算失败时，不开放结果下载。</w:t>
            </w:r>
          </w:p>
        </w:tc>
      </w:tr>
      <w:tr ns2:paraId="01363A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预期结果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1.  合法参与方能够成功创建并完成多方安全计算任务，结果可按授权方式获取，且与使用明文独立计算得到的结果一致。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  <w:t xml:space="preserve">2.  计算过程中不向其他参与方返回未经授权的原始数据；身份、参数或数据校验失败时，任务被拒绝或结果下载受到限制。</w:t>
            </w:r>
          </w:p>
        </w:tc>
      </w:tr>
      <w:tr ns2:paraId="0BFCC8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测试结果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t xml:space="preserve"/>
            </w:r>
          </w:p>
        </w:tc>
      </w:tr>
      <w:tr ns2:paraId="27AC94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highlight w:val="none"/>
                <w:lang w:val="en-US" w:eastAsia="zh-CN"/>
              </w:rPr>
              <w:t xml:space="preserve">测试结论</w:t>
            </w:r>
          </w:p>
        </w:tc>
        <w:tc>
          <w:tcPr>
            <w:tcW w:w="71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t xml:space="preserve"/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7B760"/>
    <w:multiLevelType w:val="singleLevel"/>
    <w:tmpl w:val="9CE7B76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71FF33"/>
    <w:multiLevelType w:val="singleLevel"/>
    <w:tmpl w:val="F771FF3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414659D"/>
    <w:multiLevelType w:val="multilevel"/>
    <w:tmpl w:val="1414659D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"/>
      <w:lvlJc w:val="left"/>
      <w:pPr>
        <w:ind w:left="576" w:hanging="576"/>
      </w:pPr>
    </w:lvl>
    <w:lvl w:ilvl="2" w:tentative="0">
      <w:start w:val="1"/>
      <w:numFmt w:val="decimal"/>
      <w:pStyle w:val="3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49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26BFB793"/>
    <w:multiLevelType w:val="singleLevel"/>
    <w:tmpl w:val="26BFB79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6A6E4B3"/>
    <w:multiLevelType w:val="singleLevel"/>
    <w:tmpl w:val="36A6E4B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B21BE02"/>
    <w:multiLevelType w:val="singleLevel"/>
    <w:tmpl w:val="5B21BE0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87E7B9B"/>
    <w:multiLevelType w:val="singleLevel"/>
    <w:tmpl w:val="687E7B9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532DC"/>
    <w:rsid w:val="07BD684A"/>
    <w:rsid w:val="17604CAC"/>
    <w:rsid w:val="1B430D6D"/>
    <w:rsid w:val="1E730468"/>
    <w:rsid w:val="2919115F"/>
    <w:rsid w:val="305C0D6D"/>
    <w:rsid w:val="3B055D6E"/>
    <w:rsid w:val="3EBD7CDA"/>
    <w:rsid w:val="412E1809"/>
    <w:rsid w:val="48A00AFD"/>
    <w:rsid w:val="530C1269"/>
    <w:rsid w:val="571E205A"/>
    <w:rsid w:val="582232DD"/>
    <w:rsid w:val="59D4576A"/>
    <w:rsid w:val="5AFF2821"/>
    <w:rsid w:val="5B156E1E"/>
    <w:rsid w:val="5CCE7ABC"/>
    <w:rsid w:val="6BFB5EC7"/>
    <w:rsid w:val="7073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60" w:after="60" w:line="360" w:lineRule="auto"/>
      <w:outlineLvl w:val="1"/>
    </w:pPr>
    <w:rPr>
      <w:b/>
      <w:bCs/>
      <w:sz w:val="30"/>
      <w:szCs w:val="32"/>
    </w:rPr>
  </w:style>
  <w:style w:type="paragraph" w:styleId="3">
    <w:name w:val="heading 3"/>
    <w:basedOn w:val="1"/>
    <w:next w:val="1"/>
    <w:qFormat/>
    <w:uiPriority w:val="99"/>
    <w:pPr>
      <w:keepNext/>
      <w:keepLines/>
      <w:numPr>
        <w:ilvl w:val="2"/>
        <w:numId w:val="1"/>
      </w:numPr>
      <w:spacing w:before="60" w:after="60" w:line="360" w:lineRule="auto"/>
      <w:jc w:val="left"/>
      <w:outlineLvl w:val="2"/>
    </w:pPr>
    <w:rPr>
      <w:b/>
      <w:bCs/>
      <w:kern w:val="0"/>
      <w:sz w:val="28"/>
      <w:szCs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annotation text"/>
    <w:basedOn w:val="1"/>
    <w:unhideWhenUsed/>
    <w:qFormat/>
    <w:uiPriority w:val="99"/>
    <w:pPr>
      <w:jc w:val="left"/>
    </w:p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2026-09-01T10:00:41Z</dcterms:created>
  <dc:creator>25057</dc:creator>
  <cp:lastModifiedBy>tanice</cp:lastModifiedBy>
  <dcterms:modified xsi:type="dcterms:W3CDTF">2026-09-01T10:24:51Z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eyJoZGlkIjoiYjllNjRiZTY0ZjJiNzRmZmY0ZWRjM2QwYTljMGQ4MmYiLCJ1c2VySWQiOiI0MzcyOTg3MjAifQ==</vt:lpwstr>
  </property>
  <property fmtid="{D5CDD505-2E9C-101B-9397-08002B2CF9AE}" pid="4" name="ICV">
    <vt:lpwstr>1BFA3EB0D68942B3A49FF472CF73A482_12</vt:lpwstr>
  </property>
</Properties>
</file>