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7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U  S  E  R     O  P  E  R  A  T  I  O  N     M  A  N  U  A 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数字资产流通系统用户操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作手册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基于区块链的数字资产流通系统 · 前端操作指南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编制日期：2026 年 9 月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编制单位：【编制单位名称】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适用对象：买家 / 卖家 / 监管方 / 管理员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数字资产流通系统</w:t>
            </w:r>
            <w:r>
              <w:rPr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用户操作手册 V1.0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 w:line="380" w:lineRule="atLeast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文 档 信 息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文档名称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数字资产流通系统用户操作手册</w:t>
            </w:r>
          </w:p>
        </w:tc>
      </w:tr>
      <w:tr>
        <w:trPr>
          <w:cantSplit/>
        </w:trPr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文档编号</w:t>
            </w:r>
          </w:p>
        </w:tc>
        <w:tc>
          <w:tcPr>
            <w:tcW w:type="pct" w:w="7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【文档编号】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版本号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密级</w:t>
            </w:r>
          </w:p>
        </w:tc>
        <w:tc>
          <w:tcPr>
            <w:tcW w:type="pct" w:w="7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【密级】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编制单位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【编制单位名称】</w:t>
            </w:r>
          </w:p>
        </w:tc>
      </w:tr>
      <w:tr>
        <w:trPr>
          <w:cantSplit/>
        </w:trPr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编制日期</w:t>
            </w:r>
          </w:p>
        </w:tc>
        <w:tc>
          <w:tcPr>
            <w:tcW w:type="pct" w:w="7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2026 年 9 月 7 日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适用系统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基于区块链的数字资产流通系统（数字资产交易与隐私计算平台）</w:t>
            </w:r>
          </w:p>
        </w:tc>
      </w:tr>
    </w:tbl>
    <w:p>
      <w:pPr>
        <w:spacing w:after="240" w:before="240" w:line="380" w:lineRule="atLeast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修 订 记 录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55"/>
        <w:gridCol w:w="1758"/>
        <w:gridCol w:w="3339"/>
        <w:gridCol w:w="1318"/>
        <w:gridCol w:w="1318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版本号</w:t>
            </w:r>
          </w:p>
        </w:tc>
        <w:tc>
          <w:tcPr>
            <w:tcW w:type="pct" w:w="2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修订日期</w:t>
            </w:r>
          </w:p>
        </w:tc>
        <w:tc>
          <w:tcPr>
            <w:tcW w:type="pct" w:w="3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修订内容</w:t>
            </w:r>
          </w:p>
        </w:tc>
        <w:tc>
          <w:tcPr>
            <w:tcW w:type="pct" w:w="15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编制人</w:t>
            </w:r>
          </w:p>
        </w:tc>
        <w:tc>
          <w:tcPr>
            <w:tcW w:type="pct" w:w="15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审核人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V1.0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2026-09-07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初版发布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【编制人】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【审核人】</w:t>
            </w:r>
          </w:p>
        </w:tc>
      </w:tr>
      <w:tr>
        <w:trPr>
          <w:cantSplit/>
        </w:trPr>
        <w:tc>
          <w:tcPr>
            <w:tcW w:type="pct" w:w="1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【版本号】</w:t>
            </w:r>
          </w:p>
        </w:tc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【____/____/____】</w:t>
            </w:r>
          </w:p>
        </w:tc>
        <w:tc>
          <w:tcPr>
            <w:tcW w:type="pct" w:w="3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【修订内容】</w:t>
            </w:r>
          </w:p>
        </w:tc>
        <w:tc>
          <w:tcPr>
            <w:tcW w:type="pct" w:w="15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【编制人】</w:t>
            </w:r>
          </w:p>
        </w:tc>
        <w:tc>
          <w:tcPr>
            <w:tcW w:type="pct" w:w="15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【审核人】</w:t>
            </w:r>
          </w:p>
        </w:tc>
      </w:tr>
    </w:tbl>
    <w:p>
      <w:r>
        <w:br w:type="page"/>
      </w:r>
    </w:p>
    <w:p>
      <w:pPr>
        <w:spacing w:after="240" w:before="240" w:line="380" w:lineRule="atLeast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目  录</w:t>
      </w:r>
    </w:p>
    <w:p>
      <w:pPr>
        <w:spacing w:after="160"/>
        <w:jc w:val="center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注：本目录由域代码自动生成。文档编辑后如需更新页码，请在目录上单击鼠标右键并选择「更新域」。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00" w:history="1">
            <w:r>
              <w:rPr>
                <w:rStyle w:val="Hyperlink"/>
              </w:rPr>
              <w:t>1　文档概述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1" w:history="1">
            <w:r>
              <w:rPr>
                <w:rStyle w:val="Hyperlink"/>
              </w:rPr>
              <w:t>1.1　编写目的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2" w:history="1">
            <w:r>
              <w:rPr>
                <w:rStyle w:val="Hyperlink"/>
              </w:rPr>
              <w:t>1.2　适用读者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3" w:history="1">
            <w:r>
              <w:rPr>
                <w:rStyle w:val="Hyperlink"/>
              </w:rPr>
              <w:t>1.3　适用范围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4" w:history="1">
            <w:r>
              <w:rPr>
                <w:rStyle w:val="Hyperlink"/>
              </w:rPr>
              <w:t>1.4　术语与缩略语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05" w:history="1">
            <w:r>
              <w:rPr>
                <w:rStyle w:val="Hyperlink"/>
              </w:rPr>
              <w:t>2　系统简介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6" w:history="1">
            <w:r>
              <w:rPr>
                <w:rStyle w:val="Hyperlink"/>
              </w:rPr>
              <w:t>2.1　系统定位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7" w:history="1">
            <w:r>
              <w:rPr>
                <w:rStyle w:val="Hyperlink"/>
              </w:rPr>
              <w:t>2.2　主要功能一览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8" w:history="1">
            <w:r>
              <w:rPr>
                <w:rStyle w:val="Hyperlink"/>
              </w:rPr>
              <w:t>2.3　用户角色与登录身份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09" w:history="1">
            <w:r>
              <w:rPr>
                <w:rStyle w:val="Hyperlink"/>
              </w:rPr>
              <w:t>2.4　运行环境要求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10" w:history="1">
            <w:r>
              <w:rPr>
                <w:rStyle w:val="Hyperlink"/>
              </w:rPr>
              <w:t>3　快速上手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1" w:history="1">
            <w:r>
              <w:rPr>
                <w:rStyle w:val="Hyperlink"/>
              </w:rPr>
              <w:t>3.1　界面布局说明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2" w:history="1">
            <w:r>
              <w:rPr>
                <w:rStyle w:val="Hyperlink"/>
              </w:rPr>
              <w:t>3.2　注册账号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3" w:history="1">
            <w:r>
              <w:rPr>
                <w:rStyle w:val="Hyperlink"/>
              </w:rPr>
              <w:t>3.3　登录系统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4" w:history="1">
            <w:r>
              <w:rPr>
                <w:rStyle w:val="Hyperlink"/>
              </w:rPr>
              <w:t>3.4　身份切换与退出登录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5" w:history="1">
            <w:r>
              <w:rPr>
                <w:rStyle w:val="Hyperlink"/>
              </w:rPr>
              <w:t>3.5　证书申请与默认证书设置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16" w:history="1">
            <w:r>
              <w:rPr>
                <w:rStyle w:val="Hyperlink"/>
              </w:rPr>
              <w:t>4　卖家操作指南（资产发布方）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7" w:history="1">
            <w:r>
              <w:rPr>
                <w:rStyle w:val="Hyperlink"/>
              </w:rPr>
              <w:t>4.1　操作流程总览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8" w:history="1">
            <w:r>
              <w:rPr>
                <w:rStyle w:val="Hyperlink"/>
              </w:rPr>
              <w:t>4.2　资产上链登记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19" w:history="1">
            <w:r>
              <w:rPr>
                <w:rStyle w:val="Hyperlink"/>
              </w:rPr>
              <w:t>4.3　资产管理与代理托管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0" w:history="1">
            <w:r>
              <w:rPr>
                <w:rStyle w:val="Hyperlink"/>
              </w:rPr>
              <w:t>4.3.1　编辑与挂牌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1" w:history="1">
            <w:r>
              <w:rPr>
                <w:rStyle w:val="Hyperlink"/>
              </w:rPr>
              <w:t>4.3.2　代理托管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22" w:history="1">
            <w:r>
              <w:rPr>
                <w:rStyle w:val="Hyperlink"/>
              </w:rPr>
              <w:t>4.4　交易处理（确认购买申请）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23" w:history="1">
            <w:r>
              <w:rPr>
                <w:rStyle w:val="Hyperlink"/>
              </w:rPr>
              <w:t>4.5　资产交付（卖家）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4" w:history="1">
            <w:r>
              <w:rPr>
                <w:rStyle w:val="Hyperlink"/>
              </w:rPr>
              <w:t>4.5.1　同态加密（HE）交付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5" w:history="1">
            <w:r>
              <w:rPr>
                <w:rStyle w:val="Hyperlink"/>
              </w:rPr>
              <w:t>4.5.2　代理重加密（PRE）交付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6" w:history="1">
            <w:r>
              <w:rPr>
                <w:rStyle w:val="Hyperlink"/>
              </w:rPr>
              <w:t>4.5.3　联邦学习（FL）交付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7" w:history="1">
            <w:r>
              <w:rPr>
                <w:rStyle w:val="Hyperlink"/>
              </w:rPr>
              <w:t>4.5.4　多方安全计算（MPC）交付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28" w:history="1">
            <w:r>
              <w:rPr>
                <w:rStyle w:val="Hyperlink"/>
              </w:rPr>
              <w:t>4.5.5　可信执行环境（TEE）交付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29" w:history="1">
            <w:r>
              <w:rPr>
                <w:rStyle w:val="Hyperlink"/>
              </w:rPr>
              <w:t>5　买家操作指南（资产购买方）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0" w:history="1">
            <w:r>
              <w:rPr>
                <w:rStyle w:val="Hyperlink"/>
              </w:rPr>
              <w:t>5.1　操作流程总览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1" w:history="1">
            <w:r>
              <w:rPr>
                <w:rStyle w:val="Hyperlink"/>
              </w:rPr>
              <w:t>5.2　浏览交易市场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2" w:history="1">
            <w:r>
              <w:rPr>
                <w:rStyle w:val="Hyperlink"/>
              </w:rPr>
              <w:t>5.3　跨链检索与资产跨链调配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3" w:history="1">
            <w:r>
              <w:rPr>
                <w:rStyle w:val="Hyperlink"/>
              </w:rPr>
              <w:t>5.4　查看资产详情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4" w:history="1">
            <w:r>
              <w:rPr>
                <w:rStyle w:val="Hyperlink"/>
              </w:rPr>
              <w:t>5.5　申请购买（一口价）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5" w:history="1">
            <w:r>
              <w:rPr>
                <w:rStyle w:val="Hyperlink"/>
              </w:rPr>
              <w:t>5.6　参与竞价拍卖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36" w:history="1">
            <w:r>
              <w:rPr>
                <w:rStyle w:val="Hyperlink"/>
              </w:rPr>
              <w:t>5.7　资产交付（买家）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37" w:history="1">
            <w:r>
              <w:rPr>
                <w:rStyle w:val="Hyperlink"/>
              </w:rPr>
              <w:t>5.7.1　同态加密（HE）交付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38" w:history="1">
            <w:r>
              <w:rPr>
                <w:rStyle w:val="Hyperlink"/>
              </w:rPr>
              <w:t>5.7.2　联邦学习（FL）交付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39" w:history="1">
            <w:r>
              <w:rPr>
                <w:rStyle w:val="Hyperlink"/>
              </w:rPr>
              <w:t>5.7.3　代理重加密（PRE）交付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40" w:history="1">
            <w:r>
              <w:rPr>
                <w:rStyle w:val="Hyperlink"/>
              </w:rPr>
              <w:t>5.7.4　多方安全计算（MPC）交付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40" w:after="20" w:line="240" w:lineRule="auto"/>
          </w:pPr>
          <w:hyperlink w:anchor="_Toc100041" w:history="1">
            <w:r>
              <w:rPr>
                <w:rStyle w:val="Hyperlink"/>
              </w:rPr>
              <w:t>5.7.5　可信执行环境（TEE）交付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42" w:history="1">
            <w:r>
              <w:rPr>
                <w:rStyle w:val="Hyperlink"/>
              </w:rPr>
              <w:t>6　数字合约管理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3" w:history="1">
            <w:r>
              <w:rPr>
                <w:rStyle w:val="Hyperlink"/>
              </w:rPr>
              <w:t>6.1　功能说明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4" w:history="1">
            <w:r>
              <w:rPr>
                <w:rStyle w:val="Hyperlink"/>
              </w:rPr>
              <w:t>6.2　下载合约模板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5" w:history="1">
            <w:r>
              <w:rPr>
                <w:rStyle w:val="Hyperlink"/>
              </w:rPr>
              <w:t>6.3　创建数字合约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6" w:history="1">
            <w:r>
              <w:rPr>
                <w:rStyle w:val="Hyperlink"/>
              </w:rPr>
              <w:t>6.4　审核、履行与终止合约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47" w:history="1">
            <w:r>
              <w:rPr>
                <w:rStyle w:val="Hyperlink"/>
              </w:rPr>
              <w:t>7　监管方操作指南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8" w:history="1">
            <w:r>
              <w:rPr>
                <w:rStyle w:val="Hyperlink"/>
              </w:rPr>
              <w:t>7.1　数据看板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49" w:history="1">
            <w:r>
              <w:rPr>
                <w:rStyle w:val="Hyperlink"/>
              </w:rPr>
              <w:t>7.2　穿透式账户监管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0" w:history="1">
            <w:r>
              <w:rPr>
                <w:rStyle w:val="Hyperlink"/>
              </w:rPr>
              <w:t>7.3　交易穿透监管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51" w:history="1">
            <w:r>
              <w:rPr>
                <w:rStyle w:val="Hyperlink"/>
              </w:rPr>
              <w:t>8　管理员操作指南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2" w:history="1">
            <w:r>
              <w:rPr>
                <w:rStyle w:val="Hyperlink"/>
              </w:rPr>
              <w:t>8.1　数据看板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3" w:history="1">
            <w:r>
              <w:rPr>
                <w:rStyle w:val="Hyperlink"/>
              </w:rPr>
              <w:t>8.2　用户管理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4" w:history="1">
            <w:r>
              <w:rPr>
                <w:rStyle w:val="Hyperlink"/>
              </w:rPr>
              <w:t>8.3　权限管理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5" w:history="1">
            <w:r>
              <w:rPr>
                <w:rStyle w:val="Hyperlink"/>
              </w:rPr>
              <w:t>8.4　系统服务管理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56" w:history="1">
            <w:r>
              <w:rPr>
                <w:rStyle w:val="Hyperlink"/>
              </w:rPr>
              <w:t>9　常见问题与注意事项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7" w:history="1">
            <w:r>
              <w:rPr>
                <w:rStyle w:val="Hyperlink"/>
              </w:rPr>
              <w:t>9.1　常见问题（FAQ）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 w:line="240" w:lineRule="auto"/>
          </w:pPr>
          <w:hyperlink w:anchor="_Toc100058" w:history="1">
            <w:r>
              <w:rPr>
                <w:rStyle w:val="Hyperlink"/>
              </w:rPr>
              <w:t>9.2　安全使用注意事项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59" w:history="1">
            <w:r>
              <w:rPr>
                <w:rStyle w:val="Hyperlink"/>
              </w:rPr>
              <w:t>附录A　角色与页面权限对照表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 w:line="240" w:lineRule="auto"/>
          </w:pPr>
          <w:hyperlink w:anchor="_Toc100060" w:history="1">
            <w:r>
              <w:rPr>
                <w:rStyle w:val="Hyperlink"/>
              </w:rPr>
              <w:t>附录B　隐私计算交付方式操作对照表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0" w:after="0" w:line="20" w:lineRule="exact"/>
        <w:rPr>
          <w:sz w:val="2"/>
          <w:szCs w:val="2"/>
        </w:r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80" w:lineRule="atLeast"/>
      </w:pPr>
      <w:bookmarkStart w:id="100000" w:name="_Toc10000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　文档概述</w:t>
      </w:r>
      <w:bookmarkEnd w:id="100000"/>
    </w:p>
    <w:p>
      <w:pPr>
        <w:pStyle w:val="Heading2"/>
        <w:spacing w:after="140" w:before="280" w:line="340" w:lineRule="atLeast"/>
      </w:pPr>
      <w:bookmarkStart w:id="100001" w:name="_Toc10000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1.1　编写目的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本手册面向基于区块链的数字资产流通系统（以下简称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「本系统」</w:t>
      </w:r>
      <w:r>
        <w:rPr>
          <w:rFonts w:ascii="Times New Roman" w:eastAsia="SimSun"/>
          <w:color w:val="000000"/>
          <w:sz w:val="24"/>
          <w:szCs w:val="24"/>
        </w:rPr>
        <w:t xml:space="preserve">）的各类最终用户，系统介绍 Web 前端各功能页面的操作方法。通过本手册，读者可以了解系统的功能布局、角色权限以及从用户注册、证书申请、资产上链登记、市场交易、隐私资产交付、数字合约管理到监管查询的完整操作流程，从而快速、规范地使用本系统开展业务。</w:t>
      </w:r>
    </w:p>
    <w:p>
      <w:pPr>
        <w:pStyle w:val="Heading2"/>
        <w:spacing w:after="140" w:before="280" w:line="340" w:lineRule="atLeast"/>
      </w:pPr>
      <w:bookmarkStart w:id="100002" w:name="_Toc10000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1.2　适用读者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本手册适用于以下人员：资产发布方（卖家）、资产购买方（买家）、监管方业务人员、系统管理员，以及项目验收、测试与运维相关人员。</w:t>
      </w:r>
    </w:p>
    <w:p>
      <w:pPr>
        <w:pStyle w:val="Heading2"/>
        <w:spacing w:after="140" w:before="280" w:line="340" w:lineRule="atLeast"/>
      </w:pPr>
      <w:bookmarkStart w:id="100003" w:name="_Toc10000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1.3　适用范围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本手册内容覆盖本系统 Web 前端的全部用户操作。系统后端部署、区块链与隐私计算环境搭建、服务运维等内容请参见相应的部署文档与运维文档，不在本手册范围之内。</w:t>
      </w:r>
    </w:p>
    <w:p>
      <w:pPr>
        <w:pStyle w:val="Heading2"/>
        <w:spacing w:after="140" w:before="280" w:line="340" w:lineRule="atLeast"/>
      </w:pPr>
      <w:bookmarkStart w:id="100004" w:name="_Toc10000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1.4　术语与缩略语</w:t>
      </w:r>
      <w:bookmarkEnd w:id="100004"/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1-1　术语与缩略语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术语 / 缩略语</w:t>
            </w:r>
          </w:p>
        </w:tc>
        <w:tc>
          <w:tcPr>
            <w:tcW w:type="pct" w:w="7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长安链（ChainMaker）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底层区块链平台，支撑资产存证、权属转移与审计留痕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HE（同态加密）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支持直接在密文上进行计算而不泄露明文的加密技术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PRE（代理重加密）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将卖方密文转换为指定买方可解密密文的代理技术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FL（联邦学习）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数据不出本地、交换模型参数联合训练模型的方法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MPC（多方安全计算）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多方协同完成计算且互不泄露各自原始数据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TEE（可信执行环境）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基于硬件隔离、保证计算过程可信的执行环境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上链登记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将资产信息生成数字指纹（哈希）并写入链上存证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分类分级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依据类型、收益、流通性等维度评定资产等级与类别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数字合约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约束数据使用行为的数字化协议，含三类使用控制策略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代理托管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卖家凭托管码将资产按数量授权第三方托管的机制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05" w:name="_Toc10000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　系统简介</w:t>
      </w:r>
      <w:bookmarkEnd w:id="100005"/>
    </w:p>
    <w:p>
      <w:pPr>
        <w:pStyle w:val="Heading2"/>
        <w:spacing w:after="140" w:before="280" w:line="340" w:lineRule="atLeast"/>
      </w:pPr>
      <w:bookmarkStart w:id="100006" w:name="_Toc10000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2.1　系统定位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系统是一套集数字资产登记、估值定价、市场交易、隐私资产交付、数字合约与穿透式监管于一体的区块链数字资产流通平台。系统以长安链作为底层信任基础设施，结合同态加密、代理重加密、联邦学习、多方安全计算与可信执行环境等隐私计算技术，在保障数据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「可用不可见」</w:t>
      </w:r>
      <w:r>
        <w:rPr>
          <w:rFonts w:ascii="Times New Roman" w:eastAsia="SimSun"/>
          <w:color w:val="000000"/>
          <w:sz w:val="24"/>
          <w:szCs w:val="24"/>
        </w:rPr>
        <w:t xml:space="preserve">的前提下实现数字资产的合规流通与全程可监管。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2-1　系统总体架构图</w:t>
      </w:r>
    </w:p>
    <w:p>
      <w:pPr>
        <w:pStyle w:val="Heading2"/>
        <w:spacing w:after="140" w:before="280" w:line="340" w:lineRule="atLeast"/>
      </w:pPr>
      <w:bookmarkStart w:id="100007" w:name="_Toc10000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2.2　主要功能一览</w:t>
      </w:r>
      <w:bookmarkEnd w:id="100007"/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2-1　平台主要功能一览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758"/>
        <w:gridCol w:w="2109"/>
        <w:gridCol w:w="4921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面向角色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主要能力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数据看板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全部角色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交易量、底链 TPS、监管与审计概况等运行数据展示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上链登记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</w:t>
            </w:r>
          </w:p>
        </w:tc>
        <w:tc>
          <w:tcPr>
            <w:tcW w:type="pct" w:w="5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资产登记、相似度检测、分类分级、估值计算、交付方法配置、链上存证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资产管理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 / 审计方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资产列表查看、信息编辑、挂牌状态变更、代理托管授权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交易市场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</w:t>
            </w:r>
          </w:p>
        </w:tc>
        <w:tc>
          <w:tcPr>
            <w:tcW w:type="pct" w:w="5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资产搜索筛选、详情查看、购买申请、竞价拍卖、跨链检索与调配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交易处理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 / 买家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卖家确认购买申请并自动生成合约；买家提交获拍资产交易申请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资产交付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 / 买家</w:t>
            </w:r>
          </w:p>
        </w:tc>
        <w:tc>
          <w:tcPr>
            <w:tcW w:type="pct" w:w="5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 HE / PRE / FL / MPC / TEE 五种方式完成加密交付与结果下载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数字合约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买卖双方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合约创建、审核、履行、终止与模板下载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监管平台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5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异常账户自动检测、检测任务队列、风险事件处置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交易穿透监管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链上交易多维查询、监管状态与风险事件查看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系统管理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</w:t>
            </w:r>
          </w:p>
        </w:tc>
        <w:tc>
          <w:tcPr>
            <w:tcW w:type="pct" w:w="5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用户管理、权限管理、系统服务管理</w:t>
            </w:r>
          </w:p>
        </w:tc>
      </w:tr>
    </w:tbl>
    <w:p>
      <w:pPr>
        <w:pStyle w:val="Heading2"/>
        <w:spacing w:after="140" w:before="280" w:line="340" w:lineRule="atLeast"/>
      </w:pPr>
      <w:bookmarkStart w:id="100008" w:name="_Toc10000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2.3　用户角色与登录身份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系统在登录时需要选择登录身份，不同身份登录后进入的页面与可用功能不同。其中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「普通用户」</w:t>
      </w:r>
      <w:r>
        <w:rPr>
          <w:rFonts w:ascii="Times New Roman" w:eastAsia="SimSun"/>
          <w:color w:val="000000"/>
          <w:sz w:val="24"/>
          <w:szCs w:val="24"/>
        </w:rPr>
        <w:t xml:space="preserve">登录后可在页面顶栏随时切换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「买家」</w:t>
      </w:r>
      <w:r>
        <w:rPr>
          <w:rFonts w:ascii="Times New Roman" w:eastAsia="SimSun"/>
          <w:color w:val="000000"/>
          <w:sz w:val="24"/>
          <w:szCs w:val="24"/>
        </w:rPr>
        <w:t xml:space="preserve">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「卖家」</w:t>
      </w:r>
      <w:r>
        <w:rPr>
          <w:rFonts w:ascii="Times New Roman" w:eastAsia="SimSun"/>
          <w:color w:val="000000"/>
          <w:sz w:val="24"/>
          <w:szCs w:val="24"/>
        </w:rPr>
        <w:t xml:space="preserve">视角，分别对应资产购买与资产发布两类业务角色。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2-2　登录身份说明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582"/>
        <w:gridCol w:w="1933"/>
        <w:gridCol w:w="5273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登录身份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登录后进入</w:t>
            </w:r>
          </w:p>
        </w:tc>
        <w:tc>
          <w:tcPr>
            <w:tcW w:type="pct" w:w="6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普通用户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交易市场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即业务用户，可在顶栏切换买家 / 卖家视角，进行资产登记、交易与交付</w:t>
            </w:r>
          </w:p>
        </w:tc>
      </w:tr>
      <w:tr>
        <w:trPr>
          <w:cantSplit/>
        </w:trPr>
        <w:tc>
          <w:tcPr>
            <w:tcW w:type="pct" w:w="1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监管平台</w:t>
            </w:r>
          </w:p>
        </w:tc>
        <w:tc>
          <w:tcPr>
            <w:tcW w:type="pct" w:w="6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进行穿透式账户监管与交易穿透监管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审计方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外部审计平台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登录后系统自动获取审计平台（PAM）入口并跳转，本系统内不再开放业务菜单</w:t>
            </w:r>
          </w:p>
        </w:tc>
      </w:tr>
      <w:tr>
        <w:trPr>
          <w:cantSplit/>
        </w:trPr>
        <w:tc>
          <w:tcPr>
            <w:tcW w:type="pct" w:w="1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数据看板</w:t>
            </w:r>
          </w:p>
        </w:tc>
        <w:tc>
          <w:tcPr>
            <w:tcW w:type="pct" w:w="6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查看平台运行数据，并可使用用户管理、权限管理、服务管理功能</w:t>
            </w:r>
          </w:p>
        </w:tc>
      </w:tr>
    </w:tbl>
    <w:p>
      <w:pPr>
        <w:pStyle w:val="Heading2"/>
        <w:spacing w:after="140" w:before="280" w:line="340" w:lineRule="atLeast"/>
      </w:pPr>
      <w:bookmarkStart w:id="100009" w:name="_Toc10000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2.4　运行环境要求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本系统为 B/S 架构 Web 应用，无需安装客户端。建议使用 Chrome、Edge 等主流现代浏览器的较新版本访问系统；推荐屏幕分辨率为 1920×1080 及以上，以保证页面布局与弹窗完整显示。使用系统前请确认网络可达系统服务器，系统访问地址为【系统访问地址，由运维方提供】。</w:t>
      </w:r>
    </w:p>
    <w:p>
      <w:pPr>
        <w:pStyle w:val="Heading1"/>
        <w:pageBreakBefore/>
        <w:spacing w:after="200" w:before="360" w:line="380" w:lineRule="atLeast"/>
      </w:pPr>
      <w:bookmarkStart w:id="100010" w:name="_Toc10001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　快速上手</w:t>
      </w:r>
      <w:bookmarkEnd w:id="100010"/>
    </w:p>
    <w:p>
      <w:pPr>
        <w:pStyle w:val="Heading2"/>
        <w:spacing w:after="140" w:before="280" w:line="340" w:lineRule="atLeast"/>
      </w:pPr>
      <w:bookmarkStart w:id="100011" w:name="_Toc1000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3.1　界面布局说明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登录后进入系统主界面。界面自上而下、自左而右分为三个区域：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顶部导航栏：显示系统名称与标识，提供全局搜索框、买家 / 卖家身份切换下拉框、当前用户欢迎信息以及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「登出」</w:t>
      </w:r>
      <w:r>
        <w:rPr>
          <w:rFonts w:ascii="Times New Roman" w:eastAsia="SimSun"/>
          <w:color w:val="000000"/>
          <w:sz w:val="24"/>
          <w:szCs w:val="24"/>
        </w:rPr>
        <w:t xml:space="preserve">按钮；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左侧功能菜单：按当前角色动态显示可访问的功能入口，例如卖家可见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「上链登记」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「资产管理」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「交易市场」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「交易处理」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「资产交付」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「个人中心」</w:t>
      </w:r>
      <w:r>
        <w:rPr>
          <w:rFonts w:ascii="Times New Roman" w:eastAsia="SimSun"/>
          <w:color w:val="000000"/>
          <w:sz w:val="24"/>
          <w:szCs w:val="24"/>
        </w:rPr>
        <w:t xml:space="preserve">等菜单；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主工作区：展示当前页面内容，包括列表、表单、统计卡片与各类弹窗。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3-1　系统主界面整体布局（以交易市场页面为例）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3-1　左侧菜单与角色对照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758"/>
        <w:gridCol w:w="2285"/>
        <w:gridCol w:w="4746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菜单名称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可见角色</w:t>
            </w:r>
          </w:p>
        </w:tc>
        <w:tc>
          <w:tcPr>
            <w:tcW w:type="pct" w:w="5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对应页面用途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上链登记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数字资产登记上链，含估值、分类分级与交付方法配置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资产管理</w:t>
            </w:r>
          </w:p>
        </w:tc>
        <w:tc>
          <w:tcPr>
            <w:tcW w:type="pct" w:w="2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 / 审计方</w:t>
            </w:r>
          </w:p>
        </w:tc>
        <w:tc>
          <w:tcPr>
            <w:tcW w:type="pct" w:w="5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已登记资产列表查看、编辑、挂牌与代理托管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交易市场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资产浏览、搜索筛选、购买申请、竞价拍卖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交易处理</w:t>
            </w:r>
          </w:p>
        </w:tc>
        <w:tc>
          <w:tcPr>
            <w:tcW w:type="pct" w:w="2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 / 买家</w:t>
            </w:r>
          </w:p>
        </w:tc>
        <w:tc>
          <w:tcPr>
            <w:tcW w:type="pct" w:w="5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卖家确认购买申请；买家对获拍资产提交交易申请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资产交付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 / 买家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按交付方法完成加密交付、请求交付与结果下载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个人中心</w:t>
            </w:r>
          </w:p>
        </w:tc>
        <w:tc>
          <w:tcPr>
            <w:tcW w:type="pct" w:w="2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 / 审计方</w:t>
            </w:r>
          </w:p>
        </w:tc>
        <w:tc>
          <w:tcPr>
            <w:tcW w:type="pct" w:w="5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链上证书申请与默认证书设置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监管平台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穿透式账户监管工作台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交易穿透监管</w:t>
            </w:r>
          </w:p>
        </w:tc>
        <w:tc>
          <w:tcPr>
            <w:tcW w:type="pct" w:w="2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5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链上交易记录查询与风险事件查看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2" w:name="_Toc10001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3.2　注册账号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首次使用系统需要先注册账号，操作步骤如下：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打开系统登录页，点击页面底部的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「立即注册」</w:t>
      </w:r>
      <w:r>
        <w:rPr>
          <w:rFonts w:ascii="Times New Roman" w:eastAsia="SimSun"/>
          <w:color w:val="000000"/>
          <w:sz w:val="24"/>
          <w:szCs w:val="24"/>
        </w:rPr>
        <w:t xml:space="preserve">链接，进入注册页面；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依次填写用户名、密码、确认密码、邮箱、手机号与地址；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「注册」</w:t>
      </w:r>
      <w:r>
        <w:rPr>
          <w:rFonts w:ascii="Times New Roman" w:eastAsia="SimSun"/>
          <w:color w:val="000000"/>
          <w:sz w:val="24"/>
          <w:szCs w:val="24"/>
        </w:rPr>
        <w:t xml:space="preserve">按钮提交。系统校验两次输入的密码一致后完成注册，并自动返回登录页。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3-2　用户注册页面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请妥善保管账号密码。密码在注册与登录时均以加密形式传输与存储，请勿将账号转借他人使用。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3" w:name="_Toc10001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3.3　登录系统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使用已注册的账号登录系统，操作步骤如下：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在浏览器中打开系统访问地址，进入登录页；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输入用户名与密码；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在登录身份中选择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「普通用户」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「监管方」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「审计方」</w:t>
      </w:r>
      <w:r>
        <w:rPr>
          <w:rFonts w:ascii="Times New Roman" w:eastAsia="SimSun"/>
          <w:color w:val="000000"/>
          <w:sz w:val="24"/>
          <w:szCs w:val="24"/>
        </w:rPr>
        <w:t xml:space="preserve">或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「管理员」</w:t>
      </w:r>
      <w:r>
        <w:rPr>
          <w:rFonts w:ascii="Times New Roman" w:eastAsia="SimSun"/>
          <w:color w:val="000000"/>
          <w:sz w:val="24"/>
          <w:szCs w:val="24"/>
        </w:rPr>
        <w:t xml:space="preserve">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「登录」</w:t>
      </w:r>
      <w:r>
        <w:rPr>
          <w:rFonts w:ascii="Times New Roman" w:eastAsia="SimSun"/>
          <w:color w:val="000000"/>
          <w:sz w:val="24"/>
          <w:szCs w:val="24"/>
        </w:rPr>
        <w:t xml:space="preserve">按钮。登录成功后按身份自动跳转：普通用户进入交易市场，监管方进入监管平台，管理员进入数据看板，审计方由系统获取审计平台入口后自动跳转至外部审计平台。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3-3　系统登录页面</w:t>
      </w:r>
    </w:p>
    <w:p>
      <w:pPr>
        <w:pStyle w:val="Heading2"/>
        <w:spacing w:after="140" w:before="280" w:line="340" w:lineRule="atLeast"/>
      </w:pPr>
      <w:bookmarkStart w:id="100014" w:name="_Toc10001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3.4　身份切换与退出登录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普通用户登录后，如需在购买业务与发布业务之间切换，可点击顶栏的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「身份切换」</w:t>
      </w:r>
      <w:r>
        <w:rPr>
          <w:rFonts w:ascii="Times New Roman" w:eastAsia="SimSun"/>
          <w:color w:val="000000"/>
          <w:sz w:val="24"/>
          <w:szCs w:val="24"/>
        </w:rPr>
        <w:t xml:space="preserve">下拉框，选择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「买家」</w:t>
      </w:r>
      <w:r>
        <w:rPr>
          <w:rFonts w:ascii="Times New Roman" w:eastAsia="SimSun"/>
          <w:color w:val="000000"/>
          <w:sz w:val="24"/>
          <w:szCs w:val="24"/>
        </w:rPr>
        <w:t xml:space="preserve">或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「卖家」</w:t>
      </w:r>
      <w:r>
        <w:rPr>
          <w:rFonts w:ascii="Times New Roman" w:eastAsia="SimSun"/>
          <w:color w:val="000000"/>
          <w:sz w:val="24"/>
          <w:szCs w:val="24"/>
        </w:rPr>
        <w:t xml:space="preserve">。切换后系统自动保存当前视角并跳转至对应的资产交付页面，左侧菜单同步刷新。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业务操作完成后，建议点击顶栏右上角的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「登出」</w:t>
      </w:r>
      <w:r>
        <w:rPr>
          <w:rFonts w:ascii="Times New Roman" w:eastAsia="SimSun"/>
          <w:color w:val="000000"/>
          <w:sz w:val="24"/>
          <w:szCs w:val="24"/>
        </w:rPr>
        <w:t xml:space="preserve">按钮退出系统。登出后系统清除本地登录状态并返回登录页。</w:t>
      </w:r>
    </w:p>
    <w:p>
      <w:pPr>
        <w:pStyle w:val="Heading2"/>
        <w:spacing w:after="140" w:before="280" w:line="340" w:lineRule="atLeast"/>
      </w:pPr>
      <w:bookmarkStart w:id="100015" w:name="_Toc10001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3.5　证书申请与默认证书设置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上链登记与购买交易均需使用长安链数字证书签名。首次开展业务前，请先在个人中心完成证书申请与默认证书设置：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「个人中心」</w:t>
      </w:r>
      <w:r>
        <w:rPr>
          <w:rFonts w:ascii="Times New Roman" w:eastAsia="SimSun"/>
          <w:color w:val="000000"/>
          <w:sz w:val="24"/>
          <w:szCs w:val="24"/>
        </w:rPr>
        <w:t xml:space="preserve">，进入证书管理页面；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「申请」</w:t>
      </w:r>
      <w:r>
        <w:rPr>
          <w:rFonts w:ascii="Times New Roman" w:eastAsia="SimSun"/>
          <w:color w:val="000000"/>
          <w:sz w:val="24"/>
          <w:szCs w:val="24"/>
        </w:rPr>
        <w:t xml:space="preserve">按钮，在弹窗中填写证书名称（1～10 位字母或数字，不可与已有证书重名）；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选择所属组织（wx-org1.chainmaker.org 或 wx-org2.chainmaker.org），点击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「确认」</w:t>
      </w:r>
      <w:r>
        <w:rPr>
          <w:rFonts w:ascii="Times New Roman" w:eastAsia="SimSun"/>
          <w:color w:val="000000"/>
          <w:sz w:val="24"/>
          <w:szCs w:val="24"/>
        </w:rPr>
        <w:t xml:space="preserve">提交申请；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等待证书生成完成。证书有效期为 6 个月，可在证书列表中查看名称、所属组织、创建时间与过期时间，点击可查看证书内容；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步骤5　</w:t>
      </w:r>
      <w:r>
        <w:rPr>
          <w:rFonts w:ascii="Times New Roman" w:eastAsia="SimSun"/>
          <w:color w:val="000000"/>
          <w:sz w:val="24"/>
          <w:szCs w:val="24"/>
        </w:rPr>
        <w:t xml:space="preserve">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「默认证书设置」</w:t>
      </w:r>
      <w:r>
        <w:rPr>
          <w:rFonts w:ascii="Times New Roman" w:eastAsia="SimSun"/>
          <w:color w:val="000000"/>
          <w:sz w:val="24"/>
          <w:szCs w:val="24"/>
        </w:rPr>
        <w:t xml:space="preserve">卡片中，分别选择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「上链默认证书」</w:t>
      </w:r>
      <w:r>
        <w:rPr>
          <w:rFonts w:ascii="Times New Roman" w:eastAsia="SimSun"/>
          <w:color w:val="000000"/>
          <w:sz w:val="24"/>
          <w:szCs w:val="24"/>
        </w:rPr>
        <w:t xml:space="preserve">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「交易默认证书」</w:t>
      </w:r>
      <w:r>
        <w:rPr>
          <w:rFonts w:ascii="Times New Roman" w:eastAsia="SimSun"/>
          <w:color w:val="000000"/>
          <w:sz w:val="24"/>
          <w:szCs w:val="24"/>
        </w:rPr>
        <w:t xml:space="preserve">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「保存默认证书」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3-4　个人中心证书管理页面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提交购买申请时系统取用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「交易默认证书」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对应的地址作为买家地址，上链登记时取用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「上链默认证书」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。请务必在开展业务前完成两项默认证书设置，并在证书过期前及时重新申请。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16" w:name="_Toc10001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　卖家操作指南（资产发布方）</w:t>
      </w:r>
      <w:bookmarkEnd w:id="100016"/>
    </w:p>
    <w:p>
      <w:pPr>
        <w:pStyle w:val="Heading2"/>
        <w:spacing w:after="140" w:before="280" w:line="340" w:lineRule="atLeast"/>
      </w:pPr>
      <w:bookmarkStart w:id="100017" w:name="_Toc10001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4.1　操作流程总览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卖家（资产发布方）的核心业务流程为：资产上链登记 → 资产管理与挂牌（可选代理托管）→ 确认买家购买申请（系统自动生成数字合约并完成链上转移或授权）→ 按约定交付方法执行加密交付。以下分节说明各环节的具体操作。</w:t>
      </w:r>
    </w:p>
    <w:p>
      <w:pPr>
        <w:pStyle w:val="Heading2"/>
        <w:spacing w:after="140" w:before="280" w:line="340" w:lineRule="atLeast"/>
      </w:pPr>
      <w:bookmarkStart w:id="100018" w:name="_Toc10001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4.2　资产上链登记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「上链登记」</w:t>
      </w:r>
      <w:r>
        <w:rPr>
          <w:rFonts w:ascii="Times New Roman" w:eastAsia="SimSun"/>
          <w:color w:val="000000"/>
          <w:sz w:val="24"/>
          <w:szCs w:val="24"/>
        </w:rPr>
        <w:t xml:space="preserve">进入登记页面。上链登记将资产信息生成数字指纹存证并写入长安链，同时完成分类分级、估值与交付方式配置。操作步骤如下：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填写资产基本信息：资产名称（必填）、联系邮箱、资产地址，并在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「上链登记内容」</w:t>
      </w:r>
      <w:r>
        <w:rPr>
          <w:rFonts w:ascii="Times New Roman" w:eastAsia="SimSun"/>
          <w:color w:val="000000"/>
          <w:sz w:val="24"/>
          <w:szCs w:val="24"/>
        </w:rPr>
        <w:t xml:space="preserve">中填写资产描述（必填）；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存证方法选择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「数字指纹」</w:t>
      </w:r>
      <w:r>
        <w:rPr>
          <w:rFonts w:ascii="Times New Roman" w:eastAsia="SimSun"/>
          <w:color w:val="000000"/>
          <w:sz w:val="24"/>
          <w:szCs w:val="24"/>
        </w:rPr>
        <w:t xml:space="preserve">。可点击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「相似度检测」</w:t>
      </w:r>
      <w:r>
        <w:rPr>
          <w:rFonts w:ascii="Times New Roman" w:eastAsia="SimSun"/>
          <w:color w:val="000000"/>
          <w:sz w:val="24"/>
          <w:szCs w:val="24"/>
        </w:rPr>
        <w:t xml:space="preserve">按钮对登记内容进行查重检测，避免重复登记；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上传资产描述文件；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「资产交付方法」</w:t>
      </w:r>
      <w:r>
        <w:rPr>
          <w:rFonts w:ascii="Times New Roman" w:eastAsia="SimSun"/>
          <w:color w:val="000000"/>
          <w:sz w:val="24"/>
          <w:szCs w:val="24"/>
        </w:rPr>
        <w:t xml:space="preserve">下拉框中选择交付方式（见表 4-1）。若选择 TEE（可信执行环境），需按提示同时上传 TEE 数据文件（TEE data）与 TEE 权重文件（TEE weight）两个 CSV 文件；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步骤5　</w:t>
      </w:r>
      <w:r>
        <w:rPr>
          <w:rFonts w:ascii="Times New Roman" w:eastAsia="SimSun"/>
          <w:color w:val="000000"/>
          <w:sz w:val="24"/>
          <w:szCs w:val="24"/>
        </w:rPr>
        <w:t xml:space="preserve">选择资产领域，可在碳证交易、征信、数字版权、自动驾驶、车联网、法律等领域及国民经济行业分类中选择；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步骤6　</w:t>
      </w:r>
      <w:r>
        <w:rPr>
          <w:rFonts w:ascii="Times New Roman" w:eastAsia="SimSun"/>
          <w:color w:val="000000"/>
          <w:sz w:val="24"/>
          <w:szCs w:val="24"/>
        </w:rPr>
        <w:t xml:space="preserve">选择分类分级方法（如按类型、收益、流通性、价值稳定性等维度），点击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「分类分级」</w:t>
      </w:r>
      <w:r>
        <w:rPr>
          <w:rFonts w:ascii="Times New Roman" w:eastAsia="SimSun"/>
          <w:color w:val="000000"/>
          <w:sz w:val="24"/>
          <w:szCs w:val="24"/>
        </w:rPr>
        <w:t xml:space="preserve">按钮，系统自动评估并回填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「资产等级和类别」</w:t>
      </w:r>
      <w:r>
        <w:rPr>
          <w:rFonts w:ascii="Times New Roman" w:eastAsia="SimSun"/>
          <w:color w:val="000000"/>
          <w:sz w:val="24"/>
          <w:szCs w:val="24"/>
        </w:rPr>
        <w:t xml:space="preserve">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步骤7　</w:t>
      </w:r>
      <w:r>
        <w:rPr>
          <w:rFonts w:ascii="Times New Roman" w:eastAsia="SimSun"/>
          <w:color w:val="000000"/>
          <w:sz w:val="24"/>
          <w:szCs w:val="24"/>
        </w:rPr>
        <w:t xml:space="preserve">选择定价模式：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「固定价」</w:t>
      </w:r>
      <w:r>
        <w:rPr>
          <w:rFonts w:ascii="Times New Roman" w:eastAsia="SimSun"/>
          <w:color w:val="000000"/>
          <w:sz w:val="24"/>
          <w:szCs w:val="24"/>
        </w:rPr>
        <w:t xml:space="preserve">或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「拍卖」</w:t>
      </w:r>
      <w:r>
        <w:rPr>
          <w:rFonts w:ascii="Times New Roman" w:eastAsia="SimSun"/>
          <w:color w:val="000000"/>
          <w:sz w:val="24"/>
          <w:szCs w:val="24"/>
        </w:rPr>
        <w:t xml:space="preserve">。选择拍卖时需设置拍卖截止时间；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步骤8　</w:t>
      </w:r>
      <w:r>
        <w:rPr>
          <w:rFonts w:ascii="Times New Roman" w:eastAsia="SimSun"/>
          <w:color w:val="000000"/>
          <w:sz w:val="24"/>
          <w:szCs w:val="24"/>
        </w:rPr>
        <w:t xml:space="preserve">填写资产估值。可点击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「估值计算」</w:t>
      </w:r>
      <w:r>
        <w:rPr>
          <w:rFonts w:ascii="Times New Roman" w:eastAsia="SimSun"/>
          <w:color w:val="000000"/>
          <w:sz w:val="24"/>
          <w:szCs w:val="24"/>
        </w:rPr>
        <w:t xml:space="preserve">打开价值评估弹窗，选择评估方法（见表 4-2）并设置参数后提交计算，计算完成后可点击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「保存估值记录」</w:t>
      </w:r>
      <w:r>
        <w:rPr>
          <w:rFonts w:ascii="Times New Roman" w:eastAsia="SimSun"/>
          <w:color w:val="000000"/>
          <w:sz w:val="24"/>
          <w:szCs w:val="24"/>
        </w:rPr>
        <w:t xml:space="preserve">保存结果；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步骤9　</w:t>
      </w:r>
      <w:r>
        <w:rPr>
          <w:rFonts w:ascii="Times New Roman" w:eastAsia="SimSun"/>
          <w:color w:val="000000"/>
          <w:sz w:val="24"/>
          <w:szCs w:val="24"/>
        </w:rPr>
        <w:t xml:space="preserve">填写资产数量，上传交易预览图，并在可出售权益中勾选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「持有权」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「经营权」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「使用权」</w:t>
      </w:r>
      <w:r>
        <w:rPr>
          <w:rFonts w:ascii="Times New Roman" w:eastAsia="SimSun"/>
          <w:color w:val="000000"/>
          <w:sz w:val="24"/>
          <w:szCs w:val="24"/>
        </w:rPr>
        <w:t xml:space="preserve">（可多选）；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步骤10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「新增」</w:t>
      </w:r>
      <w:r>
        <w:rPr>
          <w:rFonts w:ascii="Times New Roman" w:eastAsia="SimSun"/>
          <w:color w:val="000000"/>
          <w:sz w:val="24"/>
          <w:szCs w:val="24"/>
        </w:rPr>
        <w:t xml:space="preserve">按钮，系统弹出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「确认信息」</w:t>
      </w:r>
      <w:r>
        <w:rPr>
          <w:rFonts w:ascii="Times New Roman" w:eastAsia="SimSun"/>
          <w:color w:val="000000"/>
          <w:sz w:val="24"/>
          <w:szCs w:val="24"/>
        </w:rPr>
        <w:t xml:space="preserve">窗口，逐项核对登记信息无误后点击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「确认」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4-1　资产上链登记页面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4-1　资产交付方法说明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933"/>
        <w:gridCol w:w="4218"/>
        <w:gridCol w:w="2636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交付方法</w:t>
            </w:r>
          </w:p>
        </w:tc>
        <w:tc>
          <w:tcPr>
            <w:tcW w:type="pct" w:w="4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技术说明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HE 同态加密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数据以密文形式交付，买方可直接对密文进行统计计算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统计分析类数据交易</w:t>
            </w:r>
          </w:p>
        </w:tc>
      </w:tr>
      <w:tr>
        <w:trPr>
          <w:cantSplit/>
        </w:trPr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PRE 代理重加密</w:t>
            </w:r>
          </w:p>
        </w:tc>
        <w:tc>
          <w:tcPr>
            <w:tcW w:type="pct" w:w="4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卖方密文经代理转换后仅指定买方可解密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一对一授权分发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FL 联邦学习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交换模型参数而非原始数据，联合完成模型训练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AI 模型联合训练</w:t>
            </w:r>
          </w:p>
        </w:tc>
      </w:tr>
      <w:tr>
        <w:trPr>
          <w:cantSplit/>
        </w:trPr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MPC 多方安全计算</w:t>
            </w:r>
          </w:p>
        </w:tc>
        <w:tc>
          <w:tcPr>
            <w:tcW w:type="pct" w:w="4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双方输入共同参与计算，互不泄露原始数据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联合筛选、联合统计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 可信执行环境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数据在可信硬件环境中计算，支持自定义推理与统计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敏感数据托管计算</w:t>
            </w:r>
          </w:p>
        </w:tc>
      </w:tr>
    </w:tbl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4-2　可选估值方法一览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估值方法</w:t>
            </w:r>
          </w:p>
        </w:tc>
        <w:tc>
          <w:tcPr>
            <w:tcW w:type="pct" w:w="7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成本法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按数据采集、加工等产品化投入成本进行评估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收益法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按资产预期收益折现进行评估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市场法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参考市场上同类资产成交价格进行评估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综合法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综合成本、收益与市场因素加权评估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比较法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与同类可比资产进行多维度对比评估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技术分析法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结合数据质量与技术先进性进行评估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DCF 折现现金流法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按未来现金流折现模型进行评估</w:t>
            </w:r>
          </w:p>
        </w:tc>
      </w:tr>
      <w:tr>
        <w:trPr>
          <w:cantSplit/>
        </w:trPr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AHP 层次分析法</w:t>
            </w:r>
          </w:p>
        </w:tc>
        <w:tc>
          <w:tcPr>
            <w:tcW w:type="pct" w:w="7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按层次分析模型对多因素加权评估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Qwen 增强机器学习估值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由机器学习模型综合多源特征自动估值</w:t>
            </w:r>
          </w:p>
        </w:tc>
      </w:tr>
    </w:tbl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4-2　价值评估弹窗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确认登记后，系统弹出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「上链状态」</w:t>
      </w:r>
      <w:r>
        <w:rPr>
          <w:rFonts w:ascii="Times New Roman" w:eastAsia="SimSun"/>
          <w:color w:val="000000"/>
          <w:sz w:val="24"/>
          <w:szCs w:val="24"/>
        </w:rPr>
        <w:t xml:space="preserve">窗口，依次展示三个阶段的处理结果：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存证状态：生成资产文件哈希（数字指纹），生成成功后可一键复制；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本地数据库状态：资产信息写入平台业务数据库；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长安链返回信息：资产在链上铸造（Mint）的结果。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若哈希生成失败，可选择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「仍然传入数据库」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先完成本地登记，稍后再重新尝试上链；登记成功后资产默认处于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「已登记」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状态，需在资产管理中改为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「开放交易」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后方可被买家购买。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9" w:name="_Toc10001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4.3　资产管理与代理托管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「资产管理」</w:t>
      </w:r>
      <w:r>
        <w:rPr>
          <w:rFonts w:ascii="Times New Roman" w:eastAsia="SimSun"/>
          <w:color w:val="000000"/>
          <w:sz w:val="24"/>
          <w:szCs w:val="24"/>
        </w:rPr>
        <w:t xml:space="preserve">进入资产列表页面。列表展示资产哈希（点击可展开或收起）、资产名称、安全等级、介绍、数量、状态（已登记 / 开放交易）与可出售权益（持有权 / 经营权 / 加工权），支持分页浏览。</w:t>
      </w:r>
    </w:p>
    <w:p>
      <w:pPr>
        <w:pStyle w:val="Heading3"/>
        <w:spacing w:after="100" w:before="220" w:line="312"/>
      </w:pPr>
      <w:bookmarkStart w:id="100020" w:name="_Toc10002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4.3.1　编辑与挂牌</w:t>
      </w:r>
      <w:bookmarkEnd w:id="100020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在资产列表中找到目标资产，点击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「编辑」</w:t>
      </w:r>
      <w:r>
        <w:rPr>
          <w:rFonts w:ascii="Times New Roman" w:eastAsia="SimSun"/>
          <w:color w:val="000000"/>
          <w:sz w:val="24"/>
          <w:szCs w:val="24"/>
        </w:rPr>
        <w:t xml:space="preserve">按钮，弹出编辑窗口；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可修改资产名称、邮箱、地址、安全等级与介绍；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将状态由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「已登记」</w:t>
      </w:r>
      <w:r>
        <w:rPr>
          <w:rFonts w:ascii="Times New Roman" w:eastAsia="SimSun"/>
          <w:color w:val="000000"/>
          <w:sz w:val="24"/>
          <w:szCs w:val="24"/>
        </w:rPr>
        <w:t xml:space="preserve">改为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「开放交易」</w:t>
      </w:r>
      <w:r>
        <w:rPr>
          <w:rFonts w:ascii="Times New Roman" w:eastAsia="SimSun"/>
          <w:color w:val="000000"/>
          <w:sz w:val="24"/>
          <w:szCs w:val="24"/>
        </w:rPr>
        <w:t xml:space="preserve">后保存，资产即挂牌进入交易市场，买家可以浏览和申请购买；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如需下架，再次编辑并将状态改回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「已登记」</w:t>
      </w:r>
      <w:r>
        <w:rPr>
          <w:rFonts w:ascii="Times New Roman" w:eastAsia="SimSun"/>
          <w:color w:val="000000"/>
          <w:sz w:val="24"/>
          <w:szCs w:val="24"/>
        </w:rPr>
        <w:t xml:space="preserve">即可。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4-3　资产管理页面</w:t>
      </w:r>
    </w:p>
    <w:p>
      <w:pPr>
        <w:pStyle w:val="Heading3"/>
        <w:spacing w:after="100" w:before="220" w:line="312"/>
      </w:pPr>
      <w:bookmarkStart w:id="100021" w:name="_Toc100021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4.3.2　代理托管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对于需要第三方托管保障的资产，可进行代理托管授权：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在资产列表中点击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「代理托管」</w:t>
      </w:r>
      <w:r>
        <w:rPr>
          <w:rFonts w:ascii="Times New Roman" w:eastAsia="SimSun"/>
          <w:color w:val="000000"/>
          <w:sz w:val="24"/>
          <w:szCs w:val="24"/>
        </w:rPr>
        <w:t xml:space="preserve">（已托管资产显示为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「修改代理托管」</w:t>
      </w:r>
      <w:r>
        <w:rPr>
          <w:rFonts w:ascii="Times New Roman" w:eastAsia="SimSun"/>
          <w:color w:val="000000"/>
          <w:sz w:val="24"/>
          <w:szCs w:val="24"/>
        </w:rPr>
        <w:t xml:space="preserve">），弹出托管设置窗口；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输入托管码与托管数量；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「确认」</w:t>
      </w:r>
      <w:r>
        <w:rPr>
          <w:rFonts w:ascii="Times New Roman" w:eastAsia="SimSun"/>
          <w:color w:val="000000"/>
          <w:sz w:val="24"/>
          <w:szCs w:val="24"/>
        </w:rPr>
        <w:t xml:space="preserve">提交，系统提示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「授权成功」</w:t>
      </w:r>
      <w:r>
        <w:rPr>
          <w:rFonts w:ascii="Times New Roman" w:eastAsia="SimSun"/>
          <w:color w:val="000000"/>
          <w:sz w:val="24"/>
          <w:szCs w:val="24"/>
        </w:rPr>
        <w:t xml:space="preserve">，被托管数量即被锁定，不可再用于其他交易。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4-4　代理托管设置弹窗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不可分割资产将按整体数量锁定。请谨慎设置托管数量，避免影响后续正常出售。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22" w:name="_Toc10002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4.4　交易处理（确认购买申请）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买家提交购买申请后，卖家在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「交易处理」</w:t>
      </w:r>
      <w:r>
        <w:rPr>
          <w:rFonts w:ascii="Times New Roman" w:eastAsia="SimSun"/>
          <w:color w:val="000000"/>
          <w:sz w:val="24"/>
          <w:szCs w:val="24"/>
        </w:rPr>
        <w:t xml:space="preserve">页面进行确认：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「交易处理」</w:t>
      </w:r>
      <w:r>
        <w:rPr>
          <w:rFonts w:ascii="Times New Roman" w:eastAsia="SimSun"/>
          <w:color w:val="000000"/>
          <w:sz w:val="24"/>
          <w:szCs w:val="24"/>
        </w:rPr>
        <w:t xml:space="preserve">，页面以卡片形式展示收到的购买申请，包括交易 ID、价格、资产 ID、交易状态、购买权限、买卖双方地址、申请数量、过期时间与资产交付方法；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「刷新交易列表」</w:t>
      </w:r>
      <w:r>
        <w:rPr>
          <w:rFonts w:ascii="Times New Roman" w:eastAsia="SimSun"/>
          <w:color w:val="000000"/>
          <w:sz w:val="24"/>
          <w:szCs w:val="24"/>
        </w:rPr>
        <w:t xml:space="preserve">获取最新申请；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核对申请信息后，对未过期的申请点击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「确认交易」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确认交易后系统自动执行以下处理：读取交易详情并完成数据库确认；依据交易权益自动生成数字合约（内含访问、查阅、复制、下载、计算、加工等使用控制策略）；执行链上操作——非持有权交易按权限逐项上链授权，持有权交易执行资产转移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4-5　交易处理页面（卖家）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购买申请具有过期时间，过期后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「确认交易」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按钮不可用，需买家重新发起申请。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23" w:name="_Toc10002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4.5　资产交付（卖家）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交易确认后，卖家需按该交易约定的交付方法完成加密交付。点击左侧菜单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「资产交付」</w:t>
      </w:r>
      <w:r>
        <w:rPr>
          <w:rFonts w:ascii="Times New Roman" w:eastAsia="SimSun"/>
          <w:color w:val="000000"/>
          <w:sz w:val="24"/>
          <w:szCs w:val="24"/>
        </w:rPr>
        <w:t xml:space="preserve">进入交付页面：列表展示交易 ID、交付状态，点击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「查看合约」</w:t>
      </w:r>
      <w:r>
        <w:rPr>
          <w:rFonts w:ascii="Times New Roman" w:eastAsia="SimSun"/>
          <w:color w:val="000000"/>
          <w:sz w:val="24"/>
          <w:szCs w:val="24"/>
        </w:rPr>
        <w:t xml:space="preserve">可弹窗查看数字合约详情（合约 ID、名称、创建与过期时间、交付方法、产品及买卖双方信息），点击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「刷新交付状态」</w:t>
      </w:r>
      <w:r>
        <w:rPr>
          <w:rFonts w:ascii="Times New Roman" w:eastAsia="SimSun"/>
          <w:color w:val="000000"/>
          <w:sz w:val="24"/>
          <w:szCs w:val="24"/>
        </w:rPr>
        <w:t xml:space="preserve">获取最新进展。不同交付方式的操作如下。</w:t>
      </w:r>
    </w:p>
    <w:p>
      <w:pPr>
        <w:pStyle w:val="Heading3"/>
        <w:spacing w:after="100" w:before="220" w:line="312"/>
      </w:pPr>
      <w:bookmarkStart w:id="100024" w:name="_Toc100024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4.5.1　同态加密（HE）交付</w:t>
      </w:r>
      <w:bookmarkEnd w:id="100024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在对应交易的操作列点击交付按钮，弹出交付窗口；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选择本次交付使用的交付算法；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上传两份 CSV 数据文件；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「执行交付」</w:t>
      </w:r>
      <w:r>
        <w:rPr>
          <w:rFonts w:ascii="Times New Roman" w:eastAsia="SimSun"/>
          <w:color w:val="000000"/>
          <w:sz w:val="24"/>
          <w:szCs w:val="24"/>
        </w:rPr>
        <w:t xml:space="preserve">，等待状态更新为交付完成。</w:t>
      </w:r>
    </w:p>
    <w:p>
      <w:pPr>
        <w:pStyle w:val="Heading3"/>
        <w:spacing w:after="100" w:before="220" w:line="312"/>
      </w:pPr>
      <w:bookmarkStart w:id="100025" w:name="_Toc100025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4.5.2　代理重加密（PRE）交付</w:t>
      </w:r>
      <w:bookmarkEnd w:id="100025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在交付弹窗中上传原始数据压缩包（支持 zip、tar、gz 格式）；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「执行交付」</w:t>
      </w:r>
      <w:r>
        <w:rPr>
          <w:rFonts w:ascii="Times New Roman" w:eastAsia="SimSun"/>
          <w:color w:val="000000"/>
          <w:sz w:val="24"/>
          <w:szCs w:val="24"/>
        </w:rPr>
        <w:t xml:space="preserve">，系统完成加密与重加密密钥准备后交付给买家。</w:t>
      </w:r>
    </w:p>
    <w:p>
      <w:pPr>
        <w:pStyle w:val="Heading3"/>
        <w:spacing w:after="100" w:before="220" w:line="312"/>
      </w:pPr>
      <w:bookmarkStart w:id="100026" w:name="_Toc100026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4.5.3　联邦学习（FL）交付</w:t>
      </w:r>
      <w:bookmarkEnd w:id="100026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在交付弹窗中上传训练结果压缩包（zip 格式）；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「执行交付」</w:t>
      </w:r>
      <w:r>
        <w:rPr>
          <w:rFonts w:ascii="Times New Roman" w:eastAsia="SimSun"/>
          <w:color w:val="000000"/>
          <w:sz w:val="24"/>
          <w:szCs w:val="24"/>
        </w:rPr>
        <w:t xml:space="preserve">。买家收到结果后将使用其私钥解密导出，卖家侧完成上传即可。</w:t>
      </w:r>
    </w:p>
    <w:p>
      <w:pPr>
        <w:pStyle w:val="Heading3"/>
        <w:spacing w:after="100" w:before="220" w:line="312"/>
      </w:pPr>
      <w:bookmarkStart w:id="100027" w:name="_Toc100027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4.5.4　多方安全计算（MPC）交付</w:t>
      </w:r>
      <w:bookmarkEnd w:id="100027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在交付弹窗中上传参与计算的资产数据 CSV 文件（可多选）；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「执行交付」</w:t>
      </w:r>
      <w:r>
        <w:rPr>
          <w:rFonts w:ascii="Times New Roman" w:eastAsia="SimSun"/>
          <w:color w:val="000000"/>
          <w:sz w:val="24"/>
          <w:szCs w:val="24"/>
        </w:rPr>
        <w:t xml:space="preserve">，等待与买家侧的安全联合计算完成。</w:t>
      </w:r>
    </w:p>
    <w:p>
      <w:pPr>
        <w:pStyle w:val="Heading3"/>
        <w:spacing w:after="100" w:before="220" w:line="312"/>
      </w:pPr>
      <w:bookmarkStart w:id="100028" w:name="_Toc100028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4.5.5　可信执行环境（TEE）交付</w:t>
      </w:r>
      <w:bookmarkEnd w:id="10002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TEE 交付无需卖家手动发起：买家请求交付后，系统自动准备 TEE 虚机环境并完成交付；部分情况下页面会提示上传数据文件，请按提示操作。可在页面查看虚机环境准备进度。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4-6　资产交付页面（卖家）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交易过期后交付操作不可用。上传文件的格式须符合要求，否则交付可能失败；交付文件包含加密数据，请确认内容无误后再执行交付。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29" w:name="_Toc10002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　买家操作指南（资产购买方）</w:t>
      </w:r>
      <w:bookmarkEnd w:id="100029"/>
    </w:p>
    <w:p>
      <w:pPr>
        <w:pStyle w:val="Heading2"/>
        <w:spacing w:after="140" w:before="280" w:line="340" w:lineRule="atLeast"/>
      </w:pPr>
      <w:bookmarkStart w:id="100030" w:name="_Toc10003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5.1　操作流程总览</w:t>
      </w:r>
      <w:bookmarkEnd w:id="10003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买家（资产购买方）的核心业务流程为：浏览交易市场（或参与竞价拍卖）→ 查看资产详情 → 提交购买申请 → 等待卖家确认 → 发起资产交付请求并下载解密结果。一口价购买与竞价获拍后的购买申请流程一致。</w:t>
      </w:r>
    </w:p>
    <w:p>
      <w:pPr>
        <w:pStyle w:val="Heading2"/>
        <w:spacing w:after="140" w:before="280" w:line="340" w:lineRule="atLeast"/>
      </w:pPr>
      <w:bookmarkStart w:id="100031" w:name="_Toc10003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5.2　浏览交易市场</w:t>
      </w:r>
      <w:bookmarkEnd w:id="10003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「交易市场」</w:t>
      </w:r>
      <w:r>
        <w:rPr>
          <w:rFonts w:ascii="Times New Roman" w:eastAsia="SimSun"/>
          <w:color w:val="000000"/>
          <w:sz w:val="24"/>
          <w:szCs w:val="24"/>
        </w:rPr>
        <w:t xml:space="preserve">进入市场首页，可按以下方式查找资产：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名称搜索：在顶部搜索框输入资产名称，点击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「搜索」</w:t>
      </w:r>
      <w:r>
        <w:rPr>
          <w:rFonts w:ascii="Times New Roman" w:eastAsia="SimSun"/>
          <w:color w:val="000000"/>
          <w:sz w:val="24"/>
          <w:szCs w:val="24"/>
        </w:rPr>
        <w:t xml:space="preserve">；点击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「清除」</w:t>
      </w:r>
      <w:r>
        <w:rPr>
          <w:rFonts w:ascii="Times New Roman" w:eastAsia="SimSun"/>
          <w:color w:val="000000"/>
          <w:sz w:val="24"/>
          <w:szCs w:val="24"/>
        </w:rPr>
        <w:t xml:space="preserve">可重置搜索条件；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条件筛选：通过筛选面板按数据产品类型、行业领域、数据来源评级组合筛选；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资产卡片：展示预览图、描述、提供方及行业、类别、等级标签；拍卖资产额外显示拍卖徽章、当前价、出价次数与截止时间。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点击卡片上的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「查看详情」</w:t>
      </w:r>
      <w:r>
        <w:rPr>
          <w:rFonts w:ascii="Times New Roman" w:eastAsia="SimSun"/>
          <w:color w:val="000000"/>
          <w:sz w:val="24"/>
          <w:szCs w:val="24"/>
        </w:rPr>
        <w:t xml:space="preserve">进入资产详情页；页面右上角购物车图标可查看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「已申请的资产」</w:t>
      </w:r>
      <w:r>
        <w:rPr>
          <w:rFonts w:ascii="Times New Roman" w:eastAsia="SimSun"/>
          <w:color w:val="000000"/>
          <w:sz w:val="24"/>
          <w:szCs w:val="24"/>
        </w:rPr>
        <w:t xml:space="preserve">。部分资产支持在卡片上快捷购买，购买弹窗会显示资产价格与账户余额，余额不足时将给出提示。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5-1　交易市场首页</w:t>
      </w:r>
    </w:p>
    <w:p>
      <w:pPr>
        <w:pStyle w:val="Heading2"/>
        <w:spacing w:after="140" w:before="280" w:line="340" w:lineRule="atLeast"/>
      </w:pPr>
      <w:bookmarkStart w:id="100032" w:name="_Toc10003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5.3　跨链检索与资产跨链调配</w:t>
      </w:r>
      <w:bookmarkEnd w:id="10003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在交易市场页面点击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「跨链 / 跨平台检索」</w:t>
      </w:r>
      <w:r>
        <w:rPr>
          <w:rFonts w:ascii="Times New Roman" w:eastAsia="SimSun"/>
          <w:color w:val="000000"/>
          <w:sz w:val="24"/>
          <w:szCs w:val="24"/>
        </w:rPr>
        <w:t xml:space="preserve">按钮，打开双栏功能弹窗：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跨平台检索（左栏）：输入关键词查询目录链，返回结果包含资产名称、所在平台（链）与唯一标识，便于发现其他链上平台的可交易资产；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资产跨链调配（右栏）：在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「转入」</w:t>
      </w:r>
      <w:r>
        <w:rPr>
          <w:rFonts w:ascii="Times New Roman" w:eastAsia="SimSun"/>
          <w:color w:val="000000"/>
          <w:sz w:val="24"/>
          <w:szCs w:val="24"/>
        </w:rPr>
        <w:t xml:space="preserve">模式下填写 TokenId、数量（Amount）、目标地址（To，ChainMaker 地址）、类别名称（CategoryName）与元数据（Metadata），点击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「执行转入」</w:t>
      </w:r>
      <w:r>
        <w:rPr>
          <w:rFonts w:ascii="Times New Roman" w:eastAsia="SimSun"/>
          <w:color w:val="000000"/>
          <w:sz w:val="24"/>
          <w:szCs w:val="24"/>
        </w:rPr>
        <w:t xml:space="preserve">；在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「转出」</w:t>
      </w:r>
      <w:r>
        <w:rPr>
          <w:rFonts w:ascii="Times New Roman" w:eastAsia="SimSun"/>
          <w:color w:val="000000"/>
          <w:sz w:val="24"/>
          <w:szCs w:val="24"/>
        </w:rPr>
        <w:t xml:space="preserve">模式下填写资产属主地址（OwnerAddress）与目标 EVM 地址（To），点击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「执行转出」</w:t>
      </w:r>
      <w:r>
        <w:rPr>
          <w:rFonts w:ascii="Times New Roman" w:eastAsia="SimSun"/>
          <w:color w:val="000000"/>
          <w:sz w:val="24"/>
          <w:szCs w:val="24"/>
        </w:rPr>
        <w:t xml:space="preserve">。执行结果以 JSON 形式返回展示。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5-2　跨链 / 跨平台检索弹窗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跨链调配操作直接影响资产归属与所在链，执行前请仔细核对目标地址与数量。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33" w:name="_Toc10003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5.4　查看资产详情</w:t>
      </w:r>
      <w:bookmarkEnd w:id="10003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在详情页可查看资产封面图、所属行业、资产 ID、创建者与当前拥有者地址、参考定价及联系方式等信息；通过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「产品详情」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「数据项」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「产品画像」</w:t>
      </w:r>
      <w:r>
        <w:rPr>
          <w:rFonts w:ascii="Times New Roman" w:eastAsia="SimSun"/>
          <w:color w:val="000000"/>
          <w:sz w:val="24"/>
          <w:szCs w:val="24"/>
        </w:rPr>
        <w:t xml:space="preserve">标签页了解资产详情，其中数据项页签展示可用算法与可售权益。页面还提供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「分享」</w:t>
      </w:r>
      <w:r>
        <w:rPr>
          <w:rFonts w:ascii="Times New Roman" w:eastAsia="SimSun"/>
          <w:color w:val="000000"/>
          <w:sz w:val="24"/>
          <w:szCs w:val="24"/>
        </w:rPr>
        <w:t xml:space="preserve">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「收藏」</w:t>
      </w:r>
      <w:r>
        <w:rPr>
          <w:rFonts w:ascii="Times New Roman" w:eastAsia="SimSun"/>
          <w:color w:val="000000"/>
          <w:sz w:val="24"/>
          <w:szCs w:val="24"/>
        </w:rPr>
        <w:t xml:space="preserve">功能，便于将资产推荐给他人或留待后续查看。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5-3　资产详情页面</w:t>
      </w:r>
    </w:p>
    <w:p>
      <w:pPr>
        <w:pStyle w:val="Heading2"/>
        <w:spacing w:after="140" w:before="280" w:line="340" w:lineRule="atLeast"/>
      </w:pPr>
      <w:bookmarkStart w:id="100034" w:name="_Toc10003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5.5　申请购买（一口价）</w:t>
      </w:r>
      <w:bookmarkEnd w:id="10003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在资产详情页点击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「申请购买」</w:t>
      </w:r>
      <w:r>
        <w:rPr>
          <w:rFonts w:ascii="Times New Roman" w:eastAsia="SimSun"/>
          <w:color w:val="000000"/>
          <w:sz w:val="24"/>
          <w:szCs w:val="24"/>
        </w:rPr>
        <w:t xml:space="preserve">按钮，打开确认购买弹窗，操作步骤如下：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核对资产价格与账户余额；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勾选本次购买获取的权益：持有权、经营权、使用权（仅该资产可售的权益可勾选）；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填写购买数量；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查看该资产约定的交付方法；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步骤5　</w:t>
      </w:r>
      <w:r>
        <w:rPr>
          <w:rFonts w:ascii="Times New Roman" w:eastAsia="SimSun"/>
          <w:color w:val="000000"/>
          <w:sz w:val="24"/>
          <w:szCs w:val="24"/>
        </w:rPr>
        <w:t xml:space="preserve">选择交易地点（省、市级联选择）；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步骤6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「确认申请」</w:t>
      </w:r>
      <w:r>
        <w:rPr>
          <w:rFonts w:ascii="Times New Roman" w:eastAsia="SimSun"/>
          <w:color w:val="000000"/>
          <w:sz w:val="24"/>
          <w:szCs w:val="24"/>
        </w:rPr>
        <w:t xml:space="preserve">提交。系统提示申请成功，等待卖家确认。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5-4　确认购买弹窗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提交申请时系统以个人中心设置的</w:t>
            </w:r>
            <w:r>
              <w:rPr>
                <w:rFonts w:ascii="Times New Roman" w:eastAsia="SimSun"/>
                <w:b/>
                <w:bCs/>
                <w:color w:val="333333"/>
                <w:sz w:val="21"/>
                <w:szCs w:val="21"/>
              </w:rPr>
              <w:t xml:space="preserve">「交易默认证书」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地址作为买家地址；请确保已设置交易默认证书且账户余额充足。卖家确认交易后，系统将自动生成数字合约并完成链上授权或转移。</w:t>
            </w:r>
          </w:p>
        </w:tc>
      </w:tr>
    </w:tbl>
    <w:p>
      <w:pPr>
        <w:pStyle w:val="Heading2"/>
        <w:spacing w:after="140" w:before="280" w:line="340" w:lineRule="atLeast"/>
      </w:pPr>
      <w:bookmarkStart w:id="100035" w:name="_Toc10003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5.6　参与竞价拍卖</w:t>
      </w:r>
      <w:bookmarkEnd w:id="10003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对于以拍卖方式定价的资产，详情页会展示拍卖面板，包括当前价、出价次数与截止时间：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在出价输入框中填写出价金额；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「立即出价」</w:t>
      </w:r>
      <w:r>
        <w:rPr>
          <w:rFonts w:ascii="Times New Roman" w:eastAsia="SimSun"/>
          <w:color w:val="000000"/>
          <w:sz w:val="24"/>
          <w:szCs w:val="24"/>
        </w:rPr>
        <w:t xml:space="preserve">提交；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拍卖截止后，页面显示已锁定的最高出价；若无有效出价则显示流拍。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成功获拍的买家可点击左侧菜单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「交易处理」</w:t>
      </w:r>
      <w:r>
        <w:rPr>
          <w:rFonts w:ascii="Times New Roman" w:eastAsia="SimSun"/>
          <w:color w:val="000000"/>
          <w:sz w:val="24"/>
          <w:szCs w:val="24"/>
        </w:rPr>
        <w:t xml:space="preserve">，页面以卡片展示获拍资产（图片、名称、描述、获拍价与成交时间），点击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「提交交易申请」</w:t>
      </w:r>
      <w:r>
        <w:rPr>
          <w:rFonts w:ascii="Times New Roman" w:eastAsia="SimSun"/>
          <w:color w:val="000000"/>
          <w:sz w:val="24"/>
          <w:szCs w:val="24"/>
        </w:rPr>
        <w:t xml:space="preserve">跳转至资产详情页，按 5.5 节流程完成购买确认。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5-5　交易处理页面（买家）</w:t>
      </w:r>
    </w:p>
    <w:p>
      <w:pPr>
        <w:pStyle w:val="Heading2"/>
        <w:spacing w:after="140" w:before="280" w:line="340" w:lineRule="atLeast"/>
      </w:pPr>
      <w:bookmarkStart w:id="100036" w:name="_Toc10003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5.7　资产交付（买家）</w:t>
      </w:r>
      <w:bookmarkEnd w:id="10003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卖家确认交易后，买家在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「资产交付」</w:t>
      </w:r>
      <w:r>
        <w:rPr>
          <w:rFonts w:ascii="Times New Roman" w:eastAsia="SimSun"/>
          <w:color w:val="000000"/>
          <w:sz w:val="24"/>
          <w:szCs w:val="24"/>
        </w:rPr>
        <w:t xml:space="preserve">页面发起交付请求并接收结果。列表展示交易 ID、交付状态，可点击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「查看合约」</w:t>
      </w:r>
      <w:r>
        <w:rPr>
          <w:rFonts w:ascii="Times New Roman" w:eastAsia="SimSun"/>
          <w:color w:val="000000"/>
          <w:sz w:val="24"/>
          <w:szCs w:val="24"/>
        </w:rPr>
        <w:t xml:space="preserve">查看数字合约详情，点击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「刷新交付状态」</w:t>
      </w:r>
      <w:r>
        <w:rPr>
          <w:rFonts w:ascii="Times New Roman" w:eastAsia="SimSun"/>
          <w:color w:val="000000"/>
          <w:sz w:val="24"/>
          <w:szCs w:val="24"/>
        </w:rPr>
        <w:t xml:space="preserve">获取最新进展。不同交付方式的操作如下。</w:t>
      </w:r>
    </w:p>
    <w:p>
      <w:pPr>
        <w:pStyle w:val="Heading3"/>
        <w:spacing w:after="100" w:before="220" w:line="312"/>
      </w:pPr>
      <w:bookmarkStart w:id="100037" w:name="_Toc100037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5.7.1　同态加密（HE）交付</w:t>
      </w:r>
      <w:bookmarkEnd w:id="100037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「请求交付」</w:t>
      </w:r>
      <w:r>
        <w:rPr>
          <w:rFonts w:ascii="Times New Roman" w:eastAsia="SimSun"/>
          <w:color w:val="000000"/>
          <w:sz w:val="24"/>
          <w:szCs w:val="24"/>
        </w:rPr>
        <w:t xml:space="preserve">按钮，待公钥就绪后状态更新为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「已请求」</w:t>
      </w:r>
      <w:r>
        <w:rPr>
          <w:rFonts w:ascii="Times New Roman" w:eastAsia="SimSun"/>
          <w:color w:val="000000"/>
          <w:sz w:val="24"/>
          <w:szCs w:val="24"/>
        </w:rPr>
        <w:t xml:space="preserve">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卖家执行交付后，点击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「下载结果」</w:t>
      </w:r>
      <w:r>
        <w:rPr>
          <w:rFonts w:ascii="Times New Roman" w:eastAsia="SimSun"/>
          <w:color w:val="000000"/>
          <w:sz w:val="24"/>
          <w:szCs w:val="24"/>
        </w:rPr>
        <w:t xml:space="preserve">，在弹窗中选择本地解密私钥 JSON 文件；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系统在浏览器本地完成解密并下载明文结果。</w:t>
      </w:r>
    </w:p>
    <w:p>
      <w:pPr>
        <w:pStyle w:val="Heading3"/>
        <w:spacing w:after="100" w:before="220" w:line="312"/>
      </w:pPr>
      <w:bookmarkStart w:id="100038" w:name="_Toc100038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5.7.2　联邦学习（FL）交付</w:t>
      </w:r>
      <w:bookmarkEnd w:id="100038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「请求交付」</w:t>
      </w:r>
      <w:r>
        <w:rPr>
          <w:rFonts w:ascii="Times New Roman" w:eastAsia="SimSun"/>
          <w:color w:val="000000"/>
          <w:sz w:val="24"/>
          <w:szCs w:val="24"/>
        </w:rPr>
        <w:t xml:space="preserve">，在弹窗中上传顶层模型初始包（zip）与底层模型初始包（zip）；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卖家完成训练结果上传后，点击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「下载结果」</w:t>
      </w:r>
      <w:r>
        <w:rPr>
          <w:rFonts w:ascii="Times New Roman" w:eastAsia="SimSun"/>
          <w:color w:val="000000"/>
          <w:sz w:val="24"/>
          <w:szCs w:val="24"/>
        </w:rPr>
        <w:t xml:space="preserve">并选择私钥 JSON 文件解密导出。</w:t>
      </w:r>
    </w:p>
    <w:p>
      <w:pPr>
        <w:pStyle w:val="Heading3"/>
        <w:spacing w:after="100" w:before="220" w:line="312"/>
      </w:pPr>
      <w:bookmarkStart w:id="100039" w:name="_Toc100039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5.7.3　代理重加密（PRE）交付</w:t>
      </w:r>
      <w:bookmarkEnd w:id="100039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「请求交付」</w:t>
      </w:r>
      <w:r>
        <w:rPr>
          <w:rFonts w:ascii="Times New Roman" w:eastAsia="SimSun"/>
          <w:color w:val="000000"/>
          <w:sz w:val="24"/>
          <w:szCs w:val="24"/>
        </w:rPr>
        <w:t xml:space="preserve">，按提示上传买家公钥；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交付完成后点击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「下载结果」</w:t>
      </w:r>
      <w:r>
        <w:rPr>
          <w:rFonts w:ascii="Times New Roman" w:eastAsia="SimSun"/>
          <w:color w:val="000000"/>
          <w:sz w:val="24"/>
          <w:szCs w:val="24"/>
        </w:rPr>
        <w:t xml:space="preserve">，选择私钥 JSON 文件解密获取原始数据。</w:t>
      </w:r>
    </w:p>
    <w:p>
      <w:pPr>
        <w:pStyle w:val="Heading3"/>
        <w:spacing w:after="100" w:before="220" w:line="312"/>
      </w:pPr>
      <w:bookmarkStart w:id="100040" w:name="_Toc10004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5.7.4　多方安全计算（MPC）交付</w:t>
      </w:r>
      <w:bookmarkEnd w:id="100040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「设置筛选条件」</w:t>
      </w:r>
      <w:r>
        <w:rPr>
          <w:rFonts w:ascii="Times New Roman" w:eastAsia="SimSun"/>
          <w:color w:val="000000"/>
          <w:sz w:val="24"/>
          <w:szCs w:val="24"/>
        </w:rPr>
        <w:t xml:space="preserve">，在弹窗中填写达标门槛数值（页面提供碳证交易、数字版权、医疗健康、车联网等场景的参考说明）；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「开始安全筛选」</w:t>
      </w:r>
      <w:r>
        <w:rPr>
          <w:rFonts w:ascii="Times New Roman" w:eastAsia="SimSun"/>
          <w:color w:val="000000"/>
          <w:sz w:val="24"/>
          <w:szCs w:val="24"/>
        </w:rPr>
        <w:t xml:space="preserve">，系统与卖家数据完成安全联合计算；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计算完成后点击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「查看结果」</w:t>
      </w:r>
      <w:r>
        <w:rPr>
          <w:rFonts w:ascii="Times New Roman" w:eastAsia="SimSun"/>
          <w:color w:val="000000"/>
          <w:sz w:val="24"/>
          <w:szCs w:val="24"/>
        </w:rPr>
        <w:t xml:space="preserve">，查看目标阈值、统计摘要与各记录是否达标的明细表。</w:t>
      </w:r>
    </w:p>
    <w:p>
      <w:pPr>
        <w:pStyle w:val="Heading3"/>
        <w:spacing w:after="100" w:before="220" w:line="312"/>
      </w:pPr>
      <w:bookmarkStart w:id="100041" w:name="_Toc100041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5.7.5　可信执行环境（TEE）交付</w:t>
      </w:r>
      <w:bookmarkEnd w:id="100041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「请求交付」</w:t>
      </w:r>
      <w:r>
        <w:rPr>
          <w:rFonts w:ascii="Times New Roman" w:eastAsia="SimSun"/>
          <w:color w:val="000000"/>
          <w:sz w:val="24"/>
          <w:szCs w:val="24"/>
        </w:rPr>
        <w:t xml:space="preserve">，等待 TEE 虚机环境准备完成且卖方完成数据上传；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按页面提示在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「上传权重」</w:t>
      </w:r>
      <w:r>
        <w:rPr>
          <w:rFonts w:ascii="Times New Roman" w:eastAsia="SimSun"/>
          <w:color w:val="000000"/>
          <w:sz w:val="24"/>
          <w:szCs w:val="24"/>
        </w:rPr>
        <w:t xml:space="preserve">弹窗中上传权重文件（CSV）；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计算完成后点击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「下载结果」</w:t>
      </w:r>
      <w:r>
        <w:rPr>
          <w:rFonts w:ascii="Times New Roman" w:eastAsia="SimSun"/>
          <w:color w:val="000000"/>
          <w:sz w:val="24"/>
          <w:szCs w:val="24"/>
        </w:rPr>
        <w:t xml:space="preserve">，选择结果密钥 JSON 文件解密下载计算结果。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5-6　资产交付页面（买家）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各交付方式下载的结果均为加密文件，必须使用对应的私钥 / 密钥 JSON 文件在本地解密后方可查看，请妥善保管密钥文件；交易过期后交付操作不可用。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42" w:name="_Toc10004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6　数字合约管理</w:t>
      </w:r>
      <w:bookmarkEnd w:id="100042"/>
    </w:p>
    <w:p>
      <w:pPr>
        <w:pStyle w:val="Heading2"/>
        <w:spacing w:after="140" w:before="280" w:line="340" w:lineRule="atLeast"/>
      </w:pPr>
      <w:bookmarkStart w:id="100043" w:name="_Toc10004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6.1　功能说明</w:t>
      </w:r>
      <w:bookmarkEnd w:id="10004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数字合约对数据使用行为进行策略化约束，是资产交易与交付的执行依据。卖家确认交易时，系统会依据交易权益自动生成数字合约；买卖双方也可在数字合约页面手动创建、协商合约。合约状态流转为：发起 → 协商中 → 签署成功 → 履行中 → 终止（或履行完成）。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在侧边栏点击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「合约」</w:t>
      </w:r>
      <w:r>
        <w:rPr>
          <w:rFonts w:ascii="Times New Roman" w:eastAsia="SimSun"/>
          <w:color w:val="000000"/>
          <w:sz w:val="24"/>
          <w:szCs w:val="24"/>
        </w:rPr>
        <w:t xml:space="preserve">进入数字合约管理页面，可按状态筛选合约（发起、协商中、签署成功、签署失败、履行中、终止），点击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「刷新合约列表」</w:t>
      </w:r>
      <w:r>
        <w:rPr>
          <w:rFonts w:ascii="Times New Roman" w:eastAsia="SimSun"/>
          <w:color w:val="000000"/>
          <w:sz w:val="24"/>
          <w:szCs w:val="24"/>
        </w:rPr>
        <w:t xml:space="preserve">获取最新数据，支持分页浏览；点击合约卡片可查看合约详情。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6-1　数字合约管理页面</w:t>
      </w:r>
    </w:p>
    <w:p>
      <w:pPr>
        <w:pStyle w:val="Heading2"/>
        <w:spacing w:after="140" w:before="280" w:line="340" w:lineRule="atLeast"/>
      </w:pPr>
      <w:bookmarkStart w:id="100044" w:name="_Toc10004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6.2　下载合约模板</w:t>
      </w:r>
      <w:bookmarkEnd w:id="100044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「下载合约模板」</w:t>
      </w:r>
      <w:r>
        <w:rPr>
          <w:rFonts w:ascii="Times New Roman" w:eastAsia="SimSun"/>
          <w:color w:val="000000"/>
          <w:sz w:val="24"/>
          <w:szCs w:val="24"/>
        </w:rPr>
        <w:t xml:space="preserve">按钮，弹出模板选择窗口；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选择需要的合约模板后下载，可参考模板要素线下拟定合约内容。</w:t>
      </w:r>
    </w:p>
    <w:p>
      <w:pPr>
        <w:pStyle w:val="Heading2"/>
        <w:spacing w:after="140" w:before="280" w:line="340" w:lineRule="atLeast"/>
      </w:pPr>
      <w:bookmarkStart w:id="100045" w:name="_Toc10004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6.3　创建数字合约</w:t>
      </w:r>
      <w:bookmarkEnd w:id="100045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「创建数字合约」</w:t>
      </w:r>
      <w:r>
        <w:rPr>
          <w:rFonts w:ascii="Times New Roman" w:eastAsia="SimSun"/>
          <w:color w:val="000000"/>
          <w:sz w:val="24"/>
          <w:szCs w:val="24"/>
        </w:rPr>
        <w:t xml:space="preserve">按钮，打开创建弹窗；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填写合约名称与合约简介；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选择合约标的（从平台数据产品中选择）；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选择签署模式：点对点（P2P）、平台中介或多方共识；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步骤5　</w:t>
      </w:r>
      <w:r>
        <w:rPr>
          <w:rFonts w:ascii="Times New Roman" w:eastAsia="SimSun"/>
          <w:color w:val="000000"/>
          <w:sz w:val="24"/>
          <w:szCs w:val="24"/>
        </w:rPr>
        <w:t xml:space="preserve">配置合约策略：允许策略（选择操作行为并设置时间窗口、次数限制、数据规模、执行环境等约束条件）、禁止策略（选择操作行为并设置补救措施）、义务策略（选择操作行为并设置违约责任）；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步骤6　</w:t>
      </w:r>
      <w:r>
        <w:rPr>
          <w:rFonts w:ascii="Times New Roman" w:eastAsia="SimSun"/>
          <w:color w:val="000000"/>
          <w:sz w:val="24"/>
          <w:szCs w:val="24"/>
        </w:rPr>
        <w:t xml:space="preserve">设置合约有效期（起止日期）、选择签署方并填写扩展信息；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步骤7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「创建合约」</w:t>
      </w:r>
      <w:r>
        <w:rPr>
          <w:rFonts w:ascii="Times New Roman" w:eastAsia="SimSun"/>
          <w:color w:val="000000"/>
          <w:sz w:val="24"/>
          <w:szCs w:val="24"/>
        </w:rPr>
        <w:t xml:space="preserve">提交，新合约以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「发起」</w:t>
      </w:r>
      <w:r>
        <w:rPr>
          <w:rFonts w:ascii="Times New Roman" w:eastAsia="SimSun"/>
          <w:color w:val="000000"/>
          <w:sz w:val="24"/>
          <w:szCs w:val="24"/>
        </w:rPr>
        <w:t xml:space="preserve">状态进入列表。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6-2　创建数字合约弹窗</w:t>
      </w:r>
    </w:p>
    <w:p>
      <w:pPr>
        <w:pStyle w:val="Heading2"/>
        <w:spacing w:after="140" w:before="280" w:line="340" w:lineRule="atLeast"/>
      </w:pPr>
      <w:bookmarkStart w:id="100046" w:name="_Toc10004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6.4　审核、履行与终止合约</w:t>
      </w:r>
      <w:bookmarkEnd w:id="10004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审核合约：合约处于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「协商中」</w:t>
      </w:r>
      <w:r>
        <w:rPr>
          <w:rFonts w:ascii="Times New Roman" w:eastAsia="SimSun"/>
          <w:color w:val="000000"/>
          <w:sz w:val="24"/>
          <w:szCs w:val="24"/>
        </w:rPr>
        <w:t xml:space="preserve">且轮到当前用户处理时，可点击合约卡片上的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「审核合约」</w:t>
      </w:r>
      <w:r>
        <w:rPr>
          <w:rFonts w:ascii="Times New Roman" w:eastAsia="SimSun"/>
          <w:color w:val="000000"/>
          <w:sz w:val="24"/>
          <w:szCs w:val="24"/>
        </w:rPr>
        <w:t xml:space="preserve">进行确认，推动合约进入签署；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履行合约：合约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「签署成功」</w:t>
      </w:r>
      <w:r>
        <w:rPr>
          <w:rFonts w:ascii="Times New Roman" w:eastAsia="SimSun"/>
          <w:color w:val="000000"/>
          <w:sz w:val="24"/>
          <w:szCs w:val="24"/>
        </w:rPr>
        <w:t xml:space="preserve">后可点击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「履行合约」</w:t>
      </w:r>
      <w:r>
        <w:rPr>
          <w:rFonts w:ascii="Times New Roman" w:eastAsia="SimSun"/>
          <w:color w:val="000000"/>
          <w:sz w:val="24"/>
          <w:szCs w:val="24"/>
        </w:rPr>
        <w:t xml:space="preserve">开始履约；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终止合约：处于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「发起」</w:t>
      </w:r>
      <w:r>
        <w:rPr>
          <w:rFonts w:ascii="Times New Roman" w:eastAsia="SimSun"/>
          <w:color w:val="000000"/>
          <w:sz w:val="24"/>
          <w:szCs w:val="24"/>
        </w:rPr>
        <w:t xml:space="preserve">或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「协商中」</w:t>
      </w:r>
      <w:r>
        <w:rPr>
          <w:rFonts w:ascii="Times New Roman" w:eastAsia="SimSun"/>
          <w:color w:val="000000"/>
          <w:sz w:val="24"/>
          <w:szCs w:val="24"/>
        </w:rPr>
        <w:t xml:space="preserve">状态的合约可点击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「终止合约」</w:t>
      </w:r>
      <w:r>
        <w:rPr>
          <w:rFonts w:ascii="Times New Roman" w:eastAsia="SimSun"/>
          <w:color w:val="000000"/>
          <w:sz w:val="24"/>
          <w:szCs w:val="24"/>
        </w:rPr>
        <w:t xml:space="preserve">结束协商。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1B6B7A"/>
                <w:sz w:val="21"/>
                <w:szCs w:val="21"/>
              </w:rPr>
              <w:t xml:space="preserve">说明：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合约中配置的使用控制策略将与交易交付联动执行，签署前请与交易对手方充分协商确认各项策略内容。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47" w:name="_Toc100047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7　监管方操作指南</w:t>
      </w:r>
      <w:bookmarkEnd w:id="100047"/>
    </w:p>
    <w:p>
      <w:pPr>
        <w:pStyle w:val="Heading2"/>
        <w:spacing w:after="140" w:before="280" w:line="340" w:lineRule="atLeast"/>
      </w:pPr>
      <w:bookmarkStart w:id="100048" w:name="_Toc10004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7.1　数据看板</w:t>
      </w:r>
      <w:bookmarkEnd w:id="10004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监管方与管理员登录后均进入数据看板。看板展示今日交易量、总交易量、最大单日处理量、底链 TPS（点击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「刷新」</w:t>
      </w:r>
      <w:r>
        <w:rPr>
          <w:rFonts w:ascii="Times New Roman" w:eastAsia="SimSun"/>
          <w:color w:val="000000"/>
          <w:sz w:val="24"/>
          <w:szCs w:val="24"/>
        </w:rPr>
        <w:t xml:space="preserve">实时获取）、监管账户数与异常占比（自动轮询更新）、审计交易数、各领域交易数量标签以及交易历史趋势折线图，用于总览平台运行态势。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7-1　数据看板</w:t>
      </w:r>
    </w:p>
    <w:p>
      <w:pPr>
        <w:pStyle w:val="Heading2"/>
        <w:spacing w:after="140" w:before="280" w:line="340" w:lineRule="atLeast"/>
      </w:pPr>
      <w:bookmarkStart w:id="100049" w:name="_Toc10004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7.2　穿透式账户监管</w:t>
      </w:r>
      <w:bookmarkEnd w:id="10004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「监管平台」</w:t>
      </w:r>
      <w:r>
        <w:rPr>
          <w:rFonts w:ascii="Times New Roman" w:eastAsia="SimSun"/>
          <w:color w:val="000000"/>
          <w:sz w:val="24"/>
          <w:szCs w:val="24"/>
        </w:rPr>
        <w:t xml:space="preserve">进入穿透式账户监管工作台，主要功能区域如下：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人工补检：在顶部输入框填写 0x 开头的账户地址，点击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「提交补检」</w:t>
      </w:r>
      <w:r>
        <w:rPr>
          <w:rFonts w:ascii="Times New Roman" w:eastAsia="SimSun"/>
          <w:color w:val="000000"/>
          <w:sz w:val="24"/>
          <w:szCs w:val="24"/>
        </w:rPr>
        <w:t xml:space="preserve">对该账户立即执行检测；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监管模式：可在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「持续监管」</w:t>
      </w:r>
      <w:r>
        <w:rPr>
          <w:rFonts w:ascii="Times New Roman" w:eastAsia="SimSun"/>
          <w:color w:val="000000"/>
          <w:sz w:val="24"/>
          <w:szCs w:val="24"/>
        </w:rPr>
        <w:t xml:space="preserve">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「单次扫描」</w:t>
      </w:r>
      <w:r>
        <w:rPr>
          <w:rFonts w:ascii="Times New Roman" w:eastAsia="SimSun"/>
          <w:color w:val="000000"/>
          <w:sz w:val="24"/>
          <w:szCs w:val="24"/>
        </w:rPr>
        <w:t xml:space="preserve">之间切换；点击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「发现账户」</w:t>
      </w:r>
      <w:r>
        <w:rPr>
          <w:rFonts w:ascii="Times New Roman" w:eastAsia="SimSun"/>
          <w:color w:val="000000"/>
          <w:sz w:val="24"/>
          <w:szCs w:val="24"/>
        </w:rPr>
        <w:t xml:space="preserve">查看已发现账户，点击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「启动自动监管 / 停止自动监管」</w:t>
      </w:r>
      <w:r>
        <w:rPr>
          <w:rFonts w:ascii="Times New Roman" w:eastAsia="SimSun"/>
          <w:color w:val="000000"/>
          <w:sz w:val="24"/>
          <w:szCs w:val="24"/>
        </w:rPr>
        <w:t xml:space="preserve">控制自动检测任务；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异常账户检测快照：表格展示账户地址、异常类别、异常概率、风险等级、节点边数与模型版本；点击任一行打开账户详情抽屉，查看四类异常分类概率、账户交易关系子图、出入账摘要与关联交易表，并可点击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「重新检测」</w:t>
      </w:r>
      <w:r>
        <w:rPr>
          <w:rFonts w:ascii="Times New Roman" w:eastAsia="SimSun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检测任务队列：展示检测任务的状态与进度，点击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「查看过程」</w:t>
      </w:r>
      <w:r>
        <w:rPr>
          <w:rFonts w:ascii="Times New Roman" w:eastAsia="SimSun"/>
          <w:color w:val="000000"/>
          <w:sz w:val="24"/>
          <w:szCs w:val="24"/>
        </w:rPr>
        <w:t xml:space="preserve">可在抽屉中查看检测步骤与动态构图过程；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中高风险交易事件：表格展示风险等级、交易哈希、From / To 地址、金额、关联异常账户、风险原因与处置状态。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7-2　穿透式账户监管工作台</w:t>
      </w:r>
    </w:p>
    <w:p>
      <w:pPr>
        <w:pStyle w:val="Heading2"/>
        <w:spacing w:after="140" w:before="280" w:line="340" w:lineRule="atLeast"/>
      </w:pPr>
      <w:bookmarkStart w:id="100050" w:name="_Toc10005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7.3　交易穿透监管</w:t>
      </w:r>
      <w:bookmarkEnd w:id="10005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点击左侧菜单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「交易穿透监管」</w:t>
      </w:r>
      <w:r>
        <w:rPr>
          <w:rFonts w:ascii="Times New Roman" w:eastAsia="SimSun"/>
          <w:color w:val="000000"/>
          <w:sz w:val="24"/>
          <w:szCs w:val="24"/>
        </w:rPr>
        <w:t xml:space="preserve">进入链上交易监管查询页面：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选择统计日期，点击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「刷新统计」</w:t>
      </w:r>
      <w:r>
        <w:rPr>
          <w:rFonts w:ascii="Times New Roman" w:eastAsia="SimSun"/>
          <w:color w:val="000000"/>
          <w:sz w:val="24"/>
          <w:szCs w:val="24"/>
        </w:rPr>
        <w:t xml:space="preserve">查看当日监管统计与 KPI 指标卡；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在筛选区组合设置交易哈希、From、To、监管状态、链上状态、风险等级与时间范围等条件，点击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「查询」</w:t>
      </w:r>
      <w:r>
        <w:rPr>
          <w:rFonts w:ascii="Times New Roman" w:eastAsia="SimSun"/>
          <w:color w:val="000000"/>
          <w:sz w:val="24"/>
          <w:szCs w:val="24"/>
        </w:rPr>
        <w:t xml:space="preserve">；点击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「重置」</w:t>
      </w:r>
      <w:r>
        <w:rPr>
          <w:rFonts w:ascii="Times New Roman" w:eastAsia="SimSun"/>
          <w:color w:val="000000"/>
          <w:sz w:val="24"/>
          <w:szCs w:val="24"/>
        </w:rPr>
        <w:t xml:space="preserve">清空条件；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在交易列表中查看交易哈希与地址（可一键复制）、区块高度、合约名称与方法、Gas、链上状态、监管状态与风险等级；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「查看详情」</w:t>
      </w:r>
      <w:r>
        <w:rPr>
          <w:rFonts w:ascii="Times New Roman" w:eastAsia="SimSun"/>
          <w:color w:val="000000"/>
          <w:sz w:val="24"/>
          <w:szCs w:val="24"/>
        </w:rPr>
        <w:t xml:space="preserve">打开抽屉，查看链上信息（签名证书指纹、结果码等）、数据源与业务字段（TokenID、业务交易编号、金额）以及监管信息与风险事件记录；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步骤5　</w:t>
      </w:r>
      <w:r>
        <w:rPr>
          <w:rFonts w:ascii="Times New Roman" w:eastAsia="SimSun"/>
          <w:color w:val="000000"/>
          <w:sz w:val="24"/>
          <w:szCs w:val="24"/>
        </w:rPr>
        <w:t xml:space="preserve">列表支持游标分页，每页可显示 20 / 50 / 100 / 200 条。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7-3　交易穿透监管页面</w:t>
      </w:r>
    </w:p>
    <w:p>
      <w:pPr>
        <w:pStyle w:val="Heading1"/>
        <w:pageBreakBefore/>
        <w:spacing w:after="200" w:before="360" w:line="380" w:lineRule="atLeast"/>
      </w:pPr>
      <w:bookmarkStart w:id="100051" w:name="_Toc10005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8　管理员操作指南</w:t>
      </w:r>
      <w:bookmarkEnd w:id="100051"/>
    </w:p>
    <w:p>
      <w:pPr>
        <w:pStyle w:val="Heading2"/>
        <w:spacing w:after="140" w:before="280" w:line="340" w:lineRule="atLeast"/>
      </w:pPr>
      <w:bookmarkStart w:id="100052" w:name="_Toc10005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8.1　数据看板</w:t>
      </w:r>
      <w:bookmarkEnd w:id="10005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管理员登录后进入数据看板，功能与 7.1 节相同，用于总览平台运行数据。</w:t>
      </w:r>
    </w:p>
    <w:p>
      <w:pPr>
        <w:pStyle w:val="Heading2"/>
        <w:spacing w:after="140" w:before="280" w:line="340" w:lineRule="atLeast"/>
      </w:pPr>
      <w:bookmarkStart w:id="100053" w:name="_Toc10005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8.2　用户管理</w:t>
      </w:r>
      <w:bookmarkEnd w:id="100053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「用户管理」</w:t>
      </w:r>
      <w:r>
        <w:rPr>
          <w:rFonts w:ascii="Times New Roman" w:eastAsia="SimSun"/>
          <w:color w:val="000000"/>
          <w:sz w:val="24"/>
          <w:szCs w:val="24"/>
        </w:rPr>
        <w:t xml:space="preserve">进入用户列表页面，列表展示用户 ID、名称、安全等级与备注，支持分页；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点击目标用户行的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「编辑」</w:t>
      </w:r>
      <w:r>
        <w:rPr>
          <w:rFonts w:ascii="Times New Roman" w:eastAsia="SimSun"/>
          <w:color w:val="000000"/>
          <w:sz w:val="24"/>
          <w:szCs w:val="24"/>
        </w:rPr>
        <w:t xml:space="preserve">按钮，弹出编辑窗口；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修改安全等级、用户名、邮箱或地址，点击提交；系统提示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「修改成功」</w:t>
      </w:r>
      <w:r>
        <w:rPr>
          <w:rFonts w:ascii="Times New Roman" w:eastAsia="SimSun"/>
          <w:color w:val="000000"/>
          <w:sz w:val="24"/>
          <w:szCs w:val="24"/>
        </w:rPr>
        <w:t xml:space="preserve">后生效。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8-1　用户管理页面</w:t>
      </w:r>
    </w:p>
    <w:p>
      <w:pPr>
        <w:pStyle w:val="Heading2"/>
        <w:spacing w:after="140" w:before="280" w:line="340" w:lineRule="atLeast"/>
      </w:pPr>
      <w:bookmarkStart w:id="100054" w:name="_Toc10005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8.3　权限管理</w:t>
      </w:r>
      <w:bookmarkEnd w:id="100054"/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「权限管理」</w:t>
      </w:r>
      <w:r>
        <w:rPr>
          <w:rFonts w:ascii="Times New Roman" w:eastAsia="SimSun"/>
          <w:color w:val="000000"/>
          <w:sz w:val="24"/>
          <w:szCs w:val="24"/>
        </w:rPr>
        <w:t xml:space="preserve">进入管理员身份验证页；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输入管理员密码，点击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「提交」</w:t>
      </w:r>
      <w:r>
        <w:rPr>
          <w:rFonts w:ascii="Times New Roman" w:eastAsia="SimSun"/>
          <w:color w:val="000000"/>
          <w:sz w:val="24"/>
          <w:szCs w:val="24"/>
        </w:rPr>
        <w:t xml:space="preserve">。密码连续错误 5 次将锁定 1 分钟；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验证通过后进入权限管理页面，用户列表展示用户名、邮箱、地址、权限等级（1～3 级）与可访问范围（上链登记估值定价 / 审计监督 / 交易市场）；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步骤4　</w:t>
      </w: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「编辑」</w:t>
      </w:r>
      <w:r>
        <w:rPr>
          <w:rFonts w:ascii="Times New Roman" w:eastAsia="SimSun"/>
          <w:color w:val="000000"/>
          <w:sz w:val="24"/>
          <w:szCs w:val="24"/>
        </w:rPr>
        <w:t xml:space="preserve">修改用户的地址、权限等级与可访问范围后保存，支持分页浏览。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8-2　权限管理页面</w:t>
      </w:r>
    </w:p>
    <w:p>
      <w:pPr>
        <w:pStyle w:val="Heading2"/>
        <w:spacing w:after="140" w:before="280" w:line="340" w:lineRule="atLeast"/>
      </w:pPr>
      <w:bookmarkStart w:id="100055" w:name="_Toc10005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8.4　系统服务管理</w:t>
      </w:r>
      <w:bookmarkEnd w:id="10005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「服务管理」</w:t>
      </w:r>
      <w:r>
        <w:rPr>
          <w:rFonts w:ascii="Times New Roman" w:eastAsia="SimSun"/>
          <w:color w:val="000000"/>
          <w:sz w:val="24"/>
          <w:szCs w:val="24"/>
        </w:rPr>
        <w:t xml:space="preserve">进入系统运维页面。页面每 5 秒自动轮询刷新，顶部汇总卡展示服务总数、运行中、健康与异常数量；服务列表展示监管模型 API、基础后端集合、目录链后端、敏感数据分类 API、资产估值 API 等服务的监听地址、开机启用状态、进程状态与健康检查结果。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步骤1　</w:t>
      </w:r>
      <w:r>
        <w:rPr>
          <w:rFonts w:ascii="Times New Roman" w:eastAsia="SimSun"/>
          <w:color w:val="000000"/>
          <w:sz w:val="24"/>
          <w:szCs w:val="24"/>
        </w:rPr>
        <w:t xml:space="preserve">在服务列表中定位目标服务；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步骤2　</w:t>
      </w:r>
      <w:r>
        <w:rPr>
          <w:rFonts w:ascii="Times New Roman" w:eastAsia="SimSun"/>
          <w:color w:val="000000"/>
          <w:sz w:val="24"/>
          <w:szCs w:val="24"/>
        </w:rPr>
        <w:t xml:space="preserve">通过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「服务开关」</w:t>
      </w:r>
      <w:r>
        <w:rPr>
          <w:rFonts w:ascii="Times New Roman" w:eastAsia="SimSun"/>
          <w:color w:val="000000"/>
          <w:sz w:val="24"/>
          <w:szCs w:val="24"/>
        </w:rPr>
        <w:t xml:space="preserve">执行启动或停止；必要时点击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「重启服务」</w:t>
      </w:r>
      <w:r>
        <w:rPr>
          <w:rFonts w:ascii="Times New Roman" w:eastAsia="SimSun"/>
          <w:color w:val="000000"/>
          <w:sz w:val="24"/>
          <w:szCs w:val="24"/>
        </w:rPr>
        <w:t xml:space="preserve">；</w:t>
      </w:r>
    </w:p>
    <w:p>
      <w:pPr>
        <w:spacing w:after="60" w:line="312"/>
        <w:ind w:left="360" w:hanging="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步骤3　</w:t>
      </w:r>
      <w:r>
        <w:rPr>
          <w:rFonts w:ascii="Times New Roman" w:eastAsia="SimSun"/>
          <w:color w:val="000000"/>
          <w:sz w:val="24"/>
          <w:szCs w:val="24"/>
        </w:rPr>
        <w:t xml:space="preserve">在页面底部的操作记录表中查看本会话内的服务操作记录。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图 8-3　系统服务管理页面</w:t>
      </w:r>
    </w:p>
    <w:tbl>
      <w:tblPr>
        <w:tblW w:type="pct" w:w="100%"/>
        <w:tblBorders>
          <w:top w:val="single" w:color="C8DDE2" w:sz="2"/>
          <w:left w:val="single" w:color="8A5A00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00"/>
                <w:sz w:val="21"/>
                <w:szCs w:val="21"/>
              </w:rPr>
              <w:t xml:space="preserve">注意：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服务启停会直接影响线上功能可用性，请在业务低峰期操作，并提前通知相关人员。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56" w:name="_Toc10005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9　常见问题与注意事项</w:t>
      </w:r>
      <w:bookmarkEnd w:id="100056"/>
    </w:p>
    <w:p>
      <w:pPr>
        <w:pStyle w:val="Heading2"/>
        <w:spacing w:after="140" w:before="280" w:line="340" w:lineRule="atLeast"/>
      </w:pPr>
      <w:bookmarkStart w:id="100057" w:name="_Toc10005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9.1　常见问题（FAQ）</w:t>
      </w:r>
      <w:bookmarkEnd w:id="100057"/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9-1　常见问题与处理建议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812"/>
        <w:gridCol w:w="5976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6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登录后页面与手册描述不一致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登录身份与买家 / 卖家视角决定可见菜单。请确认当前登录身份，并检查顶栏身份切换下拉框中的当前视角</w:t>
            </w:r>
          </w:p>
        </w:tc>
      </w:tr>
      <w:tr>
        <w:trPr>
          <w:cantSplit/>
        </w:trPr>
        <w:tc>
          <w:tcPr>
            <w:tcW w:type="pct" w:w="3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购买时提示余额不足</w:t>
            </w:r>
          </w:p>
        </w:tc>
        <w:tc>
          <w:tcPr>
            <w:tcW w:type="pct" w:w="6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购买弹窗会显示当前余额，余额不足时无法提交申请。请联系管理员处理账户余额问题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卖家无法确认交易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购买申请具有过期时间，过期后</w:t>
            </w:r>
            <w:r>
              <w:rPr>
                <w:rFonts w:ascii="Times New Roman" w:eastAsia="SimSun"/>
                <w:b/>
                <w:bCs/>
                <w:color w:val="1A1A1A"/>
                <w:sz w:val="21"/>
                <w:szCs w:val="21"/>
              </w:rPr>
              <w:t xml:space="preserve">「确认交易」</w:t>
            </w: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按钮不可用，需买家重新发起申请</w:t>
            </w:r>
          </w:p>
        </w:tc>
      </w:tr>
      <w:tr>
        <w:trPr>
          <w:cantSplit/>
        </w:trPr>
        <w:tc>
          <w:tcPr>
            <w:tcW w:type="pct" w:w="3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上链时哈希生成失败</w:t>
            </w:r>
          </w:p>
        </w:tc>
        <w:tc>
          <w:tcPr>
            <w:tcW w:type="pct" w:w="6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可选择</w:t>
            </w:r>
            <w:r>
              <w:rPr>
                <w:rFonts w:ascii="Times New Roman" w:eastAsia="SimSun"/>
                <w:b/>
                <w:bCs/>
                <w:color w:val="1A1A1A"/>
                <w:sz w:val="21"/>
                <w:szCs w:val="21"/>
              </w:rPr>
              <w:t xml:space="preserve">「仍然传入数据库」</w:t>
            </w: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先完成本地登记，稍后重新尝试上链存证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下载的交付结果无法打开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交付结果为加密文件，需在下载弹窗中选择对应的私钥 / 密钥 JSON 文件本地解密后查看</w:t>
            </w:r>
          </w:p>
        </w:tc>
      </w:tr>
      <w:tr>
        <w:trPr>
          <w:cantSplit/>
        </w:trPr>
        <w:tc>
          <w:tcPr>
            <w:tcW w:type="pct" w:w="3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 交付长时间处于等待状态</w:t>
            </w:r>
          </w:p>
        </w:tc>
        <w:tc>
          <w:tcPr>
            <w:tcW w:type="pct" w:w="6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 交付依赖虚机环境准备与卖方数据上传。请确认卖方已完成上传，必要时联系运维检查 TEE 服务状态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拍卖没有成交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拍卖截止后若无有效出价则流拍，可关注该资产再次挂牌或联系卖方协商</w:t>
            </w:r>
          </w:p>
        </w:tc>
      </w:tr>
      <w:tr>
        <w:trPr>
          <w:cantSplit/>
        </w:trPr>
        <w:tc>
          <w:tcPr>
            <w:tcW w:type="pct" w:w="3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证书即将过期</w:t>
            </w:r>
          </w:p>
        </w:tc>
        <w:tc>
          <w:tcPr>
            <w:tcW w:type="pct" w:w="6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证书有效期为 6 个月。请在个人中心提前重新申请证书，并及时更新默认证书设置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个人中心看不到证书或申请失败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检查证书名称是否为 1～10 位字母或数字且未与已有证书重名，所属组织是否选择正确</w:t>
            </w:r>
          </w:p>
        </w:tc>
      </w:tr>
      <w:tr>
        <w:trPr>
          <w:cantSplit/>
        </w:trPr>
        <w:tc>
          <w:tcPr>
            <w:tcW w:type="pct" w:w="3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忘记密码</w:t>
            </w:r>
          </w:p>
        </w:tc>
        <w:tc>
          <w:tcPr>
            <w:tcW w:type="pct" w:w="68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请联系系统管理员处理，找回方式【由运维方提供】</w:t>
            </w:r>
          </w:p>
        </w:tc>
      </w:tr>
    </w:tbl>
    <w:p>
      <w:pPr>
        <w:pStyle w:val="Heading2"/>
        <w:spacing w:after="140" w:before="280" w:line="340" w:lineRule="atLeast"/>
      </w:pPr>
      <w:bookmarkStart w:id="100058" w:name="_Toc10005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9.2　安全使用注意事项</w:t>
      </w:r>
      <w:bookmarkEnd w:id="10005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妥善保管登录账号、密码以及证书与交付过程中使用的私钥 / 密钥文件，请勿通过非官方渠道传输或存储；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不要在公共设备上保持登录状态，操作完成后及时点击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「登出」</w:t>
      </w:r>
      <w:r>
        <w:rPr>
          <w:rFonts w:ascii="Times New Roman" w:eastAsia="SimSun"/>
          <w:color w:val="000000"/>
          <w:sz w:val="24"/>
          <w:szCs w:val="24"/>
        </w:rPr>
        <w:t xml:space="preserve">退出；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执行跨链转入 / 转出、确认交易等涉及资产归属的操作前，务必仔细核对地址、数量与金额；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上传的数据文件应确保为有权交易的合规数据，交付后不可撤回，请在上传前确认内容；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发现异常账户或可疑交易时，请及时通过监管平台提交检测并通知相关管理人员。</w:t>
      </w:r>
    </w:p>
    <w:p>
      <w:pPr>
        <w:pStyle w:val="Heading1"/>
        <w:pageBreakBefore/>
        <w:spacing w:after="200" w:before="360" w:line="380" w:lineRule="atLeast"/>
      </w:pPr>
      <w:bookmarkStart w:id="100059" w:name="_Toc10005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附录A　角色与页面权限对照表</w:t>
      </w:r>
      <w:bookmarkEnd w:id="10005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下表列出系统各页面的访问入口与可访问角色，供权限配置与验收参考。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A-1　角色与页面权限对照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758"/>
        <w:gridCol w:w="2109"/>
        <w:gridCol w:w="1933"/>
        <w:gridCol w:w="2988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访问入口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可访问角色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主要用途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登录页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/login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公开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账号登录与身份选择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注册页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/register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公开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账号注册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数据看板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/home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全部角色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平台运行数据总览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上链登记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/chain-registration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资产登记上链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资产管理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/asset-management2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 / 审计方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资产列表、编辑、挂牌与代理托管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交易市场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/market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资产浏览、筛选与购买入口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交易列表 / 交易详情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/market/list、/market/details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市场交易列表与详情查看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资产详情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/asset/:id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登录用户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资产详情、购买申请与竞价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交易处理（卖家）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/market/seller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确认买家购买申请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交易处理（买家）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/auction/processing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获拍资产提交交易申请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资产交付（卖家）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/delivery/seller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卖家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执行加密交付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资产交付（买家）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/delivery/buyer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请求交付与结果下载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数字合约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/contract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登录用户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合约创建、审核、履行与终止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个人中心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/user-center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买家 / 卖家 / 审计方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证书申请与默认证书设置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资产图库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/asset-picture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登录用户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按行业浏览可交易资产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估值定价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/valuation-pricing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登录用户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资产价值评估计算工具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监管平台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/supervision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穿透式账户监管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交易穿透监管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/transaction-supervision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监管方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链上交易监管查询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系统服务管理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/services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后台服务状态查看与启停</w:t>
            </w:r>
          </w:p>
        </w:tc>
      </w:tr>
      <w:tr>
        <w:trPr>
          <w:cantSplit/>
        </w:trPr>
        <w:tc>
          <w:tcPr>
            <w:tcW w:type="pct" w:w="2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用户管理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/user-management</w:t>
            </w:r>
          </w:p>
        </w:tc>
        <w:tc>
          <w:tcPr>
            <w:tcW w:type="pct" w:w="22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</w:t>
            </w:r>
          </w:p>
        </w:tc>
        <w:tc>
          <w:tcPr>
            <w:tcW w:type="pct" w:w="3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用户信息与安全等级管理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权限管理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/permission-management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管理员验证后配置用户权限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id="100060" w:name="_Toc10006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附录B　隐私计算交付方式操作对照表</w:t>
      </w:r>
      <w:bookmarkEnd w:id="10006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下表汇总五种隐私计算交付方式下买卖双方的操作要点与涉及文件，供交易前约定交付方式与准备材料时参考。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555555"/>
          <w:sz w:val="21"/>
          <w:szCs w:val="21"/>
        </w:rPr>
        <w:t xml:space="preserve">表 B-1　五种交付方式操作对照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406"/>
        <w:gridCol w:w="2636"/>
        <w:gridCol w:w="2636"/>
        <w:gridCol w:w="2109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交付方式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卖家操作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买家操作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涉及文件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HE 同态加密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选择交付算法，上传数据 CSV（两份），执行交付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请求交付，下载结果并选择私钥 JSON 本地解密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 CSV、解密私钥 JSON</w:t>
            </w:r>
          </w:p>
        </w:tc>
      </w:tr>
      <w:tr>
        <w:trPr>
          <w:cantSplit/>
        </w:trPr>
        <w:tc>
          <w:tcPr>
            <w:tcW w:type="pct" w:w="1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PRE 代理重加密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上传原始数据压缩包（zip / tar / gz），执行交付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请求交付（上传买家公钥），下载结果并选择私钥解密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原始压缩包、买家公钥、私钥 JSON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FL 联邦学习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上传训练结果压缩包（zip），执行交付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请求交付（上传顶层与底层模型初始包 zip），下载结果解密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模型初始包 zip、训练结果 zip、私钥 JSON</w:t>
            </w:r>
          </w:p>
        </w:tc>
      </w:tr>
      <w:tr>
        <w:trPr>
          <w:cantSplit/>
        </w:trPr>
        <w:tc>
          <w:tcPr>
            <w:tcW w:type="pct" w:w="16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MPC 多方安全计算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上传资产数据 CSV（可多选），执行交付</w:t>
            </w:r>
          </w:p>
        </w:tc>
        <w:tc>
          <w:tcPr>
            <w:tcW w:type="pct" w:w="30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设置筛选门槛，开始安全筛选，查看达标结果</w:t>
            </w:r>
          </w:p>
        </w:tc>
        <w:tc>
          <w:tcPr>
            <w:tcW w:type="pct" w:w="24%"/>
            <w:shd w:fill="F6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资产 CSV、筛选条件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 可信执行环境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买方请求后自动交付，按提示上传数据文件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请求交付，上传权重 CSV，下载结果并选择密钥解密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TEE 数据 CSV、TEE 权重 CSV、结果密钥 JSON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1B6B7A"/>
                <w:sz w:val="21"/>
                <w:szCs w:val="21"/>
              </w:rPr>
              <w:t xml:space="preserve">说明：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各交付方式的技术细节与接口约定请参见系统接口文档；交付过程中如遇环境类问题（如 TEE 虚机资源、公钥交换异常），请联系运维人员处理。</w:t>
            </w:r>
          </w:p>
        </w:tc>
      </w:tr>
    </w:tbl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0"/>
      <w:jc w:val="center"/>
    </w:pPr>
    <w:r>
      <w:rPr>
        <w:rFonts w:ascii="Arial" w:eastAsia="Microsoft YaHei"/>
        <w:color w:val="888888"/>
        <w:sz w:val="18"/>
        <w:szCs w:val="18"/>
      </w:rPr>
      <w:t xml:space="preserve">数字资产流通系统用户操作手册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0"/>
      <w:jc w:val="center"/>
    </w:pPr>
    <w:r>
      <w:rPr>
        <w:rFonts w:ascii="Arial" w:eastAsia="Microsoft YaHei"/>
        <w:color w:val="888888"/>
        <w:sz w:val="18"/>
        <w:szCs w:val="18"/>
      </w:rPr>
      <w:t xml:space="preserve">数字资产流通系统用户操作手册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80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SimHei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 w:line="240" w:lineRule="auto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 w:line="240" w:lineRule="auto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 w:line="240" w:lineRule="auto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356612899cb209c3b720140374c37dff04d58796.png"/><Relationship Id="rId12" Type="http://schemas.openxmlformats.org/officeDocument/2006/relationships/image" Target="media/348941607063f7ef3f20c2ad65450568d27a9811.png"/><Relationship Id="rId13" Type="http://schemas.openxmlformats.org/officeDocument/2006/relationships/image" Target="media/5576e67f08b0b3735b26489fc8d95f2b479fa3ac.png"/><Relationship Id="rId14" Type="http://schemas.openxmlformats.org/officeDocument/2006/relationships/image" Target="media/e2c35d491c9df834a8aa9171d365e97e9adfc8a5.png"/><Relationship Id="rId15" Type="http://schemas.openxmlformats.org/officeDocument/2006/relationships/image" Target="media/2fcc1abd578ab04ca6d00a4cb041f8634d37f721.png"/><Relationship Id="rId16" Type="http://schemas.openxmlformats.org/officeDocument/2006/relationships/image" Target="media/c14aefa72bea78625e8203ad4870f7495898a050.png"/><Relationship Id="rId17" Type="http://schemas.openxmlformats.org/officeDocument/2006/relationships/image" Target="media/c47c760f90569c3f1c88e9b9ea171a304a867961.png"/><Relationship Id="rId18" Type="http://schemas.openxmlformats.org/officeDocument/2006/relationships/image" Target="media/1ee07341f94cb63b1e5ecee918608cfd35f70da7.png"/><Relationship Id="rId19" Type="http://schemas.openxmlformats.org/officeDocument/2006/relationships/image" Target="media/ad9cab176fd3f3295f6e12258087e73bc1fdb177.png"/><Relationship Id="rId20" Type="http://schemas.openxmlformats.org/officeDocument/2006/relationships/image" Target="media/1345389e3e79c70edeb4b9127b4a0392e675e7fc.png"/><Relationship Id="rId21" Type="http://schemas.openxmlformats.org/officeDocument/2006/relationships/image" Target="media/a27ebfbce2c65974b91ebe3038bf65ff9dd66e13.png"/><Relationship Id="rId22" Type="http://schemas.openxmlformats.org/officeDocument/2006/relationships/image" Target="media/0e20f2e2f43c2f6b956591c81d1d7b90a61829f3.png"/><Relationship Id="rId23" Type="http://schemas.openxmlformats.org/officeDocument/2006/relationships/image" Target="media/41355071667be620f83fe4352a9c09b387a7b4f0.png"/><Relationship Id="rId24" Type="http://schemas.openxmlformats.org/officeDocument/2006/relationships/image" Target="media/5f99b2ef3b33cc84f837935619101385475c1980.png"/><Relationship Id="rId25" Type="http://schemas.openxmlformats.org/officeDocument/2006/relationships/image" Target="media/178e6434b623a0a6741bb65bc176a183773f2873.png"/><Relationship Id="rId26" Type="http://schemas.openxmlformats.org/officeDocument/2006/relationships/image" Target="media/19de50f2885c6a5caf27cca4cb2fb85a2c0f85e3.png"/><Relationship Id="rId27" Type="http://schemas.openxmlformats.org/officeDocument/2006/relationships/image" Target="media/f1bfea78760a4555634bd60a3f0e6275ea6017d9.png"/><Relationship Id="rId28" Type="http://schemas.openxmlformats.org/officeDocument/2006/relationships/image" Target="media/4fa737b26885cef8d8871215fe5758bc20a0c14f.png"/><Relationship Id="rId29" Type="http://schemas.openxmlformats.org/officeDocument/2006/relationships/image" Target="media/afd875d392dd3fd3c4b90a7093ca7adb6fbcfb63.png"/><Relationship Id="rId30" Type="http://schemas.openxmlformats.org/officeDocument/2006/relationships/image" Target="media/7c5bbcadec9298bf96f2eaab23903b145a06efe1.png"/><Relationship Id="rId31" Type="http://schemas.openxmlformats.org/officeDocument/2006/relationships/image" Target="media/d8f68be1151f4374702d685ddf6238cfe27d0862.png"/><Relationship Id="rId32" Type="http://schemas.openxmlformats.org/officeDocument/2006/relationships/image" Target="media/e52f06706d5b374ad56456e15ab253fd7b9f248b.png"/><Relationship Id="rId33" Type="http://schemas.openxmlformats.org/officeDocument/2006/relationships/image" Target="media/6820af7d262b1a822051326913e163d90935512e.png"/><Relationship Id="rId34" Type="http://schemas.openxmlformats.org/officeDocument/2006/relationships/image" Target="media/7d00fa977805271cb2dc13bcdc25c2dcd85ac40d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数字资产流通系统用户操作手册</dc:title>
  <dc:creator>【编制单位名称】</dc:creator>
  <cp:lastModifiedBy>Un-named</cp:lastModifiedBy>
  <cp:revision>1</cp:revision>
  <dcterms:created xsi:type="dcterms:W3CDTF">2026-09-08T16:01:21.728Z</dcterms:created>
  <dcterms:modified xsi:type="dcterms:W3CDTF">2026-09-08T16:01:21.729Z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