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C5DAE" w14:textId="77777777" w:rsidR="00A4561A" w:rsidRDefault="00A4561A" w:rsidP="00A4561A">
      <w:pPr>
        <w:pStyle w:val="NormalWeb"/>
      </w:pPr>
      <w:r>
        <w:t xml:space="preserve">In responding to NIH’s RFI, I encourage NIH to analyze and report APC spending with greater granularity—specifically distinguishing </w:t>
      </w:r>
      <w:r w:rsidRPr="00A4561A">
        <w:rPr>
          <w:rStyle w:val="Strong"/>
          <w:rFonts w:eastAsiaTheme="majorEastAsia"/>
          <w:b w:val="0"/>
          <w:bCs w:val="0"/>
        </w:rPr>
        <w:t xml:space="preserve">for-profit publishers vs. society/nonprofit </w:t>
      </w:r>
      <w:proofErr w:type="gramStart"/>
      <w:r w:rsidRPr="00A4561A">
        <w:rPr>
          <w:rStyle w:val="Strong"/>
          <w:rFonts w:eastAsiaTheme="majorEastAsia"/>
          <w:b w:val="0"/>
          <w:bCs w:val="0"/>
        </w:rPr>
        <w:t>journals</w:t>
      </w:r>
      <w:r>
        <w:t>, and</w:t>
      </w:r>
      <w:proofErr w:type="gramEnd"/>
      <w:r>
        <w:t xml:space="preserve"> identifying journals that advertise rapid or “guaranteed” acceptance tied to high fees. Several public sources underscore why </w:t>
      </w:r>
      <w:proofErr w:type="gramStart"/>
      <w:r>
        <w:t>this matters</w:t>
      </w:r>
      <w:proofErr w:type="gramEnd"/>
      <w:r>
        <w:t>:</w:t>
      </w:r>
    </w:p>
    <w:p w14:paraId="2C92D24D" w14:textId="77777777" w:rsidR="00A4561A" w:rsidRDefault="00A4561A" w:rsidP="00A4561A">
      <w:pPr>
        <w:pStyle w:val="NormalWeb"/>
        <w:numPr>
          <w:ilvl w:val="0"/>
          <w:numId w:val="1"/>
        </w:numPr>
      </w:pPr>
      <w:r>
        <w:rPr>
          <w:rStyle w:val="Strong"/>
          <w:rFonts w:eastAsiaTheme="majorEastAsia"/>
        </w:rPr>
        <w:t>APC levels and growth vary widely by publisher type.</w:t>
      </w:r>
      <w:r>
        <w:t xml:space="preserve"> A recent multi-publisher analysis (2019–2023) estimated that global APC payments more than doubled (with hybrid OA often costing more than fully OA) and highlighted the broader lack of price transparency—an issue most acute among large commercial publishers. Making publisher-type distinctions in NIH reporting would illuminate where public funds concentrate. </w:t>
      </w:r>
      <w:hyperlink r:id="rId5" w:tgtFrame="_blank" w:history="1">
        <w:r>
          <w:rPr>
            <w:rStyle w:val="max-w-full"/>
            <w:rFonts w:eastAsiaTheme="majorEastAsia"/>
            <w:color w:val="0000FF"/>
            <w:u w:val="single"/>
          </w:rPr>
          <w:t>arXiv</w:t>
        </w:r>
      </w:hyperlink>
      <w:hyperlink r:id="rId6" w:tgtFrame="_blank" w:history="1">
        <w:r>
          <w:rPr>
            <w:rStyle w:val="max-w-full"/>
            <w:rFonts w:eastAsiaTheme="majorEastAsia"/>
            <w:color w:val="0000FF"/>
            <w:u w:val="single"/>
          </w:rPr>
          <w:t>opuspro</w:t>
        </w:r>
        <w:r>
          <w:rPr>
            <w:rStyle w:val="max-w-full"/>
            <w:rFonts w:eastAsiaTheme="majorEastAsia"/>
            <w:color w:val="0000FF"/>
            <w:u w:val="single"/>
          </w:rPr>
          <w:t>j</w:t>
        </w:r>
        <w:r>
          <w:rPr>
            <w:rStyle w:val="max-w-full"/>
            <w:rFonts w:eastAsiaTheme="majorEastAsia"/>
            <w:color w:val="0000FF"/>
            <w:u w:val="single"/>
          </w:rPr>
          <w:t>ect.eu</w:t>
        </w:r>
      </w:hyperlink>
    </w:p>
    <w:p w14:paraId="179A91A4" w14:textId="77777777" w:rsidR="00A4561A" w:rsidRDefault="00A4561A" w:rsidP="00A4561A">
      <w:pPr>
        <w:pStyle w:val="NormalWeb"/>
        <w:numPr>
          <w:ilvl w:val="0"/>
          <w:numId w:val="1"/>
        </w:numPr>
      </w:pPr>
      <w:r>
        <w:rPr>
          <w:rStyle w:val="Strong"/>
          <w:rFonts w:eastAsiaTheme="majorEastAsia"/>
        </w:rPr>
        <w:t>Concrete APC benchmarks show large price dispersion.</w:t>
      </w:r>
      <w:r>
        <w:t xml:space="preserve"> For example, Nature (commercial) lists a Gold OA APC of about </w:t>
      </w:r>
      <w:r w:rsidRPr="00A4561A">
        <w:rPr>
          <w:rStyle w:val="Strong"/>
          <w:rFonts w:eastAsiaTheme="majorEastAsia"/>
          <w:b w:val="0"/>
          <w:bCs w:val="0"/>
        </w:rPr>
        <w:t>$12,690</w:t>
      </w:r>
      <w:r>
        <w:t xml:space="preserve">; Nature Communications lists </w:t>
      </w:r>
      <w:r w:rsidRPr="00A4561A">
        <w:rPr>
          <w:rStyle w:val="Strong"/>
          <w:rFonts w:eastAsiaTheme="majorEastAsia"/>
          <w:b w:val="0"/>
          <w:bCs w:val="0"/>
        </w:rPr>
        <w:t>$6,990</w:t>
      </w:r>
      <w:r>
        <w:t xml:space="preserve">. In contrast, the society-published PNAS lists immediate OA at </w:t>
      </w:r>
      <w:r w:rsidRPr="00A4561A">
        <w:rPr>
          <w:rStyle w:val="Strong"/>
          <w:rFonts w:eastAsiaTheme="majorEastAsia"/>
          <w:b w:val="0"/>
          <w:bCs w:val="0"/>
        </w:rPr>
        <w:t>$5,495</w:t>
      </w:r>
      <w:r>
        <w:t xml:space="preserve"> (or $2,945 for delayed OA), illustrating how charges differ between high-prestige commercial titles and a flagship society journal. </w:t>
      </w:r>
      <w:hyperlink r:id="rId7" w:tgtFrame="_blank" w:history="1">
        <w:r>
          <w:rPr>
            <w:rStyle w:val="max-w-full"/>
            <w:rFonts w:eastAsiaTheme="majorEastAsia"/>
            <w:color w:val="0000FF"/>
            <w:u w:val="single"/>
          </w:rPr>
          <w:t>Nature</w:t>
        </w:r>
        <w:r>
          <w:rPr>
            <w:rStyle w:val="-me-1"/>
            <w:color w:val="0000FF"/>
            <w:u w:val="single"/>
          </w:rPr>
          <w:t>+</w:t>
        </w:r>
        <w:r>
          <w:rPr>
            <w:rStyle w:val="-me-1"/>
            <w:color w:val="0000FF"/>
            <w:u w:val="single"/>
          </w:rPr>
          <w:t>1</w:t>
        </w:r>
      </w:hyperlink>
      <w:hyperlink r:id="rId8" w:tgtFrame="_blank" w:history="1">
        <w:r>
          <w:rPr>
            <w:rStyle w:val="max-w-full"/>
            <w:rFonts w:eastAsiaTheme="majorEastAsia"/>
            <w:color w:val="0000FF"/>
            <w:u w:val="single"/>
          </w:rPr>
          <w:t>P</w:t>
        </w:r>
        <w:r>
          <w:rPr>
            <w:rStyle w:val="max-w-full"/>
            <w:rFonts w:eastAsiaTheme="majorEastAsia"/>
            <w:color w:val="0000FF"/>
            <w:u w:val="single"/>
          </w:rPr>
          <w:t>N</w:t>
        </w:r>
        <w:r>
          <w:rPr>
            <w:rStyle w:val="max-w-full"/>
            <w:rFonts w:eastAsiaTheme="majorEastAsia"/>
            <w:color w:val="0000FF"/>
            <w:u w:val="single"/>
          </w:rPr>
          <w:t>AS</w:t>
        </w:r>
      </w:hyperlink>
    </w:p>
    <w:p w14:paraId="1FD206DD" w14:textId="77777777" w:rsidR="00A4561A" w:rsidRDefault="00A4561A" w:rsidP="00A4561A">
      <w:pPr>
        <w:pStyle w:val="NormalWeb"/>
        <w:numPr>
          <w:ilvl w:val="0"/>
          <w:numId w:val="1"/>
        </w:numPr>
      </w:pPr>
      <w:r>
        <w:rPr>
          <w:rStyle w:val="Strong"/>
          <w:rFonts w:eastAsiaTheme="majorEastAsia"/>
        </w:rPr>
        <w:t>Ethical guardrails exist but are inconsistently applied.</w:t>
      </w:r>
      <w:r>
        <w:t xml:space="preserve"> COPE and DOAJ publish transparency and fee-disclosure guidelines; Plan S also calls for transparent costing. NIH could reference these standards in policy and compliance checks to ensure public funds support journals adhering to recognized best practices. </w:t>
      </w:r>
      <w:hyperlink r:id="rId9" w:tgtFrame="_blank" w:history="1">
        <w:r>
          <w:rPr>
            <w:rStyle w:val="max-w-full"/>
            <w:rFonts w:eastAsiaTheme="majorEastAsia"/>
            <w:color w:val="0000FF"/>
            <w:u w:val="single"/>
          </w:rPr>
          <w:t>publicati</w:t>
        </w:r>
        <w:r>
          <w:rPr>
            <w:rStyle w:val="max-w-full"/>
            <w:rFonts w:eastAsiaTheme="majorEastAsia"/>
            <w:color w:val="0000FF"/>
            <w:u w:val="single"/>
          </w:rPr>
          <w:t>o</w:t>
        </w:r>
        <w:r>
          <w:rPr>
            <w:rStyle w:val="max-w-full"/>
            <w:rFonts w:eastAsiaTheme="majorEastAsia"/>
            <w:color w:val="0000FF"/>
            <w:u w:val="single"/>
          </w:rPr>
          <w:t>nethics.org</w:t>
        </w:r>
        <w:r>
          <w:rPr>
            <w:rStyle w:val="-me-1"/>
            <w:color w:val="0000FF"/>
            <w:u w:val="single"/>
          </w:rPr>
          <w:t>+1</w:t>
        </w:r>
      </w:hyperlink>
      <w:hyperlink r:id="rId10" w:tgtFrame="_blank" w:history="1">
        <w:r>
          <w:rPr>
            <w:rStyle w:val="max-w-full"/>
            <w:rFonts w:eastAsiaTheme="majorEastAsia"/>
            <w:color w:val="0000FF"/>
            <w:u w:val="single"/>
          </w:rPr>
          <w:t>Directory of Open Access Journals</w:t>
        </w:r>
      </w:hyperlink>
      <w:hyperlink r:id="rId11" w:tgtFrame="_blank" w:history="1">
        <w:r>
          <w:rPr>
            <w:rStyle w:val="max-w-full"/>
            <w:rFonts w:eastAsiaTheme="majorEastAsia"/>
            <w:color w:val="0000FF"/>
            <w:u w:val="single"/>
          </w:rPr>
          <w:t>coalition-s.</w:t>
        </w:r>
        <w:r>
          <w:rPr>
            <w:rStyle w:val="max-w-full"/>
            <w:rFonts w:eastAsiaTheme="majorEastAsia"/>
            <w:color w:val="0000FF"/>
            <w:u w:val="single"/>
          </w:rPr>
          <w:t>o</w:t>
        </w:r>
        <w:r>
          <w:rPr>
            <w:rStyle w:val="max-w-full"/>
            <w:rFonts w:eastAsiaTheme="majorEastAsia"/>
            <w:color w:val="0000FF"/>
            <w:u w:val="single"/>
          </w:rPr>
          <w:t>rg</w:t>
        </w:r>
      </w:hyperlink>
    </w:p>
    <w:p w14:paraId="575E0E4C" w14:textId="77777777" w:rsidR="00A4561A" w:rsidRDefault="00A4561A" w:rsidP="00A4561A">
      <w:pPr>
        <w:pStyle w:val="NormalWeb"/>
        <w:numPr>
          <w:ilvl w:val="0"/>
          <w:numId w:val="1"/>
        </w:numPr>
      </w:pPr>
      <w:r>
        <w:rPr>
          <w:rStyle w:val="Strong"/>
          <w:rFonts w:eastAsiaTheme="majorEastAsia"/>
        </w:rPr>
        <w:t>Evidence of “pay-to-publish” harms is documented.</w:t>
      </w:r>
      <w:r>
        <w:t xml:space="preserve"> The U.S. FTC’s successful action against OMICS details deceptive practices (including hidden fees and sham peer review). NIH tracking that flags journals with claims of guaranteed acceptance or unusually short review times—especially at high APCs—would help prevent public funds from supporting such venues. </w:t>
      </w:r>
      <w:hyperlink r:id="rId12" w:tgtFrame="_blank" w:history="1">
        <w:r>
          <w:rPr>
            <w:rStyle w:val="max-w-full"/>
            <w:rFonts w:eastAsiaTheme="majorEastAsia"/>
            <w:color w:val="0000FF"/>
            <w:u w:val="single"/>
          </w:rPr>
          <w:t>Federal Trade C</w:t>
        </w:r>
        <w:r>
          <w:rPr>
            <w:rStyle w:val="max-w-full"/>
            <w:rFonts w:eastAsiaTheme="majorEastAsia"/>
            <w:color w:val="0000FF"/>
            <w:u w:val="single"/>
          </w:rPr>
          <w:t>o</w:t>
        </w:r>
        <w:r>
          <w:rPr>
            <w:rStyle w:val="max-w-full"/>
            <w:rFonts w:eastAsiaTheme="majorEastAsia"/>
            <w:color w:val="0000FF"/>
            <w:u w:val="single"/>
          </w:rPr>
          <w:t>mmission</w:t>
        </w:r>
        <w:r>
          <w:rPr>
            <w:rStyle w:val="-me-1"/>
            <w:color w:val="0000FF"/>
            <w:u w:val="single"/>
          </w:rPr>
          <w:t>+1</w:t>
        </w:r>
      </w:hyperlink>
      <w:hyperlink r:id="rId13" w:tgtFrame="_blank" w:history="1">
        <w:r>
          <w:rPr>
            <w:rStyle w:val="max-w-full"/>
            <w:rFonts w:eastAsiaTheme="majorEastAsia"/>
            <w:color w:val="0000FF"/>
            <w:u w:val="single"/>
          </w:rPr>
          <w:t>Chemistry</w:t>
        </w:r>
        <w:r>
          <w:rPr>
            <w:rStyle w:val="max-w-full"/>
            <w:rFonts w:eastAsiaTheme="majorEastAsia"/>
            <w:color w:val="0000FF"/>
            <w:u w:val="single"/>
          </w:rPr>
          <w:t xml:space="preserve"> </w:t>
        </w:r>
        <w:r>
          <w:rPr>
            <w:rStyle w:val="max-w-full"/>
            <w:rFonts w:eastAsiaTheme="majorEastAsia"/>
            <w:color w:val="0000FF"/>
            <w:u w:val="single"/>
          </w:rPr>
          <w:t>World</w:t>
        </w:r>
      </w:hyperlink>
    </w:p>
    <w:p w14:paraId="4E57546C" w14:textId="77777777" w:rsidR="00A4561A" w:rsidRDefault="00A4561A" w:rsidP="00A4561A">
      <w:pPr>
        <w:pStyle w:val="NormalWeb"/>
      </w:pPr>
      <w:r>
        <w:rPr>
          <w:rStyle w:val="Strong"/>
          <w:rFonts w:eastAsiaTheme="majorEastAsia"/>
        </w:rPr>
        <w:t>What I’m asking NIH to publish or collect:</w:t>
      </w:r>
    </w:p>
    <w:p w14:paraId="074E92C6" w14:textId="188808FC" w:rsidR="00A4561A" w:rsidRDefault="00A4561A" w:rsidP="00A4561A">
      <w:pPr>
        <w:pStyle w:val="NormalWeb"/>
        <w:numPr>
          <w:ilvl w:val="0"/>
          <w:numId w:val="2"/>
        </w:numPr>
      </w:pPr>
      <w:r>
        <w:t xml:space="preserve">Breakdowns of APC outlays by </w:t>
      </w:r>
      <w:r>
        <w:rPr>
          <w:rStyle w:val="Strong"/>
          <w:rFonts w:eastAsiaTheme="majorEastAsia"/>
        </w:rPr>
        <w:t>publisher type</w:t>
      </w:r>
      <w:r>
        <w:t xml:space="preserve"> (for-profit vs. society/nonprofit), </w:t>
      </w:r>
      <w:r>
        <w:rPr>
          <w:rStyle w:val="Strong"/>
          <w:rFonts w:eastAsiaTheme="majorEastAsia"/>
        </w:rPr>
        <w:t>journal model</w:t>
      </w:r>
      <w:r>
        <w:t xml:space="preserve"> (fully OA vs. hybrid), and </w:t>
      </w:r>
      <w:r>
        <w:rPr>
          <w:rStyle w:val="Strong"/>
          <w:rFonts w:eastAsiaTheme="majorEastAsia"/>
        </w:rPr>
        <w:t>journal-level APC</w:t>
      </w:r>
      <w:r>
        <w:t xml:space="preserve"> to reveal concentration of spend</w:t>
      </w:r>
      <w:r>
        <w:t>ing</w:t>
      </w:r>
      <w:r>
        <w:t xml:space="preserve">. Consider leveraging datasets like the recent multi-publisher APC dataset to inform methodology. </w:t>
      </w:r>
      <w:hyperlink r:id="rId14" w:tgtFrame="_blank" w:history="1">
        <w:proofErr w:type="spellStart"/>
        <w:r>
          <w:rPr>
            <w:rStyle w:val="max-w-full"/>
            <w:rFonts w:eastAsiaTheme="majorEastAsia"/>
            <w:color w:val="0000FF"/>
            <w:u w:val="single"/>
          </w:rPr>
          <w:t>arXiv</w:t>
        </w:r>
        <w:proofErr w:type="spellEnd"/>
      </w:hyperlink>
    </w:p>
    <w:p w14:paraId="6C6159BE" w14:textId="77777777" w:rsidR="00A4561A" w:rsidRDefault="00A4561A" w:rsidP="00A4561A">
      <w:pPr>
        <w:pStyle w:val="NormalWeb"/>
        <w:numPr>
          <w:ilvl w:val="0"/>
          <w:numId w:val="2"/>
        </w:numPr>
      </w:pPr>
      <w:r>
        <w:t xml:space="preserve">Indicators of </w:t>
      </w:r>
      <w:r>
        <w:rPr>
          <w:rStyle w:val="Strong"/>
          <w:rFonts w:eastAsiaTheme="majorEastAsia"/>
        </w:rPr>
        <w:t>peer-review rigor and transparency</w:t>
      </w:r>
      <w:r>
        <w:t xml:space="preserve"> (e.g., DOAJ inclusion, COPE adherence, public APC disclosures) tied to APC payments. </w:t>
      </w:r>
      <w:hyperlink r:id="rId15" w:tgtFrame="_blank" w:history="1">
        <w:r>
          <w:rPr>
            <w:rStyle w:val="max-w-full"/>
            <w:rFonts w:eastAsiaTheme="majorEastAsia"/>
            <w:color w:val="0000FF"/>
            <w:u w:val="single"/>
          </w:rPr>
          <w:t>Directory of Open Access Journals</w:t>
        </w:r>
      </w:hyperlink>
      <w:hyperlink r:id="rId16" w:tgtFrame="_blank" w:history="1">
        <w:r>
          <w:rPr>
            <w:rStyle w:val="max-w-full"/>
            <w:rFonts w:eastAsiaTheme="majorEastAsia"/>
            <w:color w:val="0000FF"/>
            <w:u w:val="single"/>
          </w:rPr>
          <w:t>publicationethics.org</w:t>
        </w:r>
      </w:hyperlink>
    </w:p>
    <w:p w14:paraId="6DBCC77B" w14:textId="77777777" w:rsidR="00A4561A" w:rsidRDefault="00A4561A" w:rsidP="00A4561A">
      <w:pPr>
        <w:pStyle w:val="NormalWeb"/>
        <w:numPr>
          <w:ilvl w:val="0"/>
          <w:numId w:val="2"/>
        </w:numPr>
      </w:pPr>
      <w:r>
        <w:t xml:space="preserve">Flags for journals marketing </w:t>
      </w:r>
      <w:r>
        <w:rPr>
          <w:rStyle w:val="Strong"/>
          <w:rFonts w:eastAsiaTheme="majorEastAsia"/>
        </w:rPr>
        <w:t>guaranteed or expedited acceptance</w:t>
      </w:r>
      <w:r>
        <w:t xml:space="preserve"> and those with </w:t>
      </w:r>
      <w:r>
        <w:rPr>
          <w:rStyle w:val="Strong"/>
          <w:rFonts w:eastAsiaTheme="majorEastAsia"/>
        </w:rPr>
        <w:t>APCs far above field norms</w:t>
      </w:r>
      <w:r>
        <w:t xml:space="preserve">, with clear exclusion or extra-scrutiny criteria informed by FTC precedent and community standards. </w:t>
      </w:r>
      <w:hyperlink r:id="rId17" w:tgtFrame="_blank" w:history="1">
        <w:r>
          <w:rPr>
            <w:rStyle w:val="max-w-full"/>
            <w:rFonts w:eastAsiaTheme="majorEastAsia"/>
            <w:color w:val="0000FF"/>
            <w:u w:val="single"/>
          </w:rPr>
          <w:t>Federal Trade Commission</w:t>
        </w:r>
      </w:hyperlink>
    </w:p>
    <w:p w14:paraId="7E3DA474" w14:textId="77777777" w:rsidR="00A4561A" w:rsidRDefault="00A4561A" w:rsidP="00A4561A">
      <w:pPr>
        <w:pStyle w:val="NormalWeb"/>
        <w:numPr>
          <w:ilvl w:val="0"/>
          <w:numId w:val="2"/>
        </w:numPr>
      </w:pPr>
      <w:r>
        <w:t xml:space="preserve">Summary statistics that normalize APC use by </w:t>
      </w:r>
      <w:r>
        <w:rPr>
          <w:rStyle w:val="Strong"/>
          <w:rFonts w:eastAsiaTheme="majorEastAsia"/>
        </w:rPr>
        <w:t>grant size and number of publications</w:t>
      </w:r>
      <w:r>
        <w:t>, so costs can be fairly compared across projects and disciplines (e.g., APC spend per $100k of direct costs; APC spend per publication).</w:t>
      </w:r>
    </w:p>
    <w:p w14:paraId="1DDAF034" w14:textId="77777777" w:rsidR="00A4561A" w:rsidRDefault="00A4561A" w:rsidP="00A4561A">
      <w:pPr>
        <w:pStyle w:val="NormalWeb"/>
      </w:pPr>
      <w:r>
        <w:t>These steps would help NIH balance flexibility for investigators with responsible stewardship of taxpayer funds by steering APC spending toward transparent, reputable venues and away from low-quality “pay-to-publish” outlets.</w:t>
      </w:r>
    </w:p>
    <w:p w14:paraId="0848BA63" w14:textId="77777777" w:rsidR="00534C00" w:rsidRDefault="00534C00"/>
    <w:sectPr w:rsidR="00534C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7506"/>
    <w:multiLevelType w:val="multilevel"/>
    <w:tmpl w:val="9708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E0926"/>
    <w:multiLevelType w:val="multilevel"/>
    <w:tmpl w:val="40F8F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650218">
    <w:abstractNumId w:val="1"/>
  </w:num>
  <w:num w:numId="2" w16cid:durableId="1124270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61A"/>
    <w:rsid w:val="00022AEF"/>
    <w:rsid w:val="00025BDC"/>
    <w:rsid w:val="00026E4C"/>
    <w:rsid w:val="000330ED"/>
    <w:rsid w:val="00064005"/>
    <w:rsid w:val="000F7C9C"/>
    <w:rsid w:val="0010196D"/>
    <w:rsid w:val="00146822"/>
    <w:rsid w:val="0016049A"/>
    <w:rsid w:val="001A6FFB"/>
    <w:rsid w:val="001A7DB1"/>
    <w:rsid w:val="00213EF9"/>
    <w:rsid w:val="00271C79"/>
    <w:rsid w:val="00331E67"/>
    <w:rsid w:val="003B3151"/>
    <w:rsid w:val="003D6007"/>
    <w:rsid w:val="003F05E5"/>
    <w:rsid w:val="003F1BD4"/>
    <w:rsid w:val="004407BE"/>
    <w:rsid w:val="004525F9"/>
    <w:rsid w:val="004628D3"/>
    <w:rsid w:val="00493075"/>
    <w:rsid w:val="004B64DD"/>
    <w:rsid w:val="004C0A81"/>
    <w:rsid w:val="004D7C08"/>
    <w:rsid w:val="00534C00"/>
    <w:rsid w:val="005420EB"/>
    <w:rsid w:val="005D129A"/>
    <w:rsid w:val="005E4F95"/>
    <w:rsid w:val="00605A3C"/>
    <w:rsid w:val="00606E6E"/>
    <w:rsid w:val="006412C3"/>
    <w:rsid w:val="00653E7E"/>
    <w:rsid w:val="006D1223"/>
    <w:rsid w:val="006D3C9D"/>
    <w:rsid w:val="006E28DF"/>
    <w:rsid w:val="007B01D3"/>
    <w:rsid w:val="0080623E"/>
    <w:rsid w:val="008675A8"/>
    <w:rsid w:val="008702E6"/>
    <w:rsid w:val="008B41F9"/>
    <w:rsid w:val="008C35C0"/>
    <w:rsid w:val="008D5DFE"/>
    <w:rsid w:val="0090768C"/>
    <w:rsid w:val="00952789"/>
    <w:rsid w:val="009E7694"/>
    <w:rsid w:val="00A4561A"/>
    <w:rsid w:val="00A46C53"/>
    <w:rsid w:val="00A55EBC"/>
    <w:rsid w:val="00AA175F"/>
    <w:rsid w:val="00AC4732"/>
    <w:rsid w:val="00AF40C8"/>
    <w:rsid w:val="00B804A9"/>
    <w:rsid w:val="00BD5F49"/>
    <w:rsid w:val="00C17330"/>
    <w:rsid w:val="00C31281"/>
    <w:rsid w:val="00C870CA"/>
    <w:rsid w:val="00CA4068"/>
    <w:rsid w:val="00CD22AD"/>
    <w:rsid w:val="00D045B7"/>
    <w:rsid w:val="00D41DE8"/>
    <w:rsid w:val="00D91909"/>
    <w:rsid w:val="00DB7052"/>
    <w:rsid w:val="00DD7DD5"/>
    <w:rsid w:val="00E274F5"/>
    <w:rsid w:val="00E64C33"/>
    <w:rsid w:val="00E822E2"/>
    <w:rsid w:val="00F26179"/>
    <w:rsid w:val="00F43E83"/>
    <w:rsid w:val="00F62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5FE389"/>
  <w15:chartTrackingRefBased/>
  <w15:docId w15:val="{61412E9E-EAB3-1347-8A1F-06D0D5D57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61A"/>
    <w:rPr>
      <w:rFonts w:eastAsiaTheme="majorEastAsia" w:cstheme="majorBidi"/>
      <w:color w:val="272727" w:themeColor="text1" w:themeTint="D8"/>
    </w:rPr>
  </w:style>
  <w:style w:type="paragraph" w:styleId="Title">
    <w:name w:val="Title"/>
    <w:basedOn w:val="Normal"/>
    <w:next w:val="Normal"/>
    <w:link w:val="TitleChar"/>
    <w:uiPriority w:val="10"/>
    <w:qFormat/>
    <w:rsid w:val="00A45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61A"/>
    <w:pPr>
      <w:spacing w:before="160"/>
      <w:jc w:val="center"/>
    </w:pPr>
    <w:rPr>
      <w:i/>
      <w:iCs/>
      <w:color w:val="404040" w:themeColor="text1" w:themeTint="BF"/>
    </w:rPr>
  </w:style>
  <w:style w:type="character" w:customStyle="1" w:styleId="QuoteChar">
    <w:name w:val="Quote Char"/>
    <w:basedOn w:val="DefaultParagraphFont"/>
    <w:link w:val="Quote"/>
    <w:uiPriority w:val="29"/>
    <w:rsid w:val="00A4561A"/>
    <w:rPr>
      <w:i/>
      <w:iCs/>
      <w:color w:val="404040" w:themeColor="text1" w:themeTint="BF"/>
    </w:rPr>
  </w:style>
  <w:style w:type="paragraph" w:styleId="ListParagraph">
    <w:name w:val="List Paragraph"/>
    <w:basedOn w:val="Normal"/>
    <w:uiPriority w:val="34"/>
    <w:qFormat/>
    <w:rsid w:val="00A4561A"/>
    <w:pPr>
      <w:ind w:left="720"/>
      <w:contextualSpacing/>
    </w:pPr>
  </w:style>
  <w:style w:type="character" w:styleId="IntenseEmphasis">
    <w:name w:val="Intense Emphasis"/>
    <w:basedOn w:val="DefaultParagraphFont"/>
    <w:uiPriority w:val="21"/>
    <w:qFormat/>
    <w:rsid w:val="00A4561A"/>
    <w:rPr>
      <w:i/>
      <w:iCs/>
      <w:color w:val="0F4761" w:themeColor="accent1" w:themeShade="BF"/>
    </w:rPr>
  </w:style>
  <w:style w:type="paragraph" w:styleId="IntenseQuote">
    <w:name w:val="Intense Quote"/>
    <w:basedOn w:val="Normal"/>
    <w:next w:val="Normal"/>
    <w:link w:val="IntenseQuoteChar"/>
    <w:uiPriority w:val="30"/>
    <w:qFormat/>
    <w:rsid w:val="00A45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61A"/>
    <w:rPr>
      <w:i/>
      <w:iCs/>
      <w:color w:val="0F4761" w:themeColor="accent1" w:themeShade="BF"/>
    </w:rPr>
  </w:style>
  <w:style w:type="character" w:styleId="IntenseReference">
    <w:name w:val="Intense Reference"/>
    <w:basedOn w:val="DefaultParagraphFont"/>
    <w:uiPriority w:val="32"/>
    <w:qFormat/>
    <w:rsid w:val="00A4561A"/>
    <w:rPr>
      <w:b/>
      <w:bCs/>
      <w:smallCaps/>
      <w:color w:val="0F4761" w:themeColor="accent1" w:themeShade="BF"/>
      <w:spacing w:val="5"/>
    </w:rPr>
  </w:style>
  <w:style w:type="paragraph" w:styleId="NormalWeb">
    <w:name w:val="Normal (Web)"/>
    <w:basedOn w:val="Normal"/>
    <w:uiPriority w:val="99"/>
    <w:semiHidden/>
    <w:unhideWhenUsed/>
    <w:rsid w:val="00A456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561A"/>
    <w:rPr>
      <w:b/>
      <w:bCs/>
    </w:rPr>
  </w:style>
  <w:style w:type="character" w:customStyle="1" w:styleId="ms-1">
    <w:name w:val="ms-1"/>
    <w:basedOn w:val="DefaultParagraphFont"/>
    <w:rsid w:val="00A4561A"/>
  </w:style>
  <w:style w:type="character" w:customStyle="1" w:styleId="max-w-full">
    <w:name w:val="max-w-full"/>
    <w:basedOn w:val="DefaultParagraphFont"/>
    <w:rsid w:val="00A4561A"/>
  </w:style>
  <w:style w:type="character" w:customStyle="1" w:styleId="-me-1">
    <w:name w:val="-me-1"/>
    <w:basedOn w:val="DefaultParagraphFont"/>
    <w:rsid w:val="00A45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nas.org/author-center/publication-charges?utm_source=chatgpt.com" TargetMode="External"/><Relationship Id="rId13" Type="http://schemas.openxmlformats.org/officeDocument/2006/relationships/hyperlink" Target="https://www.chemistryworld.com/news/predatory-publisher-omics-fined-50-million-by-us-court-for-defrauding-scientists/3010348.article?utm_source=chatgpt.com"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www.nature.com/nature/for-authors/publishing-options?utm_source=chatgpt.com" TargetMode="External"/><Relationship Id="rId12" Type="http://schemas.openxmlformats.org/officeDocument/2006/relationships/hyperlink" Target="https://www.ftc.gov/news-events/news/press-releases/2019/04/court-rules-ftcs-favor-against-predatory-academic-publisher-omics-group-imposes-501-million-judgment?utm_source=chatgpt.com" TargetMode="External"/><Relationship Id="rId17" Type="http://schemas.openxmlformats.org/officeDocument/2006/relationships/hyperlink" Target="https://www.ftc.gov/news-events/news/press-releases/2019/04/court-rules-ftcs-favor-against-predatory-academic-publisher-omics-group-imposes-501-million-judgment?utm_source=chatgpt.com" TargetMode="External"/><Relationship Id="rId2" Type="http://schemas.openxmlformats.org/officeDocument/2006/relationships/styles" Target="styles.xml"/><Relationship Id="rId16" Type="http://schemas.openxmlformats.org/officeDocument/2006/relationships/hyperlink" Target="https://publicationethics.org/guidance/guideline/author-fees-and-waivers?utm_source=chatgpt.com"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opusproject.eu/openscience-news/estimating-global-article-processing-charges-paid-to-six-publishers-for-open-access-2019-2023/?utm_source=chatgpt.com" TargetMode="External"/><Relationship Id="rId11" Type="http://schemas.openxmlformats.org/officeDocument/2006/relationships/hyperlink" Target="https://www.coalition-s.org/technical-guidance_and_requirements/?utm_source=chatgpt.com" TargetMode="External"/><Relationship Id="rId5" Type="http://schemas.openxmlformats.org/officeDocument/2006/relationships/hyperlink" Target="https://arxiv.org/pdf/2407.16551?utm_source=chatgpt.com" TargetMode="External"/><Relationship Id="rId15" Type="http://schemas.openxmlformats.org/officeDocument/2006/relationships/hyperlink" Target="https://doaj.org/apply/transparency/?utm_source=chatgpt.com" TargetMode="External"/><Relationship Id="rId10" Type="http://schemas.openxmlformats.org/officeDocument/2006/relationships/hyperlink" Target="https://doaj.org/apply/transparency/?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ublicationethics.org/guidance/guideline/author-fees-and-waivers?utm_source=chatgpt.com" TargetMode="External"/><Relationship Id="rId14" Type="http://schemas.openxmlformats.org/officeDocument/2006/relationships/hyperlink" Target="https://arxiv.org/pdf/2407.16551?utm_source=chatgpt.com"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7154F6ABD74E4BA08EDFAF4932F4B7" ma:contentTypeVersion="16" ma:contentTypeDescription="Create a new document." ma:contentTypeScope="" ma:versionID="d00b101d59263fb23426c99a62dc4998">
  <xsd:schema xmlns:xsd="http://www.w3.org/2001/XMLSchema" xmlns:xs="http://www.w3.org/2001/XMLSchema" xmlns:p="http://schemas.microsoft.com/office/2006/metadata/properties" xmlns:ns2="1f3b3436-56f5-492c-8798-70c27c0e527d" xmlns:ns3="710593ee-f94e-46b8-be5a-7780d229bb23" targetNamespace="http://schemas.microsoft.com/office/2006/metadata/properties" ma:root="true" ma:fieldsID="278ba584ae2cd0fe000165468eb5b515" ns2:_="" ns3:_="">
    <xsd:import namespace="1f3b3436-56f5-492c-8798-70c27c0e527d"/>
    <xsd:import namespace="710593ee-f94e-46b8-be5a-7780d229bb2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Number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b3436-56f5-492c-8798-70c27c0e52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Numbers" ma:index="19" nillable="true" ma:displayName="Numbers" ma:description="Numbers Only" ma:format="Dropdown" ma:internalName="Numbers" ma:percentage="FALSE">
      <xsd:simpleType>
        <xsd:restriction base="dms:Number"/>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0593ee-f94e-46b8-be5a-7780d229bb2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aca311a-cc74-43e1-a2b2-641d14b1a4d9}" ma:internalName="TaxCatchAll" ma:showField="CatchAllData" ma:web="710593ee-f94e-46b8-be5a-7780d229bb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umbers xmlns="1f3b3436-56f5-492c-8798-70c27c0e527d" xsi:nil="true"/>
    <lcf76f155ced4ddcb4097134ff3c332f xmlns="1f3b3436-56f5-492c-8798-70c27c0e527d">
      <Terms xmlns="http://schemas.microsoft.com/office/infopath/2007/PartnerControls"/>
    </lcf76f155ced4ddcb4097134ff3c332f>
    <TaxCatchAll xmlns="710593ee-f94e-46b8-be5a-7780d229bb23" xsi:nil="true"/>
  </documentManagement>
</p:properties>
</file>

<file path=customXml/itemProps1.xml><?xml version="1.0" encoding="utf-8"?>
<ds:datastoreItem xmlns:ds="http://schemas.openxmlformats.org/officeDocument/2006/customXml" ds:itemID="{872D1BBC-F3D5-4ADC-BB80-61A76C31797F}"/>
</file>

<file path=customXml/itemProps2.xml><?xml version="1.0" encoding="utf-8"?>
<ds:datastoreItem xmlns:ds="http://schemas.openxmlformats.org/officeDocument/2006/customXml" ds:itemID="{4F738A19-5488-44CB-93F4-EF792145B73F}"/>
</file>

<file path=customXml/itemProps3.xml><?xml version="1.0" encoding="utf-8"?>
<ds:datastoreItem xmlns:ds="http://schemas.openxmlformats.org/officeDocument/2006/customXml" ds:itemID="{36050D2D-866C-4928-96D5-059A500548E6}"/>
</file>

<file path=docProps/app.xml><?xml version="1.0" encoding="utf-8"?>
<Properties xmlns="http://schemas.openxmlformats.org/officeDocument/2006/extended-properties" xmlns:vt="http://schemas.openxmlformats.org/officeDocument/2006/docPropsVTypes">
  <Template>Normal.dotm</Template>
  <TotalTime>6</TotalTime>
  <Pages>2</Pages>
  <Words>718</Words>
  <Characters>4099</Characters>
  <Application>Microsoft Office Word</Application>
  <DocSecurity>0</DocSecurity>
  <Lines>34</Lines>
  <Paragraphs>9</Paragraphs>
  <ScaleCrop>false</ScaleCrop>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 Moriah</dc:creator>
  <cp:keywords/>
  <dc:description/>
  <cp:lastModifiedBy>Beck, Moriah</cp:lastModifiedBy>
  <cp:revision>1</cp:revision>
  <dcterms:created xsi:type="dcterms:W3CDTF">2025-08-14T17:02:00Z</dcterms:created>
  <dcterms:modified xsi:type="dcterms:W3CDTF">2025-08-14T17:10:00Z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0x010100C87154F6ABD74E4BA08EDFAF4932F4B7</vt:lpwstr>
  </property>
</Properties>
</file>