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D9E43" w14:textId="3F7346B1" w:rsidR="00E326CF" w:rsidRPr="00E326CF" w:rsidRDefault="00E326CF" w:rsidP="00E326CF">
      <w:r w:rsidRPr="00E326CF">
        <w:t xml:space="preserve">I write as a professor of vaccinology and infectious diseases with an active NIH portfolio, </w:t>
      </w:r>
      <w:r>
        <w:t xml:space="preserve">as </w:t>
      </w:r>
      <w:r w:rsidRPr="00E326CF">
        <w:t>Chair of the Publications Committee for the Infectious Diseases Clinical Research Consortium</w:t>
      </w:r>
      <w:r>
        <w:t xml:space="preserve"> (on behalf of the Committee)</w:t>
      </w:r>
      <w:r w:rsidRPr="00E326CF">
        <w:t>, and an associate editor overseeing vaccine manuscripts. Thank you for prioritizing stewardship of research funds. My comments focus on vaccines/ID clinical trials, including multisite/platform designs.</w:t>
      </w:r>
    </w:p>
    <w:p w14:paraId="690D5950" w14:textId="42B1E552" w:rsidR="00E326CF" w:rsidRPr="00E326CF" w:rsidRDefault="00E326CF" w:rsidP="00E326CF">
      <w:r w:rsidRPr="00E326CF">
        <w:rPr>
          <w:b/>
          <w:bCs/>
        </w:rPr>
        <w:t>Summary position</w:t>
      </w:r>
      <w:r w:rsidRPr="00E326CF">
        <w:br/>
        <w:t xml:space="preserve">Support </w:t>
      </w:r>
      <w:r w:rsidRPr="00E326CF">
        <w:rPr>
          <w:b/>
          <w:bCs/>
        </w:rPr>
        <w:t>Option 5</w:t>
      </w:r>
      <w:r w:rsidRPr="00E326CF">
        <w:t xml:space="preserve"> </w:t>
      </w:r>
      <w:r>
        <w:t xml:space="preserve">that </w:t>
      </w:r>
      <w:r w:rsidRPr="00E326CF">
        <w:t>balances flexibility with fiscal guardrails</w:t>
      </w:r>
      <w:r>
        <w:t xml:space="preserve">, </w:t>
      </w:r>
      <w:r w:rsidRPr="00E326CF">
        <w:t xml:space="preserve">with a narrow, auditable exemption path for atypically high-output awards (e.g., platform trials). Pair a </w:t>
      </w:r>
      <w:r w:rsidRPr="00E326CF">
        <w:rPr>
          <w:b/>
          <w:bCs/>
        </w:rPr>
        <w:t>per-publication cap of $6,000</w:t>
      </w:r>
      <w:r w:rsidRPr="00E326CF">
        <w:t xml:space="preserve"> with a </w:t>
      </w:r>
      <w:r w:rsidRPr="00E326CF">
        <w:rPr>
          <w:b/>
          <w:bCs/>
        </w:rPr>
        <w:t>per-award cap equal to the greater of 0.8% of direct costs or $20,000</w:t>
      </w:r>
      <w:r w:rsidRPr="00E326CF">
        <w:t xml:space="preserve"> across the award.</w:t>
      </w:r>
    </w:p>
    <w:p w14:paraId="40283E56" w14:textId="77777777" w:rsidR="00E326CF" w:rsidRPr="00E326CF" w:rsidRDefault="00E326CF" w:rsidP="00E326CF">
      <w:r w:rsidRPr="00E326CF">
        <w:rPr>
          <w:b/>
          <w:bCs/>
        </w:rPr>
        <w:t>Targeted refinements (concise):</w:t>
      </w:r>
    </w:p>
    <w:p w14:paraId="62EC2EC6" w14:textId="3DB74172" w:rsidR="00E326CF" w:rsidRPr="00E326CF" w:rsidRDefault="00E326CF" w:rsidP="00E326CF">
      <w:pPr>
        <w:numPr>
          <w:ilvl w:val="0"/>
          <w:numId w:val="10"/>
        </w:numPr>
      </w:pPr>
      <w:r w:rsidRPr="00E326CF">
        <w:rPr>
          <w:b/>
          <w:bCs/>
        </w:rPr>
        <w:t>Make the “no-APC-required” route unmistakable</w:t>
      </w:r>
      <w:r w:rsidRPr="00E326CF">
        <w:t xml:space="preserve">. The updated Public Access Policy lets authors comply by depositing the Author Accepted Manuscript (AAM) in PMC upon acceptance, with no embargo at the official publication date. Compliance is free; fees to submit to PMC and any </w:t>
      </w:r>
      <w:proofErr w:type="gramStart"/>
      <w:r w:rsidRPr="00E326CF">
        <w:t>double-charging</w:t>
      </w:r>
      <w:proofErr w:type="gramEnd"/>
      <w:r w:rsidRPr="00E326CF">
        <w:t xml:space="preserve"> where institutional agreements already cover costs are unallowable. Say this up front in the final policy and link a one-page AAM checklist. </w:t>
      </w:r>
    </w:p>
    <w:p w14:paraId="19CB515A" w14:textId="3A569745" w:rsidR="00E326CF" w:rsidRPr="00E326CF" w:rsidRDefault="00E326CF" w:rsidP="00E326CF">
      <w:pPr>
        <w:numPr>
          <w:ilvl w:val="0"/>
          <w:numId w:val="10"/>
        </w:numPr>
      </w:pPr>
      <w:r w:rsidRPr="00E326CF">
        <w:rPr>
          <w:b/>
          <w:bCs/>
        </w:rPr>
        <w:t>Codify Option 5 parameters and exemptions.</w:t>
      </w:r>
      <w:r w:rsidRPr="00E326CF">
        <w:t xml:space="preserve"> Keep the $6,000 per-paper and 0.8%/$20,000 floor per-award limits; allow case-by-case exemptions with program-officer approval for well-justified, high-volume contexts (brief justification, expected outputs, journal mix, and institutional offsets). </w:t>
      </w:r>
    </w:p>
    <w:p w14:paraId="27FCA0FF" w14:textId="7A8DF00C" w:rsidR="00E326CF" w:rsidRPr="00E326CF" w:rsidRDefault="00E326CF" w:rsidP="00E326CF">
      <w:pPr>
        <w:numPr>
          <w:ilvl w:val="0"/>
          <w:numId w:val="10"/>
        </w:numPr>
      </w:pPr>
      <w:r w:rsidRPr="00E326CF">
        <w:rPr>
          <w:b/>
          <w:bCs/>
        </w:rPr>
        <w:t>If retaining an uplift (Option 3), define quality criteria.</w:t>
      </w:r>
      <w:r w:rsidRPr="00E326CF">
        <w:t xml:space="preserve"> Apply the higher per-paper limit only when journals (a) compensate reviewers at or above a transparent minimum and (b) publish reviews/decision letters with DOIs; include enforceable trial-registration and data/code-availability checks and documented integrity screens.</w:t>
      </w:r>
    </w:p>
    <w:p w14:paraId="21B90C10" w14:textId="634585D4" w:rsidR="00E326CF" w:rsidRPr="00E326CF" w:rsidRDefault="00E326CF" w:rsidP="00E326CF">
      <w:pPr>
        <w:numPr>
          <w:ilvl w:val="0"/>
          <w:numId w:val="10"/>
        </w:numPr>
      </w:pPr>
      <w:r w:rsidRPr="00E326CF">
        <w:rPr>
          <w:b/>
          <w:bCs/>
        </w:rPr>
        <w:t>Clarify “publication costs” vs. unallowable charges.</w:t>
      </w:r>
      <w:r w:rsidRPr="00E326CF">
        <w:t xml:space="preserve"> List inclusions (APCs; page/color/over-length; mandatory submission fees) and explicit exclusions (fees solely to submit AAMs to PMC; charges already covered by institutional deals; costs incurred after closeout). Note that costs may be charged during the 120-day liquidation window if incurred before closeout. </w:t>
      </w:r>
    </w:p>
    <w:p w14:paraId="531088D8" w14:textId="7D2BFE3D" w:rsidR="00E326CF" w:rsidRPr="00E326CF" w:rsidRDefault="00E326CF" w:rsidP="00E326CF">
      <w:pPr>
        <w:numPr>
          <w:ilvl w:val="0"/>
          <w:numId w:val="10"/>
        </w:numPr>
      </w:pPr>
      <w:r w:rsidRPr="00E326CF">
        <w:rPr>
          <w:b/>
          <w:bCs/>
        </w:rPr>
        <w:t xml:space="preserve">Prevent double-billing with </w:t>
      </w:r>
      <w:proofErr w:type="spellStart"/>
      <w:r w:rsidRPr="00E326CF">
        <w:rPr>
          <w:b/>
          <w:bCs/>
        </w:rPr>
        <w:t>read</w:t>
      </w:r>
      <w:proofErr w:type="spellEnd"/>
      <w:r w:rsidRPr="00E326CF">
        <w:rPr>
          <w:b/>
          <w:bCs/>
        </w:rPr>
        <w:t>-and-publish agreements.</w:t>
      </w:r>
      <w:r w:rsidRPr="00E326CF">
        <w:t xml:space="preserve"> Require net-invoicing (itemized offsets applied before billing NIH) and encourage institutions to surface covered titles at submission. </w:t>
      </w:r>
    </w:p>
    <w:p w14:paraId="5088A678" w14:textId="77777777" w:rsidR="00D77631" w:rsidRDefault="00E326CF" w:rsidP="00D77631">
      <w:pPr>
        <w:numPr>
          <w:ilvl w:val="0"/>
          <w:numId w:val="10"/>
        </w:numPr>
      </w:pPr>
      <w:r w:rsidRPr="00E326CF">
        <w:rPr>
          <w:b/>
          <w:bCs/>
        </w:rPr>
        <w:t>Give clear rules for multi-funded, multi-site papers.</w:t>
      </w:r>
      <w:r w:rsidRPr="00E326CF">
        <w:t xml:space="preserve"> Require proportional allocation to benefiting NIH awards, bar multiple NIH awards from paying the same invoice, and apply the same caps to subawards.</w:t>
      </w:r>
    </w:p>
    <w:p w14:paraId="71DFB4B5" w14:textId="5DB70005" w:rsidR="00D77631" w:rsidRPr="00FC63D8" w:rsidRDefault="00E326CF" w:rsidP="00D77631">
      <w:pPr>
        <w:numPr>
          <w:ilvl w:val="0"/>
          <w:numId w:val="10"/>
        </w:numPr>
      </w:pPr>
      <w:r w:rsidRPr="00E326CF">
        <w:rPr>
          <w:b/>
          <w:bCs/>
        </w:rPr>
        <w:t>Apply uniformly across mechanisms</w:t>
      </w:r>
      <w:r w:rsidRPr="00E326CF">
        <w:t xml:space="preserve">. State explicitly that caps cover grants/cooperative agreements (including Ks, Fs, Ts, Rs, Us), contracts, and Other Transactions, consistent with the Public Access Policy’s scope. </w:t>
      </w:r>
      <w:r w:rsidR="00D77631">
        <w:t xml:space="preserve"> P</w:t>
      </w:r>
      <w:r w:rsidR="00D77631" w:rsidRPr="00FC63D8">
        <w:t>rovide trainee</w:t>
      </w:r>
      <w:r w:rsidR="00D77631">
        <w:t xml:space="preserve"> </w:t>
      </w:r>
      <w:r w:rsidR="00D77631" w:rsidRPr="00FC63D8">
        <w:t>friendly examples (e.g., dissertation papers, protocol papers) to encourage AAM</w:t>
      </w:r>
      <w:r w:rsidR="00D77631">
        <w:t xml:space="preserve"> </w:t>
      </w:r>
      <w:r w:rsidR="00D77631" w:rsidRPr="00FC63D8">
        <w:t>first compliance without APCs.</w:t>
      </w:r>
    </w:p>
    <w:p w14:paraId="57EAC5A2" w14:textId="4F8005C5" w:rsidR="00EF34B8" w:rsidRPr="00E326CF" w:rsidRDefault="00E326CF" w:rsidP="00D21176">
      <w:pPr>
        <w:numPr>
          <w:ilvl w:val="0"/>
          <w:numId w:val="10"/>
        </w:numPr>
      </w:pPr>
      <w:r w:rsidRPr="00E326CF">
        <w:rPr>
          <w:b/>
          <w:bCs/>
        </w:rPr>
        <w:lastRenderedPageBreak/>
        <w:t>Track and learn.</w:t>
      </w:r>
      <w:r w:rsidRPr="00E326CF">
        <w:t xml:space="preserve"> Collect simple, award-level publication-cost totals at closeout and publish de-identified aggregates by IC/mechanism to guide future adjustments.</w:t>
      </w:r>
    </w:p>
    <w:sectPr w:rsidR="00EF34B8" w:rsidRPr="00E32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1B6B"/>
    <w:multiLevelType w:val="multilevel"/>
    <w:tmpl w:val="08B4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15144"/>
    <w:multiLevelType w:val="multilevel"/>
    <w:tmpl w:val="EADCA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E5153"/>
    <w:multiLevelType w:val="multilevel"/>
    <w:tmpl w:val="3256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C06E9"/>
    <w:multiLevelType w:val="multilevel"/>
    <w:tmpl w:val="8C169D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F7879"/>
    <w:multiLevelType w:val="multilevel"/>
    <w:tmpl w:val="04465E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A0275"/>
    <w:multiLevelType w:val="multilevel"/>
    <w:tmpl w:val="F9A2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0EFA"/>
    <w:multiLevelType w:val="multilevel"/>
    <w:tmpl w:val="9B64B3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D553A"/>
    <w:multiLevelType w:val="multilevel"/>
    <w:tmpl w:val="D766EF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861F5"/>
    <w:multiLevelType w:val="multilevel"/>
    <w:tmpl w:val="8DA69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94EFE"/>
    <w:multiLevelType w:val="multilevel"/>
    <w:tmpl w:val="77847B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18669D"/>
    <w:multiLevelType w:val="multilevel"/>
    <w:tmpl w:val="D29E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062913">
    <w:abstractNumId w:val="2"/>
  </w:num>
  <w:num w:numId="2" w16cid:durableId="889193418">
    <w:abstractNumId w:val="7"/>
  </w:num>
  <w:num w:numId="3" w16cid:durableId="2102947825">
    <w:abstractNumId w:val="8"/>
  </w:num>
  <w:num w:numId="4" w16cid:durableId="1357191618">
    <w:abstractNumId w:val="1"/>
  </w:num>
  <w:num w:numId="5" w16cid:durableId="268969518">
    <w:abstractNumId w:val="9"/>
  </w:num>
  <w:num w:numId="6" w16cid:durableId="52579482">
    <w:abstractNumId w:val="4"/>
  </w:num>
  <w:num w:numId="7" w16cid:durableId="1716542875">
    <w:abstractNumId w:val="6"/>
  </w:num>
  <w:num w:numId="8" w16cid:durableId="1174608879">
    <w:abstractNumId w:val="5"/>
  </w:num>
  <w:num w:numId="9" w16cid:durableId="1007682491">
    <w:abstractNumId w:val="3"/>
  </w:num>
  <w:num w:numId="10" w16cid:durableId="666058702">
    <w:abstractNumId w:val="0"/>
  </w:num>
  <w:num w:numId="11" w16cid:durableId="5080608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CF"/>
    <w:rsid w:val="000B208D"/>
    <w:rsid w:val="0030778D"/>
    <w:rsid w:val="00BF2F5D"/>
    <w:rsid w:val="00CC2936"/>
    <w:rsid w:val="00D77631"/>
    <w:rsid w:val="00D94D03"/>
    <w:rsid w:val="00E326CF"/>
    <w:rsid w:val="00EF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BDCB"/>
  <w15:chartTrackingRefBased/>
  <w15:docId w15:val="{61C35C34-578B-4D54-98E9-A1B804F7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6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7154F6ABD74E4BA08EDFAF4932F4B7" ma:contentTypeVersion="16" ma:contentTypeDescription="Create a new document." ma:contentTypeScope="" ma:versionID="d00b101d59263fb23426c99a62dc4998">
  <xsd:schema xmlns:xsd="http://www.w3.org/2001/XMLSchema" xmlns:xs="http://www.w3.org/2001/XMLSchema" xmlns:p="http://schemas.microsoft.com/office/2006/metadata/properties" xmlns:ns2="1f3b3436-56f5-492c-8798-70c27c0e527d" xmlns:ns3="710593ee-f94e-46b8-be5a-7780d229bb23" targetNamespace="http://schemas.microsoft.com/office/2006/metadata/properties" ma:root="true" ma:fieldsID="278ba584ae2cd0fe000165468eb5b515" ns2:_="" ns3:_="">
    <xsd:import namespace="1f3b3436-56f5-492c-8798-70c27c0e527d"/>
    <xsd:import namespace="710593ee-f94e-46b8-be5a-7780d229bb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umber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b3436-56f5-492c-8798-70c27c0e5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umbers" ma:index="19" nillable="true" ma:displayName="Numbers" ma:description="Numbers Only" ma:format="Dropdown" ma:internalName="Numbers" ma:percentage="FALSE">
      <xsd:simpleType>
        <xsd:restriction base="dms:Number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593ee-f94e-46b8-be5a-7780d229bb2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aca311a-cc74-43e1-a2b2-641d14b1a4d9}" ma:internalName="TaxCatchAll" ma:showField="CatchAllData" ma:web="710593ee-f94e-46b8-be5a-7780d229bb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bers xmlns="1f3b3436-56f5-492c-8798-70c27c0e527d" xsi:nil="true"/>
    <lcf76f155ced4ddcb4097134ff3c332f xmlns="1f3b3436-56f5-492c-8798-70c27c0e527d">
      <Terms xmlns="http://schemas.microsoft.com/office/infopath/2007/PartnerControls"/>
    </lcf76f155ced4ddcb4097134ff3c332f>
    <TaxCatchAll xmlns="710593ee-f94e-46b8-be5a-7780d229bb23" xsi:nil="true"/>
  </documentManagement>
</p:properties>
</file>

<file path=customXml/itemProps1.xml><?xml version="1.0" encoding="utf-8"?>
<ds:datastoreItem xmlns:ds="http://schemas.openxmlformats.org/officeDocument/2006/customXml" ds:itemID="{1166252E-1A44-4C8D-A47B-C1730F244762}"/>
</file>

<file path=customXml/itemProps2.xml><?xml version="1.0" encoding="utf-8"?>
<ds:datastoreItem xmlns:ds="http://schemas.openxmlformats.org/officeDocument/2006/customXml" ds:itemID="{5FA886E3-CF1D-47FB-969F-0F87750D058B}"/>
</file>

<file path=customXml/itemProps3.xml><?xml version="1.0" encoding="utf-8"?>
<ds:datastoreItem xmlns:ds="http://schemas.openxmlformats.org/officeDocument/2006/customXml" ds:itemID="{3BDCE607-6271-4D9A-92A6-733311BA93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Rouphael, Nadine</dc:creator>
  <cp:keywords/>
  <dc:description/>
  <cp:lastModifiedBy>Rouphael, Nadine</cp:lastModifiedBy>
  <cp:revision>1</cp:revision>
  <dcterms:created xsi:type="dcterms:W3CDTF">2025-09-12T01:00:00Z</dcterms:created>
  <dcterms:modified xsi:type="dcterms:W3CDTF">2025-09-12T01:18:00Z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0x010100C87154F6ABD74E4BA08EDFAF4932F4B7</vt:lpwstr>
  </property>
</Properties>
</file>