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D8BDD" w14:textId="77777777" w:rsidR="00000000" w:rsidRDefault="00D015D4">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Derivatives &amp; Alternative Investment</w:t>
      </w:r>
    </w:p>
    <w:p w14:paraId="143B60A6" w14:textId="77777777" w:rsidR="00000000" w:rsidRDefault="00D015D4">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Friday, May 17, 2019</w:t>
      </w:r>
    </w:p>
    <w:p w14:paraId="44F77F18" w14:textId="77777777" w:rsidR="00000000" w:rsidRDefault="00D015D4">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12:23 AM</w:t>
      </w:r>
    </w:p>
    <w:p w14:paraId="65D39DCC" w14:textId="77777777" w:rsidR="00000000" w:rsidRDefault="00D015D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2599266" w14:textId="77777777" w:rsidR="00000000" w:rsidRDefault="00D015D4">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 xml:space="preserve">Reading 56 Derivative Markets and Instruments </w:t>
      </w:r>
    </w:p>
    <w:p w14:paraId="41520D20" w14:textId="77777777" w:rsidR="00000000" w:rsidRDefault="00D015D4">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 </w:t>
      </w:r>
    </w:p>
    <w:p w14:paraId="03CE55B4" w14:textId="77777777" w:rsidR="00000000" w:rsidRDefault="00D015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Credit derivatives: </w:t>
      </w:r>
    </w:p>
    <w:p w14:paraId="1DBA930A" w14:textId="77777777" w:rsidR="00000000" w:rsidRDefault="00D015D4">
      <w:pPr>
        <w:pStyle w:val="NormalWeb"/>
        <w:shd w:val="clear" w:color="auto" w:fill="00FF00"/>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A credit derivative is a class of derivative </w:t>
      </w:r>
      <w:r>
        <w:rPr>
          <w:rFonts w:ascii="Calibri" w:hAnsi="Calibri" w:cs="Calibri"/>
          <w:color w:val="000000"/>
          <w:sz w:val="22"/>
          <w:szCs w:val="22"/>
        </w:rPr>
        <w:t xml:space="preserve">contracts between two parties, a credit protection buyer and a credit protection seller, in which the latter provides protection to the former against a specific credit loss. </w:t>
      </w:r>
    </w:p>
    <w:p w14:paraId="19A7A666" w14:textId="77777777" w:rsidR="00000000" w:rsidRDefault="00D015D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FA760A2" w14:textId="77777777" w:rsidR="00000000" w:rsidRDefault="00D015D4">
      <w:pPr>
        <w:pStyle w:val="NormalWeb"/>
        <w:spacing w:before="0" w:beforeAutospacing="0" w:after="0" w:afterAutospacing="0"/>
        <w:rPr>
          <w:rFonts w:ascii="Calibri" w:hAnsi="Calibri" w:cs="Calibri"/>
          <w:sz w:val="22"/>
          <w:szCs w:val="22"/>
        </w:rPr>
      </w:pPr>
      <w:r>
        <w:rPr>
          <w:rFonts w:ascii="Calibri" w:hAnsi="Calibri" w:cs="Calibri"/>
          <w:sz w:val="22"/>
          <w:szCs w:val="22"/>
        </w:rPr>
        <w:t>Total return swap: buyer - pay all returns on int+principal + any changes in b</w:t>
      </w:r>
      <w:r>
        <w:rPr>
          <w:rFonts w:ascii="Calibri" w:hAnsi="Calibri" w:cs="Calibri"/>
          <w:sz w:val="22"/>
          <w:szCs w:val="22"/>
        </w:rPr>
        <w:t xml:space="preserve">ond's market value </w:t>
      </w:r>
    </w:p>
    <w:p w14:paraId="63330EED" w14:textId="77777777" w:rsidR="00000000" w:rsidRDefault="00D015D4">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Seller - pay either a fixed or floating int rate </w:t>
      </w:r>
    </w:p>
    <w:p w14:paraId="38D07F67" w14:textId="77777777" w:rsidR="00000000" w:rsidRDefault="00D015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Credit spread option on diff between bond's yield and yield on a benchmark default-free bond </w:t>
      </w:r>
    </w:p>
    <w:p w14:paraId="31B45C13" w14:textId="77777777" w:rsidR="00000000" w:rsidRDefault="00D015D4">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Buyer - pay option premium on the desired strike spread </w:t>
      </w:r>
    </w:p>
    <w:p w14:paraId="6F3D0D95" w14:textId="77777777" w:rsidR="00000000" w:rsidRDefault="00D015D4">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Seller - pay established payoff </w:t>
      </w:r>
    </w:p>
    <w:p w14:paraId="143EEE50" w14:textId="77777777" w:rsidR="00000000" w:rsidRDefault="00D015D4">
      <w:pPr>
        <w:pStyle w:val="NormalWeb"/>
        <w:spacing w:before="0" w:beforeAutospacing="0" w:after="0" w:afterAutospacing="0"/>
        <w:rPr>
          <w:rFonts w:ascii="Calibri" w:hAnsi="Calibri" w:cs="Calibri"/>
          <w:sz w:val="22"/>
          <w:szCs w:val="22"/>
        </w:rPr>
      </w:pPr>
      <w:r>
        <w:rPr>
          <w:rFonts w:ascii="Calibri" w:hAnsi="Calibri" w:cs="Calibri"/>
          <w:sz w:val="22"/>
          <w:szCs w:val="22"/>
        </w:rPr>
        <w:t>Cr</w:t>
      </w:r>
      <w:r>
        <w:rPr>
          <w:rFonts w:ascii="Calibri" w:hAnsi="Calibri" w:cs="Calibri"/>
          <w:sz w:val="22"/>
          <w:szCs w:val="22"/>
        </w:rPr>
        <w:t xml:space="preserve">edit-linked note: linked with a default risk bond, and if the bond/loan defaults, the principal payoff is reduced accordingly </w:t>
      </w:r>
    </w:p>
    <w:p w14:paraId="4D493D2B" w14:textId="77777777" w:rsidR="00000000" w:rsidRDefault="00D015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Credit default swap (CDS) </w:t>
      </w:r>
    </w:p>
    <w:p w14:paraId="0DBC66C0" w14:textId="77777777" w:rsidR="00000000" w:rsidRDefault="00D015D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FBE9C35" w14:textId="77777777" w:rsidR="00000000" w:rsidRDefault="00D015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Asset-backed securities: payments divided into slices, called tranches. </w:t>
      </w:r>
    </w:p>
    <w:p w14:paraId="1E7B6989" w14:textId="77777777" w:rsidR="00000000" w:rsidRDefault="00D015D4">
      <w:pPr>
        <w:pStyle w:val="NormalWeb"/>
        <w:shd w:val="clear" w:color="auto" w:fill="00FF00"/>
        <w:spacing w:before="0" w:beforeAutospacing="0" w:after="0" w:afterAutospacing="0"/>
        <w:rPr>
          <w:rFonts w:ascii="Calibri" w:hAnsi="Calibri" w:cs="Calibri"/>
          <w:color w:val="000000"/>
          <w:sz w:val="22"/>
          <w:szCs w:val="22"/>
        </w:rPr>
      </w:pPr>
      <w:r>
        <w:rPr>
          <w:rFonts w:ascii="Calibri" w:hAnsi="Calibri" w:cs="Calibri"/>
          <w:color w:val="000000"/>
          <w:sz w:val="22"/>
          <w:szCs w:val="22"/>
        </w:rPr>
        <w:t>An asset-backed security is</w:t>
      </w:r>
      <w:r>
        <w:rPr>
          <w:rFonts w:ascii="Calibri" w:hAnsi="Calibri" w:cs="Calibri"/>
          <w:color w:val="000000"/>
          <w:sz w:val="22"/>
          <w:szCs w:val="22"/>
        </w:rPr>
        <w:t xml:space="preserve"> a derivative contract in which a portfolio of debt instruments Is assembled and claims are issued on the portfolio in the form of tranches, which have different priorities of claims on the payments made by the debt securities such that prepayments or cred</w:t>
      </w:r>
      <w:r>
        <w:rPr>
          <w:rFonts w:ascii="Calibri" w:hAnsi="Calibri" w:cs="Calibri"/>
          <w:color w:val="000000"/>
          <w:sz w:val="22"/>
          <w:szCs w:val="22"/>
        </w:rPr>
        <w:t xml:space="preserve">it losses are allocated to the most-junior tranches first and most-senior tranches last. </w:t>
      </w:r>
    </w:p>
    <w:p w14:paraId="7F8C5CCC" w14:textId="77777777" w:rsidR="00000000" w:rsidRDefault="00D015D4">
      <w:pPr>
        <w:pStyle w:val="NormalWeb"/>
        <w:spacing w:before="0" w:beforeAutospacing="0" w:after="0" w:afterAutospacing="0"/>
        <w:rPr>
          <w:rFonts w:ascii="Calibri" w:hAnsi="Calibri" w:cs="Calibri"/>
          <w:sz w:val="22"/>
          <w:szCs w:val="22"/>
        </w:rPr>
      </w:pPr>
      <w:r>
        <w:rPr>
          <w:rFonts w:ascii="Calibri" w:hAnsi="Calibri" w:cs="Calibri"/>
          <w:sz w:val="22"/>
          <w:szCs w:val="22"/>
        </w:rPr>
        <w:t>Mutual funds</w:t>
      </w:r>
    </w:p>
    <w:p w14:paraId="46D0E882" w14:textId="77777777" w:rsidR="00000000" w:rsidRDefault="00D015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Exchange-traded funds(ETFs) </w:t>
      </w:r>
    </w:p>
    <w:p w14:paraId="57749A5E" w14:textId="77777777" w:rsidR="00000000" w:rsidRDefault="00D015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Collateralized mortgage/bond/loan/debt obligation(CMO) </w:t>
      </w:r>
    </w:p>
    <w:p w14:paraId="2F52EB81" w14:textId="77777777" w:rsidR="00000000" w:rsidRDefault="00D015D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B218829" w14:textId="77777777" w:rsidR="00000000" w:rsidRDefault="00D015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Hybrids </w:t>
      </w:r>
    </w:p>
    <w:p w14:paraId="70714DA1" w14:textId="77777777" w:rsidR="00000000" w:rsidRDefault="00D015D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5BC174B" w14:textId="77777777" w:rsidR="00000000" w:rsidRDefault="00D015D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BD6712F" w14:textId="77777777" w:rsidR="00000000" w:rsidRDefault="00D015D4">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967"/>
        <w:gridCol w:w="6247"/>
      </w:tblGrid>
      <w:tr w:rsidR="00000000" w14:paraId="130CE39A" w14:textId="77777777">
        <w:trPr>
          <w:divId w:val="934245379"/>
        </w:trPr>
        <w:tc>
          <w:tcPr>
            <w:tcW w:w="1967" w:type="dxa"/>
            <w:tcBorders>
              <w:top w:val="nil"/>
              <w:left w:val="nil"/>
              <w:bottom w:val="nil"/>
              <w:right w:val="nil"/>
            </w:tcBorders>
            <w:tcMar>
              <w:top w:w="80" w:type="dxa"/>
              <w:left w:w="80" w:type="dxa"/>
              <w:bottom w:w="80" w:type="dxa"/>
              <w:right w:w="80" w:type="dxa"/>
            </w:tcMar>
            <w:hideMark/>
          </w:tcPr>
          <w:p w14:paraId="4CC10937" w14:textId="77777777" w:rsidR="00000000" w:rsidRDefault="00D015D4">
            <w:pPr>
              <w:pStyle w:val="NormalWeb"/>
              <w:spacing w:before="0" w:beforeAutospacing="0" w:after="0" w:afterAutospacing="0"/>
              <w:rPr>
                <w:rFonts w:ascii="Calibri" w:hAnsi="Calibri" w:cs="Calibri"/>
                <w:color w:val="000000"/>
                <w:sz w:val="36"/>
                <w:szCs w:val="36"/>
              </w:rPr>
            </w:pPr>
            <w:r>
              <w:rPr>
                <w:rFonts w:ascii="Calibri" w:hAnsi="Calibri" w:cs="Calibri"/>
                <w:color w:val="000000"/>
                <w:sz w:val="36"/>
                <w:szCs w:val="36"/>
              </w:rPr>
              <w:t>Reading 57</w:t>
            </w:r>
          </w:p>
        </w:tc>
        <w:tc>
          <w:tcPr>
            <w:tcW w:w="6247" w:type="dxa"/>
            <w:tcBorders>
              <w:top w:val="nil"/>
              <w:left w:val="nil"/>
              <w:bottom w:val="nil"/>
              <w:right w:val="nil"/>
            </w:tcBorders>
            <w:tcMar>
              <w:top w:w="80" w:type="dxa"/>
              <w:left w:w="80" w:type="dxa"/>
              <w:bottom w:w="80" w:type="dxa"/>
              <w:right w:w="80" w:type="dxa"/>
            </w:tcMar>
            <w:hideMark/>
          </w:tcPr>
          <w:p w14:paraId="248B6776" w14:textId="77777777" w:rsidR="00000000" w:rsidRDefault="00D015D4">
            <w:pPr>
              <w:pStyle w:val="NormalWeb"/>
              <w:spacing w:before="0" w:beforeAutospacing="0" w:after="0" w:afterAutospacing="0"/>
              <w:rPr>
                <w:rFonts w:ascii="Calibri" w:hAnsi="Calibri" w:cs="Calibri"/>
                <w:color w:val="000000"/>
                <w:sz w:val="36"/>
                <w:szCs w:val="36"/>
              </w:rPr>
            </w:pPr>
            <w:r>
              <w:rPr>
                <w:rFonts w:ascii="Calibri" w:hAnsi="Calibri" w:cs="Calibri"/>
                <w:color w:val="000000"/>
                <w:sz w:val="36"/>
                <w:szCs w:val="36"/>
              </w:rPr>
              <w:t xml:space="preserve">Basics </w:t>
            </w:r>
            <w:r>
              <w:rPr>
                <w:rFonts w:ascii="Calibri" w:hAnsi="Calibri" w:cs="Calibri"/>
                <w:color w:val="000000"/>
                <w:sz w:val="36"/>
                <w:szCs w:val="36"/>
              </w:rPr>
              <w:t>of Derivative Pricing and Valuation</w:t>
            </w:r>
          </w:p>
        </w:tc>
      </w:tr>
    </w:tbl>
    <w:p w14:paraId="7084343A" w14:textId="77777777" w:rsidR="00000000" w:rsidRDefault="00D015D4">
      <w:pPr>
        <w:pStyle w:val="NormalWeb"/>
        <w:spacing w:before="0" w:beforeAutospacing="0" w:after="0" w:afterAutospacing="0"/>
        <w:rPr>
          <w:rFonts w:ascii="Calibri" w:hAnsi="Calibri" w:cs="Calibri"/>
          <w:color w:val="000000"/>
          <w:sz w:val="40"/>
          <w:szCs w:val="40"/>
        </w:rPr>
      </w:pPr>
      <w:r>
        <w:rPr>
          <w:rFonts w:ascii="Calibri" w:hAnsi="Calibri" w:cs="Calibri"/>
          <w:color w:val="000000"/>
          <w:sz w:val="40"/>
          <w:szCs w:val="40"/>
        </w:rPr>
        <w:t xml:space="preserve">Reading 58 Alternative Investment </w:t>
      </w:r>
    </w:p>
    <w:p w14:paraId="1AD4987F" w14:textId="77777777" w:rsidR="00000000" w:rsidRDefault="00D015D4">
      <w:pPr>
        <w:pStyle w:val="NormalWeb"/>
        <w:spacing w:before="0" w:beforeAutospacing="0" w:after="0" w:afterAutospacing="0"/>
        <w:rPr>
          <w:rFonts w:ascii="Calibri Light" w:hAnsi="Calibri Light" w:cs="Calibri Light"/>
          <w:sz w:val="22"/>
          <w:szCs w:val="22"/>
        </w:rPr>
      </w:pPr>
      <w:r>
        <w:rPr>
          <w:rFonts w:ascii="Calibri Light" w:hAnsi="Calibri Light" w:cs="Calibri Light"/>
          <w:sz w:val="22"/>
          <w:szCs w:val="22"/>
        </w:rPr>
        <w:t> </w:t>
      </w:r>
    </w:p>
    <w:p w14:paraId="68EB0AB0" w14:textId="77777777" w:rsidR="00000000" w:rsidRDefault="00D015D4">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 xml:space="preserve">Hedge fund: private investment managing portfolios of securities and derivative positions. </w:t>
      </w:r>
    </w:p>
    <w:p w14:paraId="1C05F7E1" w14:textId="77777777" w:rsidR="00000000" w:rsidRDefault="00D015D4">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 xml:space="preserve">Private equity funds: not listed on a public exchange, or intending to take private </w:t>
      </w:r>
    </w:p>
    <w:p w14:paraId="2C032278" w14:textId="77777777" w:rsidR="00000000" w:rsidRDefault="00D015D4">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Ventu</w:t>
      </w:r>
      <w:r>
        <w:rPr>
          <w:rFonts w:ascii="Calibri" w:eastAsia="Times New Roman" w:hAnsi="Calibri" w:cs="Calibri"/>
          <w:sz w:val="22"/>
          <w:szCs w:val="22"/>
        </w:rPr>
        <w:t xml:space="preserve">re capital: start-up with high growth potential </w:t>
      </w:r>
    </w:p>
    <w:p w14:paraId="0F4E241F" w14:textId="77777777" w:rsidR="00000000" w:rsidRDefault="00D015D4">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 xml:space="preserve">Real estate: </w:t>
      </w:r>
      <w:r>
        <w:rPr>
          <w:rFonts w:ascii="Calibri" w:eastAsia="Times New Roman" w:hAnsi="Calibri" w:cs="Calibri"/>
          <w:sz w:val="22"/>
          <w:szCs w:val="22"/>
          <w:u w:val="single"/>
        </w:rPr>
        <w:t xml:space="preserve">private commercial real estate equity, private commercial real estate debt, public real estate equity, public real estate debt </w:t>
      </w:r>
    </w:p>
    <w:p w14:paraId="43CC7A86" w14:textId="77777777" w:rsidR="00000000" w:rsidRDefault="00D015D4">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 xml:space="preserve">Commodities: physical commodity products </w:t>
      </w:r>
    </w:p>
    <w:p w14:paraId="1685488A" w14:textId="77777777" w:rsidR="00000000" w:rsidRDefault="00D015D4">
      <w:pPr>
        <w:numPr>
          <w:ilvl w:val="0"/>
          <w:numId w:val="1"/>
        </w:numPr>
        <w:textAlignment w:val="center"/>
        <w:rPr>
          <w:rFonts w:ascii="Calibri" w:eastAsia="Times New Roman" w:hAnsi="Calibri" w:cs="Calibri"/>
          <w:sz w:val="22"/>
          <w:szCs w:val="22"/>
        </w:rPr>
      </w:pPr>
      <w:r>
        <w:rPr>
          <w:rFonts w:ascii="Calibri" w:eastAsia="Times New Roman" w:hAnsi="Calibri" w:cs="Calibri"/>
          <w:b/>
          <w:bCs/>
          <w:sz w:val="22"/>
          <w:szCs w:val="22"/>
          <w:shd w:val="clear" w:color="auto" w:fill="FAC08F"/>
        </w:rPr>
        <w:lastRenderedPageBreak/>
        <w:t>Infrastructure</w:t>
      </w:r>
      <w:r>
        <w:rPr>
          <w:rFonts w:ascii="Calibri" w:eastAsia="Times New Roman" w:hAnsi="Calibri" w:cs="Calibri"/>
          <w:sz w:val="22"/>
          <w:szCs w:val="22"/>
        </w:rPr>
        <w:t xml:space="preserve">: </w:t>
      </w:r>
      <w:r>
        <w:rPr>
          <w:rFonts w:ascii="Calibri" w:eastAsia="Times New Roman" w:hAnsi="Calibri" w:cs="Calibri"/>
          <w:b/>
          <w:bCs/>
          <w:sz w:val="22"/>
          <w:szCs w:val="22"/>
        </w:rPr>
        <w:t>greenfie</w:t>
      </w:r>
      <w:r>
        <w:rPr>
          <w:rFonts w:ascii="Calibri" w:eastAsia="Times New Roman" w:hAnsi="Calibri" w:cs="Calibri"/>
          <w:b/>
          <w:bCs/>
          <w:sz w:val="22"/>
          <w:szCs w:val="22"/>
        </w:rPr>
        <w:t>ld</w:t>
      </w:r>
      <w:r>
        <w:rPr>
          <w:rFonts w:ascii="Calibri" w:eastAsia="Times New Roman" w:hAnsi="Calibri" w:cs="Calibri"/>
          <w:sz w:val="22"/>
          <w:szCs w:val="22"/>
        </w:rPr>
        <w:t xml:space="preserve"> of building new; </w:t>
      </w:r>
      <w:r>
        <w:rPr>
          <w:rFonts w:ascii="Calibri" w:eastAsia="Times New Roman" w:hAnsi="Calibri" w:cs="Calibri"/>
          <w:b/>
          <w:bCs/>
          <w:sz w:val="22"/>
          <w:szCs w:val="22"/>
        </w:rPr>
        <w:t>brownfield</w:t>
      </w:r>
      <w:r>
        <w:rPr>
          <w:rFonts w:ascii="Calibri" w:eastAsia="Times New Roman" w:hAnsi="Calibri" w:cs="Calibri"/>
          <w:sz w:val="22"/>
          <w:szCs w:val="22"/>
        </w:rPr>
        <w:t xml:space="preserve"> of expanding or improving exist, publicly listed master limited partnership(MLP) is brownfield existing with lower return, but emphasize more on income generation. </w:t>
      </w:r>
    </w:p>
    <w:p w14:paraId="123C9227" w14:textId="77777777" w:rsidR="00000000" w:rsidRDefault="00D015D4">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 xml:space="preserve">Other </w:t>
      </w:r>
    </w:p>
    <w:p w14:paraId="38BFA89A" w14:textId="77777777" w:rsidR="00000000" w:rsidRDefault="00D015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Exit strategies: </w:t>
      </w:r>
    </w:p>
    <w:p w14:paraId="2BB3EBE5" w14:textId="77777777" w:rsidR="00000000" w:rsidRDefault="00D015D4">
      <w:pPr>
        <w:numPr>
          <w:ilvl w:val="0"/>
          <w:numId w:val="2"/>
        </w:numPr>
        <w:textAlignment w:val="center"/>
        <w:rPr>
          <w:rFonts w:ascii="Calibri" w:eastAsia="Times New Roman" w:hAnsi="Calibri" w:cs="Calibri"/>
          <w:sz w:val="22"/>
          <w:szCs w:val="22"/>
        </w:rPr>
      </w:pPr>
      <w:r>
        <w:rPr>
          <w:rFonts w:ascii="Calibri" w:eastAsia="Times New Roman" w:hAnsi="Calibri" w:cs="Calibri"/>
          <w:sz w:val="22"/>
          <w:szCs w:val="22"/>
        </w:rPr>
        <w:t xml:space="preserve">Trade sale </w:t>
      </w:r>
    </w:p>
    <w:p w14:paraId="306D82C3" w14:textId="77777777" w:rsidR="00000000" w:rsidRDefault="00D015D4">
      <w:pPr>
        <w:numPr>
          <w:ilvl w:val="0"/>
          <w:numId w:val="2"/>
        </w:numPr>
        <w:textAlignment w:val="center"/>
        <w:rPr>
          <w:rFonts w:ascii="Calibri" w:eastAsia="Times New Roman" w:hAnsi="Calibri" w:cs="Calibri"/>
          <w:sz w:val="22"/>
          <w:szCs w:val="22"/>
        </w:rPr>
      </w:pPr>
      <w:r>
        <w:rPr>
          <w:rFonts w:ascii="Calibri" w:eastAsia="Times New Roman" w:hAnsi="Calibri" w:cs="Calibri"/>
          <w:sz w:val="22"/>
          <w:szCs w:val="22"/>
        </w:rPr>
        <w:t xml:space="preserve">IPO </w:t>
      </w:r>
    </w:p>
    <w:p w14:paraId="743E531F" w14:textId="77777777" w:rsidR="00000000" w:rsidRDefault="00D015D4">
      <w:pPr>
        <w:numPr>
          <w:ilvl w:val="0"/>
          <w:numId w:val="2"/>
        </w:numPr>
        <w:textAlignment w:val="center"/>
        <w:rPr>
          <w:rFonts w:ascii="Calibri" w:eastAsia="Times New Roman" w:hAnsi="Calibri" w:cs="Calibri"/>
          <w:sz w:val="22"/>
          <w:szCs w:val="22"/>
        </w:rPr>
      </w:pPr>
      <w:r>
        <w:rPr>
          <w:rFonts w:ascii="Calibri" w:eastAsia="Times New Roman" w:hAnsi="Calibri" w:cs="Calibri"/>
          <w:sz w:val="22"/>
          <w:szCs w:val="22"/>
        </w:rPr>
        <w:t xml:space="preserve">Recapitalization </w:t>
      </w:r>
    </w:p>
    <w:p w14:paraId="1607B5C3" w14:textId="77777777" w:rsidR="00000000" w:rsidRDefault="00D015D4">
      <w:pPr>
        <w:numPr>
          <w:ilvl w:val="0"/>
          <w:numId w:val="2"/>
        </w:numPr>
        <w:textAlignment w:val="center"/>
        <w:rPr>
          <w:rFonts w:ascii="Calibri" w:eastAsia="Times New Roman" w:hAnsi="Calibri" w:cs="Calibri"/>
          <w:sz w:val="22"/>
          <w:szCs w:val="22"/>
        </w:rPr>
      </w:pPr>
      <w:r>
        <w:rPr>
          <w:rFonts w:ascii="Calibri" w:eastAsia="Times New Roman" w:hAnsi="Calibri" w:cs="Calibri"/>
          <w:sz w:val="22"/>
          <w:szCs w:val="22"/>
        </w:rPr>
        <w:t xml:space="preserve">Secondary sales </w:t>
      </w:r>
    </w:p>
    <w:p w14:paraId="40D4CA17" w14:textId="77777777" w:rsidR="00000000" w:rsidRDefault="00D015D4">
      <w:pPr>
        <w:numPr>
          <w:ilvl w:val="0"/>
          <w:numId w:val="2"/>
        </w:numPr>
        <w:textAlignment w:val="center"/>
        <w:rPr>
          <w:rFonts w:ascii="Calibri" w:eastAsia="Times New Roman" w:hAnsi="Calibri" w:cs="Calibri"/>
          <w:sz w:val="22"/>
          <w:szCs w:val="22"/>
        </w:rPr>
      </w:pPr>
      <w:r>
        <w:rPr>
          <w:rFonts w:ascii="Calibri" w:eastAsia="Times New Roman" w:hAnsi="Calibri" w:cs="Calibri"/>
          <w:sz w:val="22"/>
          <w:szCs w:val="22"/>
        </w:rPr>
        <w:t xml:space="preserve">Write-off/liquidation </w:t>
      </w:r>
    </w:p>
    <w:p w14:paraId="3E599C70" w14:textId="77777777" w:rsidR="00000000" w:rsidRDefault="00D015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Due diligence: </w:t>
      </w:r>
    </w:p>
    <w:p w14:paraId="0ED3447D" w14:textId="77777777" w:rsidR="00000000" w:rsidRDefault="00D015D4">
      <w:pPr>
        <w:pStyle w:val="NormalWeb"/>
        <w:spacing w:before="0" w:beforeAutospacing="0" w:after="0" w:afterAutospacing="0"/>
        <w:jc w:val="center"/>
        <w:rPr>
          <w:rFonts w:ascii="Calibri" w:hAnsi="Calibri" w:cs="Calibri"/>
          <w:sz w:val="22"/>
          <w:szCs w:val="22"/>
        </w:rPr>
      </w:pPr>
      <w:r>
        <w:rPr>
          <w:rFonts w:ascii="Calibri" w:hAnsi="Calibri" w:cs="Calibri"/>
          <w:b/>
          <w:bCs/>
          <w:sz w:val="22"/>
          <w:szCs w:val="22"/>
        </w:rPr>
        <w:t>A Typical Due Diligence Process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405"/>
        <w:gridCol w:w="6385"/>
      </w:tblGrid>
      <w:tr w:rsidR="00000000" w14:paraId="1E16A284" w14:textId="77777777">
        <w:trPr>
          <w:divId w:val="1482650222"/>
        </w:trPr>
        <w:tc>
          <w:tcPr>
            <w:tcW w:w="2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F7340B" w14:textId="77777777" w:rsidR="00000000" w:rsidRDefault="00D015D4">
            <w:pPr>
              <w:pStyle w:val="NormalWeb"/>
              <w:spacing w:before="0" w:beforeAutospacing="0" w:after="0" w:afterAutospacing="0"/>
              <w:rPr>
                <w:rFonts w:ascii="Calibri" w:hAnsi="Calibri" w:cs="Calibri"/>
                <w:sz w:val="22"/>
                <w:szCs w:val="22"/>
              </w:rPr>
            </w:pPr>
            <w:r>
              <w:rPr>
                <w:rFonts w:ascii="Calibri" w:hAnsi="Calibri" w:cs="Calibri"/>
                <w:sz w:val="22"/>
                <w:szCs w:val="22"/>
              </w:rPr>
              <w:t>Organization</w:t>
            </w:r>
          </w:p>
        </w:tc>
        <w:tc>
          <w:tcPr>
            <w:tcW w:w="63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947285" w14:textId="77777777" w:rsidR="00000000" w:rsidRDefault="00D015D4">
            <w:pPr>
              <w:numPr>
                <w:ilvl w:val="1"/>
                <w:numId w:val="3"/>
              </w:numPr>
              <w:textAlignment w:val="center"/>
              <w:rPr>
                <w:rFonts w:eastAsia="Times New Roman"/>
              </w:rPr>
            </w:pPr>
            <w:r>
              <w:rPr>
                <w:rFonts w:ascii="Calibri" w:eastAsia="Times New Roman" w:hAnsi="Calibri" w:cs="Calibri"/>
                <w:sz w:val="22"/>
                <w:szCs w:val="22"/>
              </w:rPr>
              <w:t>Experience and quality of management team, compensation, and staffing</w:t>
            </w:r>
          </w:p>
          <w:p w14:paraId="08FA4112" w14:textId="77777777" w:rsidR="00000000" w:rsidRDefault="00D015D4">
            <w:pPr>
              <w:numPr>
                <w:ilvl w:val="1"/>
                <w:numId w:val="3"/>
              </w:numPr>
              <w:textAlignment w:val="center"/>
              <w:rPr>
                <w:rFonts w:eastAsia="Times New Roman"/>
              </w:rPr>
            </w:pPr>
            <w:r>
              <w:rPr>
                <w:rFonts w:ascii="Calibri" w:eastAsia="Times New Roman" w:hAnsi="Calibri" w:cs="Calibri"/>
                <w:sz w:val="22"/>
                <w:szCs w:val="22"/>
              </w:rPr>
              <w:t>Analysis of prior and current funds</w:t>
            </w:r>
          </w:p>
          <w:p w14:paraId="039F009F" w14:textId="77777777" w:rsidR="00000000" w:rsidRDefault="00D015D4">
            <w:pPr>
              <w:numPr>
                <w:ilvl w:val="1"/>
                <w:numId w:val="3"/>
              </w:numPr>
              <w:textAlignment w:val="center"/>
              <w:rPr>
                <w:rFonts w:eastAsia="Times New Roman"/>
              </w:rPr>
            </w:pPr>
            <w:r>
              <w:rPr>
                <w:rFonts w:ascii="Calibri" w:eastAsia="Times New Roman" w:hAnsi="Calibri" w:cs="Calibri"/>
                <w:sz w:val="22"/>
                <w:szCs w:val="22"/>
              </w:rPr>
              <w:t>Track record/alignment of interests</w:t>
            </w:r>
          </w:p>
          <w:p w14:paraId="05E78644" w14:textId="77777777" w:rsidR="00000000" w:rsidRDefault="00D015D4">
            <w:pPr>
              <w:numPr>
                <w:ilvl w:val="1"/>
                <w:numId w:val="3"/>
              </w:numPr>
              <w:textAlignment w:val="center"/>
              <w:rPr>
                <w:rFonts w:eastAsia="Times New Roman"/>
              </w:rPr>
            </w:pPr>
            <w:r>
              <w:rPr>
                <w:rFonts w:ascii="Calibri" w:eastAsia="Times New Roman" w:hAnsi="Calibri" w:cs="Calibri"/>
                <w:sz w:val="22"/>
                <w:szCs w:val="22"/>
              </w:rPr>
              <w:t>Reputation and quality of third-party service providers (e.g., lawyers, auditors, prime brokers)</w:t>
            </w:r>
          </w:p>
        </w:tc>
      </w:tr>
      <w:tr w:rsidR="00000000" w14:paraId="18BC7BA3" w14:textId="77777777">
        <w:trPr>
          <w:divId w:val="1482650222"/>
        </w:trPr>
        <w:tc>
          <w:tcPr>
            <w:tcW w:w="2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656430" w14:textId="77777777" w:rsidR="00000000" w:rsidRDefault="00D015D4">
            <w:pPr>
              <w:pStyle w:val="NormalWeb"/>
              <w:spacing w:before="0" w:beforeAutospacing="0" w:after="0" w:afterAutospacing="0"/>
              <w:rPr>
                <w:rFonts w:ascii="Calibri" w:hAnsi="Calibri" w:cs="Calibri"/>
                <w:sz w:val="22"/>
                <w:szCs w:val="22"/>
              </w:rPr>
            </w:pPr>
            <w:r>
              <w:rPr>
                <w:rFonts w:ascii="Calibri" w:hAnsi="Calibri" w:cs="Calibri"/>
                <w:sz w:val="22"/>
                <w:szCs w:val="22"/>
              </w:rPr>
              <w:t>Portfolio management</w:t>
            </w:r>
          </w:p>
        </w:tc>
        <w:tc>
          <w:tcPr>
            <w:tcW w:w="63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C17527" w14:textId="77777777" w:rsidR="00000000" w:rsidRDefault="00D015D4">
            <w:pPr>
              <w:numPr>
                <w:ilvl w:val="1"/>
                <w:numId w:val="4"/>
              </w:numPr>
              <w:textAlignment w:val="center"/>
              <w:rPr>
                <w:rFonts w:eastAsia="Times New Roman"/>
              </w:rPr>
            </w:pPr>
            <w:r>
              <w:rPr>
                <w:rFonts w:ascii="Calibri" w:eastAsia="Times New Roman" w:hAnsi="Calibri" w:cs="Calibri"/>
                <w:sz w:val="22"/>
                <w:szCs w:val="22"/>
              </w:rPr>
              <w:t>Investment process</w:t>
            </w:r>
          </w:p>
          <w:p w14:paraId="01B852B5" w14:textId="77777777" w:rsidR="00000000" w:rsidRDefault="00D015D4">
            <w:pPr>
              <w:numPr>
                <w:ilvl w:val="1"/>
                <w:numId w:val="4"/>
              </w:numPr>
              <w:textAlignment w:val="center"/>
              <w:rPr>
                <w:rFonts w:eastAsia="Times New Roman"/>
              </w:rPr>
            </w:pPr>
            <w:r>
              <w:rPr>
                <w:rFonts w:ascii="Calibri" w:eastAsia="Times New Roman" w:hAnsi="Calibri" w:cs="Calibri"/>
                <w:sz w:val="22"/>
                <w:szCs w:val="22"/>
              </w:rPr>
              <w:t>Target markets/asset types/strategies</w:t>
            </w:r>
          </w:p>
          <w:p w14:paraId="17498ED9" w14:textId="77777777" w:rsidR="00000000" w:rsidRDefault="00D015D4">
            <w:pPr>
              <w:numPr>
                <w:ilvl w:val="1"/>
                <w:numId w:val="4"/>
              </w:numPr>
              <w:textAlignment w:val="center"/>
              <w:rPr>
                <w:rFonts w:eastAsia="Times New Roman"/>
              </w:rPr>
            </w:pPr>
            <w:r>
              <w:rPr>
                <w:rFonts w:ascii="Calibri" w:eastAsia="Times New Roman" w:hAnsi="Calibri" w:cs="Calibri"/>
                <w:sz w:val="22"/>
                <w:szCs w:val="22"/>
              </w:rPr>
              <w:t>Sourcing of investments</w:t>
            </w:r>
          </w:p>
          <w:p w14:paraId="7BF9CAEF" w14:textId="77777777" w:rsidR="00000000" w:rsidRDefault="00D015D4">
            <w:pPr>
              <w:numPr>
                <w:ilvl w:val="1"/>
                <w:numId w:val="4"/>
              </w:numPr>
              <w:textAlignment w:val="center"/>
              <w:rPr>
                <w:rFonts w:eastAsia="Times New Roman"/>
              </w:rPr>
            </w:pPr>
            <w:r>
              <w:rPr>
                <w:rFonts w:ascii="Calibri" w:eastAsia="Times New Roman" w:hAnsi="Calibri" w:cs="Calibri"/>
                <w:sz w:val="22"/>
                <w:szCs w:val="22"/>
              </w:rPr>
              <w:t>Role of operating pa</w:t>
            </w:r>
            <w:r>
              <w:rPr>
                <w:rFonts w:ascii="Calibri" w:eastAsia="Times New Roman" w:hAnsi="Calibri" w:cs="Calibri"/>
                <w:sz w:val="22"/>
                <w:szCs w:val="22"/>
              </w:rPr>
              <w:t>rtners</w:t>
            </w:r>
          </w:p>
          <w:p w14:paraId="38EB3B32" w14:textId="77777777" w:rsidR="00000000" w:rsidRDefault="00D015D4">
            <w:pPr>
              <w:numPr>
                <w:ilvl w:val="1"/>
                <w:numId w:val="4"/>
              </w:numPr>
              <w:textAlignment w:val="center"/>
              <w:rPr>
                <w:rFonts w:eastAsia="Times New Roman"/>
              </w:rPr>
            </w:pPr>
            <w:r>
              <w:rPr>
                <w:rFonts w:ascii="Calibri" w:eastAsia="Times New Roman" w:hAnsi="Calibri" w:cs="Calibri"/>
                <w:sz w:val="22"/>
                <w:szCs w:val="22"/>
              </w:rPr>
              <w:t>Underwriting</w:t>
            </w:r>
          </w:p>
          <w:p w14:paraId="334AB71F" w14:textId="77777777" w:rsidR="00000000" w:rsidRDefault="00D015D4">
            <w:pPr>
              <w:numPr>
                <w:ilvl w:val="1"/>
                <w:numId w:val="4"/>
              </w:numPr>
              <w:textAlignment w:val="center"/>
              <w:rPr>
                <w:rFonts w:eastAsia="Times New Roman"/>
              </w:rPr>
            </w:pPr>
            <w:r>
              <w:rPr>
                <w:rFonts w:ascii="Calibri" w:eastAsia="Times New Roman" w:hAnsi="Calibri" w:cs="Calibri"/>
                <w:sz w:val="22"/>
                <w:szCs w:val="22"/>
              </w:rPr>
              <w:t>Environmental and engineering review process</w:t>
            </w:r>
          </w:p>
          <w:p w14:paraId="545FDE74" w14:textId="77777777" w:rsidR="00000000" w:rsidRDefault="00D015D4">
            <w:pPr>
              <w:numPr>
                <w:ilvl w:val="1"/>
                <w:numId w:val="4"/>
              </w:numPr>
              <w:textAlignment w:val="center"/>
              <w:rPr>
                <w:rFonts w:eastAsia="Times New Roman"/>
              </w:rPr>
            </w:pPr>
            <w:r>
              <w:rPr>
                <w:rFonts w:ascii="Calibri" w:eastAsia="Times New Roman" w:hAnsi="Calibri" w:cs="Calibri"/>
                <w:sz w:val="22"/>
                <w:szCs w:val="22"/>
              </w:rPr>
              <w:t>Integration of asset management/acquisitions/dispositions</w:t>
            </w:r>
          </w:p>
          <w:p w14:paraId="7CE5D8D6" w14:textId="77777777" w:rsidR="00000000" w:rsidRDefault="00D015D4">
            <w:pPr>
              <w:numPr>
                <w:ilvl w:val="1"/>
                <w:numId w:val="4"/>
              </w:numPr>
              <w:textAlignment w:val="center"/>
              <w:rPr>
                <w:rFonts w:eastAsia="Times New Roman"/>
              </w:rPr>
            </w:pPr>
            <w:r>
              <w:rPr>
                <w:rFonts w:ascii="Calibri" w:eastAsia="Times New Roman" w:hAnsi="Calibri" w:cs="Calibri"/>
                <w:sz w:val="22"/>
                <w:szCs w:val="22"/>
              </w:rPr>
              <w:t>Disposition process, including its initiation and execution</w:t>
            </w:r>
          </w:p>
        </w:tc>
      </w:tr>
      <w:tr w:rsidR="00000000" w14:paraId="748FC360" w14:textId="77777777">
        <w:trPr>
          <w:divId w:val="1482650222"/>
        </w:trPr>
        <w:tc>
          <w:tcPr>
            <w:tcW w:w="2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DFD34A" w14:textId="77777777" w:rsidR="00000000" w:rsidRDefault="00D015D4">
            <w:pPr>
              <w:pStyle w:val="NormalWeb"/>
              <w:spacing w:before="0" w:beforeAutospacing="0" w:after="0" w:afterAutospacing="0"/>
              <w:rPr>
                <w:rFonts w:ascii="Calibri" w:hAnsi="Calibri" w:cs="Calibri"/>
                <w:sz w:val="22"/>
                <w:szCs w:val="22"/>
              </w:rPr>
            </w:pPr>
            <w:r>
              <w:rPr>
                <w:rFonts w:ascii="Calibri" w:hAnsi="Calibri" w:cs="Calibri"/>
                <w:sz w:val="22"/>
                <w:szCs w:val="22"/>
              </w:rPr>
              <w:t>Operations and controls</w:t>
            </w:r>
          </w:p>
        </w:tc>
        <w:tc>
          <w:tcPr>
            <w:tcW w:w="63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B984C4" w14:textId="77777777" w:rsidR="00000000" w:rsidRDefault="00D015D4">
            <w:pPr>
              <w:numPr>
                <w:ilvl w:val="1"/>
                <w:numId w:val="5"/>
              </w:numPr>
              <w:textAlignment w:val="center"/>
              <w:rPr>
                <w:rFonts w:eastAsia="Times New Roman"/>
              </w:rPr>
            </w:pPr>
            <w:r>
              <w:rPr>
                <w:rFonts w:ascii="Calibri" w:eastAsia="Times New Roman" w:hAnsi="Calibri" w:cs="Calibri"/>
                <w:sz w:val="22"/>
                <w:szCs w:val="22"/>
              </w:rPr>
              <w:t>Reporting and accounting methodology</w:t>
            </w:r>
          </w:p>
          <w:p w14:paraId="32272699" w14:textId="77777777" w:rsidR="00000000" w:rsidRDefault="00D015D4">
            <w:pPr>
              <w:numPr>
                <w:ilvl w:val="1"/>
                <w:numId w:val="5"/>
              </w:numPr>
              <w:textAlignment w:val="center"/>
              <w:rPr>
                <w:rFonts w:eastAsia="Times New Roman"/>
              </w:rPr>
            </w:pPr>
            <w:r>
              <w:rPr>
                <w:rFonts w:ascii="Calibri" w:eastAsia="Times New Roman" w:hAnsi="Calibri" w:cs="Calibri"/>
                <w:sz w:val="22"/>
                <w:szCs w:val="22"/>
              </w:rPr>
              <w:t>Audited financial statements and other internal controls</w:t>
            </w:r>
          </w:p>
          <w:p w14:paraId="23009BCB" w14:textId="77777777" w:rsidR="00000000" w:rsidRDefault="00D015D4">
            <w:pPr>
              <w:numPr>
                <w:ilvl w:val="1"/>
                <w:numId w:val="5"/>
              </w:numPr>
              <w:textAlignment w:val="center"/>
              <w:rPr>
                <w:rFonts w:eastAsia="Times New Roman"/>
              </w:rPr>
            </w:pPr>
            <w:r>
              <w:rPr>
                <w:rFonts w:ascii="Calibri" w:eastAsia="Times New Roman" w:hAnsi="Calibri" w:cs="Calibri"/>
                <w:sz w:val="22"/>
                <w:szCs w:val="22"/>
              </w:rPr>
              <w:t>Valuations—frequency and approach(es)</w:t>
            </w:r>
          </w:p>
          <w:p w14:paraId="696576E9" w14:textId="77777777" w:rsidR="00000000" w:rsidRDefault="00D015D4">
            <w:pPr>
              <w:numPr>
                <w:ilvl w:val="1"/>
                <w:numId w:val="5"/>
              </w:numPr>
              <w:textAlignment w:val="center"/>
              <w:rPr>
                <w:rFonts w:eastAsia="Times New Roman"/>
              </w:rPr>
            </w:pPr>
            <w:r>
              <w:rPr>
                <w:rFonts w:ascii="Calibri" w:eastAsia="Times New Roman" w:hAnsi="Calibri" w:cs="Calibri"/>
                <w:sz w:val="22"/>
                <w:szCs w:val="22"/>
              </w:rPr>
              <w:t>Insurance and contingency plans</w:t>
            </w:r>
          </w:p>
        </w:tc>
      </w:tr>
      <w:tr w:rsidR="00000000" w14:paraId="13810189" w14:textId="77777777">
        <w:trPr>
          <w:divId w:val="1482650222"/>
        </w:trPr>
        <w:tc>
          <w:tcPr>
            <w:tcW w:w="2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4727F2" w14:textId="77777777" w:rsidR="00000000" w:rsidRDefault="00D015D4">
            <w:pPr>
              <w:pStyle w:val="NormalWeb"/>
              <w:spacing w:before="0" w:beforeAutospacing="0" w:after="0" w:afterAutospacing="0"/>
              <w:rPr>
                <w:rFonts w:ascii="Calibri" w:hAnsi="Calibri" w:cs="Calibri"/>
                <w:sz w:val="22"/>
                <w:szCs w:val="22"/>
              </w:rPr>
            </w:pPr>
            <w:r>
              <w:rPr>
                <w:rFonts w:ascii="Calibri" w:hAnsi="Calibri" w:cs="Calibri"/>
                <w:sz w:val="22"/>
                <w:szCs w:val="22"/>
              </w:rPr>
              <w:t>Risk management</w:t>
            </w:r>
          </w:p>
        </w:tc>
        <w:tc>
          <w:tcPr>
            <w:tcW w:w="63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D44250" w14:textId="77777777" w:rsidR="00000000" w:rsidRDefault="00D015D4">
            <w:pPr>
              <w:numPr>
                <w:ilvl w:val="1"/>
                <w:numId w:val="6"/>
              </w:numPr>
              <w:textAlignment w:val="center"/>
              <w:rPr>
                <w:rFonts w:eastAsia="Times New Roman"/>
              </w:rPr>
            </w:pPr>
            <w:r>
              <w:rPr>
                <w:rFonts w:ascii="Calibri" w:eastAsia="Times New Roman" w:hAnsi="Calibri" w:cs="Calibri"/>
                <w:sz w:val="22"/>
                <w:szCs w:val="22"/>
              </w:rPr>
              <w:t>Fund policies and limits</w:t>
            </w:r>
          </w:p>
          <w:p w14:paraId="3800B0E8" w14:textId="77777777" w:rsidR="00000000" w:rsidRDefault="00D015D4">
            <w:pPr>
              <w:numPr>
                <w:ilvl w:val="1"/>
                <w:numId w:val="6"/>
              </w:numPr>
              <w:textAlignment w:val="center"/>
              <w:rPr>
                <w:rFonts w:eastAsia="Times New Roman"/>
              </w:rPr>
            </w:pPr>
            <w:r>
              <w:rPr>
                <w:rFonts w:ascii="Calibri" w:eastAsia="Times New Roman" w:hAnsi="Calibri" w:cs="Calibri"/>
                <w:sz w:val="22"/>
                <w:szCs w:val="22"/>
              </w:rPr>
              <w:t>Risk management policy</w:t>
            </w:r>
          </w:p>
          <w:p w14:paraId="0D8F96D1" w14:textId="77777777" w:rsidR="00000000" w:rsidRDefault="00D015D4">
            <w:pPr>
              <w:numPr>
                <w:ilvl w:val="1"/>
                <w:numId w:val="6"/>
              </w:numPr>
              <w:textAlignment w:val="center"/>
              <w:rPr>
                <w:rFonts w:eastAsia="Times New Roman"/>
              </w:rPr>
            </w:pPr>
            <w:r>
              <w:rPr>
                <w:rFonts w:ascii="Calibri" w:eastAsia="Times New Roman" w:hAnsi="Calibri" w:cs="Calibri"/>
                <w:sz w:val="22"/>
                <w:szCs w:val="22"/>
              </w:rPr>
              <w:t>Portfolio risk and key risk factors</w:t>
            </w:r>
          </w:p>
          <w:p w14:paraId="58997DEE" w14:textId="77777777" w:rsidR="00000000" w:rsidRDefault="00D015D4">
            <w:pPr>
              <w:numPr>
                <w:ilvl w:val="1"/>
                <w:numId w:val="6"/>
              </w:numPr>
              <w:textAlignment w:val="center"/>
              <w:rPr>
                <w:rFonts w:eastAsia="Times New Roman"/>
              </w:rPr>
            </w:pPr>
            <w:r>
              <w:rPr>
                <w:rFonts w:ascii="Calibri" w:eastAsia="Times New Roman" w:hAnsi="Calibri" w:cs="Calibri"/>
                <w:sz w:val="22"/>
                <w:szCs w:val="22"/>
              </w:rPr>
              <w:t>Leverage and currency—risks/</w:t>
            </w:r>
            <w:r>
              <w:rPr>
                <w:rFonts w:ascii="Calibri" w:eastAsia="Times New Roman" w:hAnsi="Calibri" w:cs="Calibri"/>
                <w:sz w:val="22"/>
                <w:szCs w:val="22"/>
              </w:rPr>
              <w:t>constraints/hedging</w:t>
            </w:r>
          </w:p>
        </w:tc>
      </w:tr>
      <w:tr w:rsidR="00000000" w14:paraId="4D2CC207" w14:textId="77777777">
        <w:trPr>
          <w:divId w:val="1482650222"/>
        </w:trPr>
        <w:tc>
          <w:tcPr>
            <w:tcW w:w="2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2491BA" w14:textId="77777777" w:rsidR="00000000" w:rsidRDefault="00D015D4">
            <w:pPr>
              <w:pStyle w:val="NormalWeb"/>
              <w:spacing w:before="0" w:beforeAutospacing="0" w:after="0" w:afterAutospacing="0"/>
              <w:rPr>
                <w:rFonts w:ascii="Calibri" w:hAnsi="Calibri" w:cs="Calibri"/>
                <w:sz w:val="22"/>
                <w:szCs w:val="22"/>
              </w:rPr>
            </w:pPr>
            <w:r>
              <w:rPr>
                <w:rFonts w:ascii="Calibri" w:hAnsi="Calibri" w:cs="Calibri"/>
                <w:sz w:val="22"/>
                <w:szCs w:val="22"/>
              </w:rPr>
              <w:t>Legal review</w:t>
            </w:r>
          </w:p>
        </w:tc>
        <w:tc>
          <w:tcPr>
            <w:tcW w:w="63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F765D0" w14:textId="77777777" w:rsidR="00000000" w:rsidRDefault="00D015D4">
            <w:pPr>
              <w:numPr>
                <w:ilvl w:val="1"/>
                <w:numId w:val="7"/>
              </w:numPr>
              <w:textAlignment w:val="center"/>
              <w:rPr>
                <w:rFonts w:eastAsia="Times New Roman"/>
              </w:rPr>
            </w:pPr>
            <w:r>
              <w:rPr>
                <w:rFonts w:ascii="Calibri" w:eastAsia="Times New Roman" w:hAnsi="Calibri" w:cs="Calibri"/>
                <w:sz w:val="22"/>
                <w:szCs w:val="22"/>
              </w:rPr>
              <w:t>Fund structure</w:t>
            </w:r>
          </w:p>
          <w:p w14:paraId="1E099CDA" w14:textId="77777777" w:rsidR="00000000" w:rsidRDefault="00D015D4">
            <w:pPr>
              <w:numPr>
                <w:ilvl w:val="1"/>
                <w:numId w:val="7"/>
              </w:numPr>
              <w:textAlignment w:val="center"/>
              <w:rPr>
                <w:rFonts w:eastAsia="Times New Roman"/>
              </w:rPr>
            </w:pPr>
            <w:r>
              <w:rPr>
                <w:rFonts w:ascii="Calibri" w:eastAsia="Times New Roman" w:hAnsi="Calibri" w:cs="Calibri"/>
                <w:sz w:val="22"/>
                <w:szCs w:val="22"/>
              </w:rPr>
              <w:t>Registrations</w:t>
            </w:r>
          </w:p>
          <w:p w14:paraId="71D32B30" w14:textId="77777777" w:rsidR="00000000" w:rsidRDefault="00D015D4">
            <w:pPr>
              <w:numPr>
                <w:ilvl w:val="1"/>
                <w:numId w:val="7"/>
              </w:numPr>
              <w:textAlignment w:val="center"/>
              <w:rPr>
                <w:rFonts w:eastAsia="Times New Roman"/>
              </w:rPr>
            </w:pPr>
            <w:r>
              <w:rPr>
                <w:rFonts w:ascii="Calibri" w:eastAsia="Times New Roman" w:hAnsi="Calibri" w:cs="Calibri"/>
                <w:sz w:val="22"/>
                <w:szCs w:val="22"/>
              </w:rPr>
              <w:t>Existing/prior litigation</w:t>
            </w:r>
          </w:p>
        </w:tc>
      </w:tr>
      <w:tr w:rsidR="00000000" w14:paraId="3D9D07AB" w14:textId="77777777">
        <w:trPr>
          <w:divId w:val="1482650222"/>
        </w:trPr>
        <w:tc>
          <w:tcPr>
            <w:tcW w:w="2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1C6E78" w14:textId="77777777" w:rsidR="00000000" w:rsidRDefault="00D015D4">
            <w:pPr>
              <w:pStyle w:val="NormalWeb"/>
              <w:spacing w:before="0" w:beforeAutospacing="0" w:after="0" w:afterAutospacing="0"/>
              <w:rPr>
                <w:rFonts w:ascii="Calibri" w:hAnsi="Calibri" w:cs="Calibri"/>
                <w:sz w:val="22"/>
                <w:szCs w:val="22"/>
              </w:rPr>
            </w:pPr>
            <w:r>
              <w:rPr>
                <w:rFonts w:ascii="Calibri" w:hAnsi="Calibri" w:cs="Calibri"/>
                <w:sz w:val="22"/>
                <w:szCs w:val="22"/>
              </w:rPr>
              <w:t>Fund terms</w:t>
            </w:r>
          </w:p>
        </w:tc>
        <w:tc>
          <w:tcPr>
            <w:tcW w:w="63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C6C8F5" w14:textId="77777777" w:rsidR="00000000" w:rsidRDefault="00D015D4">
            <w:pPr>
              <w:numPr>
                <w:ilvl w:val="1"/>
                <w:numId w:val="8"/>
              </w:numPr>
              <w:textAlignment w:val="center"/>
              <w:rPr>
                <w:rFonts w:eastAsia="Times New Roman"/>
              </w:rPr>
            </w:pPr>
            <w:r>
              <w:rPr>
                <w:rFonts w:ascii="Calibri" w:eastAsia="Times New Roman" w:hAnsi="Calibri" w:cs="Calibri"/>
                <w:sz w:val="22"/>
                <w:szCs w:val="22"/>
              </w:rPr>
              <w:t>Fees (management and performance) and expenses</w:t>
            </w:r>
          </w:p>
          <w:p w14:paraId="7F185743" w14:textId="77777777" w:rsidR="00000000" w:rsidRDefault="00D015D4">
            <w:pPr>
              <w:numPr>
                <w:ilvl w:val="1"/>
                <w:numId w:val="8"/>
              </w:numPr>
              <w:textAlignment w:val="center"/>
              <w:rPr>
                <w:rFonts w:eastAsia="Times New Roman"/>
              </w:rPr>
            </w:pPr>
            <w:r>
              <w:rPr>
                <w:rFonts w:ascii="Calibri" w:eastAsia="Times New Roman" w:hAnsi="Calibri" w:cs="Calibri"/>
                <w:sz w:val="22"/>
                <w:szCs w:val="22"/>
              </w:rPr>
              <w:t>Contractual terms</w:t>
            </w:r>
          </w:p>
          <w:p w14:paraId="63D893A2" w14:textId="77777777" w:rsidR="00000000" w:rsidRDefault="00D015D4">
            <w:pPr>
              <w:numPr>
                <w:ilvl w:val="1"/>
                <w:numId w:val="8"/>
              </w:numPr>
              <w:textAlignment w:val="center"/>
              <w:rPr>
                <w:rFonts w:eastAsia="Times New Roman"/>
              </w:rPr>
            </w:pPr>
            <w:r>
              <w:rPr>
                <w:rFonts w:ascii="Calibri" w:eastAsia="Times New Roman" w:hAnsi="Calibri" w:cs="Calibri"/>
                <w:sz w:val="22"/>
                <w:szCs w:val="22"/>
              </w:rPr>
              <w:t>Investment period and fund term and extensions</w:t>
            </w:r>
          </w:p>
          <w:p w14:paraId="06A49615" w14:textId="77777777" w:rsidR="00000000" w:rsidRDefault="00D015D4">
            <w:pPr>
              <w:numPr>
                <w:ilvl w:val="1"/>
                <w:numId w:val="8"/>
              </w:numPr>
              <w:textAlignment w:val="center"/>
              <w:rPr>
                <w:rFonts w:eastAsia="Times New Roman"/>
              </w:rPr>
            </w:pPr>
            <w:r>
              <w:rPr>
                <w:rFonts w:ascii="Calibri" w:eastAsia="Times New Roman" w:hAnsi="Calibri" w:cs="Calibri"/>
                <w:sz w:val="22"/>
                <w:szCs w:val="22"/>
              </w:rPr>
              <w:t>Carried interest</w:t>
            </w:r>
          </w:p>
          <w:p w14:paraId="731E4A24" w14:textId="77777777" w:rsidR="00000000" w:rsidRDefault="00D015D4">
            <w:pPr>
              <w:numPr>
                <w:ilvl w:val="1"/>
                <w:numId w:val="8"/>
              </w:numPr>
              <w:textAlignment w:val="center"/>
              <w:rPr>
                <w:rFonts w:eastAsia="Times New Roman"/>
              </w:rPr>
            </w:pPr>
            <w:r>
              <w:rPr>
                <w:rFonts w:ascii="Calibri" w:eastAsia="Times New Roman" w:hAnsi="Calibri" w:cs="Calibri"/>
                <w:sz w:val="22"/>
                <w:szCs w:val="22"/>
              </w:rPr>
              <w:lastRenderedPageBreak/>
              <w:t>Distributions</w:t>
            </w:r>
          </w:p>
          <w:p w14:paraId="6C0F2EDA" w14:textId="77777777" w:rsidR="00000000" w:rsidRDefault="00D015D4">
            <w:pPr>
              <w:numPr>
                <w:ilvl w:val="1"/>
                <w:numId w:val="8"/>
              </w:numPr>
              <w:textAlignment w:val="center"/>
              <w:rPr>
                <w:rFonts w:eastAsia="Times New Roman"/>
              </w:rPr>
            </w:pPr>
            <w:r>
              <w:rPr>
                <w:rFonts w:ascii="Calibri" w:eastAsia="Times New Roman" w:hAnsi="Calibri" w:cs="Calibri"/>
                <w:sz w:val="22"/>
                <w:szCs w:val="22"/>
              </w:rPr>
              <w:t>Conflicts</w:t>
            </w:r>
          </w:p>
          <w:p w14:paraId="1D855111" w14:textId="77777777" w:rsidR="00000000" w:rsidRDefault="00D015D4">
            <w:pPr>
              <w:numPr>
                <w:ilvl w:val="1"/>
                <w:numId w:val="8"/>
              </w:numPr>
              <w:textAlignment w:val="center"/>
              <w:rPr>
                <w:rFonts w:eastAsia="Times New Roman"/>
              </w:rPr>
            </w:pPr>
            <w:r>
              <w:rPr>
                <w:rFonts w:ascii="Calibri" w:eastAsia="Times New Roman" w:hAnsi="Calibri" w:cs="Calibri"/>
                <w:sz w:val="22"/>
                <w:szCs w:val="22"/>
              </w:rPr>
              <w:t>Limited partners’ rights</w:t>
            </w:r>
          </w:p>
          <w:p w14:paraId="1E83B3FF" w14:textId="77777777" w:rsidR="00000000" w:rsidRDefault="00D015D4">
            <w:pPr>
              <w:numPr>
                <w:ilvl w:val="1"/>
                <w:numId w:val="8"/>
              </w:numPr>
              <w:textAlignment w:val="center"/>
              <w:rPr>
                <w:rFonts w:eastAsia="Times New Roman"/>
              </w:rPr>
            </w:pPr>
            <w:r>
              <w:rPr>
                <w:rFonts w:ascii="Calibri" w:eastAsia="Times New Roman" w:hAnsi="Calibri" w:cs="Calibri"/>
                <w:sz w:val="22"/>
                <w:szCs w:val="22"/>
              </w:rPr>
              <w:t>“Key person” and/or other termination procedures</w:t>
            </w:r>
          </w:p>
        </w:tc>
      </w:tr>
    </w:tbl>
    <w:p w14:paraId="4C3BF048" w14:textId="77777777" w:rsidR="00000000" w:rsidRDefault="00D015D4">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210AE"/>
    <w:multiLevelType w:val="multilevel"/>
    <w:tmpl w:val="20F821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E0529"/>
    <w:multiLevelType w:val="multilevel"/>
    <w:tmpl w:val="6E4A7F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A94B4E"/>
    <w:multiLevelType w:val="multilevel"/>
    <w:tmpl w:val="4E0A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6840BD"/>
    <w:multiLevelType w:val="multilevel"/>
    <w:tmpl w:val="8500EA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0106E1"/>
    <w:multiLevelType w:val="multilevel"/>
    <w:tmpl w:val="184A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866696"/>
    <w:multiLevelType w:val="multilevel"/>
    <w:tmpl w:val="BF48C6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6D1BC9"/>
    <w:multiLevelType w:val="multilevel"/>
    <w:tmpl w:val="2F4841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857275"/>
    <w:multiLevelType w:val="multilevel"/>
    <w:tmpl w:val="A10A9F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6"/>
  </w:num>
  <w:num w:numId="5">
    <w:abstractNumId w:val="5"/>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015D4"/>
    <w:rsid w:val="00D01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3DE634"/>
  <w15:chartTrackingRefBased/>
  <w15:docId w15:val="{F382A41D-53C4-4B41-B4DA-12EB98195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245379">
      <w:marLeft w:val="0"/>
      <w:marRight w:val="0"/>
      <w:marTop w:val="0"/>
      <w:marBottom w:val="0"/>
      <w:divBdr>
        <w:top w:val="none" w:sz="0" w:space="0" w:color="auto"/>
        <w:left w:val="none" w:sz="0" w:space="0" w:color="auto"/>
        <w:bottom w:val="none" w:sz="0" w:space="0" w:color="auto"/>
        <w:right w:val="none" w:sz="0" w:space="0" w:color="auto"/>
      </w:divBdr>
    </w:div>
    <w:div w:id="148265022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521</Words>
  <Characters>2973</Characters>
  <Application>Microsoft Office Word</Application>
  <DocSecurity>0</DocSecurity>
  <Lines>24</Lines>
  <Paragraphs>6</Paragraphs>
  <ScaleCrop>false</ScaleCrop>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Peng</dc:creator>
  <cp:keywords/>
  <dc:description/>
  <cp:lastModifiedBy>Tian Peng</cp:lastModifiedBy>
  <cp:revision>2</cp:revision>
  <dcterms:created xsi:type="dcterms:W3CDTF">2021-10-02T23:51:00Z</dcterms:created>
  <dcterms:modified xsi:type="dcterms:W3CDTF">2021-10-02T23:51:00Z</dcterms:modified>
</cp:coreProperties>
</file>