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C811" w14:textId="77777777" w:rsidR="00000000" w:rsidRDefault="0051360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SS11-12 Equity</w:t>
      </w:r>
    </w:p>
    <w:p w14:paraId="239116DC" w14:textId="77777777" w:rsidR="00000000" w:rsidRDefault="0051360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5, 2021</w:t>
      </w:r>
    </w:p>
    <w:p w14:paraId="1026B1DE" w14:textId="77777777" w:rsidR="00000000" w:rsidRDefault="0051360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3:07 PM</w:t>
      </w:r>
    </w:p>
    <w:p w14:paraId="3782511D" w14:textId="77777777" w:rsidR="00000000" w:rsidRDefault="005136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6E999B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READING 36. MARKET ORGANIZATION AND STRUCTURE</w:t>
      </w:r>
    </w:p>
    <w:p w14:paraId="3707A181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CBB5AB" w14:textId="77777777" w:rsidR="00000000" w:rsidRDefault="0051360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main functions of the financial system</w:t>
      </w:r>
    </w:p>
    <w:p w14:paraId="340538DD" w14:textId="77777777" w:rsidR="00000000" w:rsidRDefault="00513606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classifications of assets and markets</w:t>
      </w:r>
    </w:p>
    <w:p w14:paraId="476344A9" w14:textId="77777777" w:rsidR="00000000" w:rsidRDefault="00513606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Real assets: real estate, </w:t>
      </w:r>
      <w:r>
        <w:rPr>
          <w:rFonts w:ascii="Calibri" w:eastAsia="Times New Roman" w:hAnsi="Calibri" w:cs="Calibri"/>
          <w:sz w:val="22"/>
          <w:szCs w:val="22"/>
        </w:rPr>
        <w:t xml:space="preserve">equipment, commodities, other physical assets; </w:t>
      </w:r>
      <w:r>
        <w:rPr>
          <w:rFonts w:ascii="Calibri" w:eastAsia="Times New Roman" w:hAnsi="Calibri" w:cs="Calibri"/>
          <w:b/>
          <w:bCs/>
          <w:sz w:val="22"/>
          <w:szCs w:val="22"/>
        </w:rPr>
        <w:t>Financial assets</w:t>
      </w:r>
      <w:r>
        <w:rPr>
          <w:rFonts w:ascii="Calibri" w:eastAsia="Times New Roman" w:hAnsi="Calibri" w:cs="Calibri"/>
          <w:sz w:val="22"/>
          <w:szCs w:val="22"/>
        </w:rPr>
        <w:t xml:space="preserve"> (can be classified as debt or equity):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Securities(stocks, bonds), derivatives, currencies </w:t>
      </w:r>
    </w:p>
    <w:p w14:paraId="464DE115" w14:textId="77777777" w:rsidR="00000000" w:rsidRDefault="0051360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Debt</w:t>
      </w:r>
      <w:r>
        <w:rPr>
          <w:rFonts w:ascii="Calibri" w:eastAsia="Times New Roman" w:hAnsi="Calibri" w:cs="Calibri"/>
          <w:sz w:val="22"/>
          <w:szCs w:val="22"/>
        </w:rPr>
        <w:t xml:space="preserve"> securities: promises to repay borrowed funds - bonds </w:t>
      </w:r>
    </w:p>
    <w:p w14:paraId="34C0CCBA" w14:textId="77777777" w:rsidR="00000000" w:rsidRDefault="0051360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Equity</w:t>
      </w:r>
      <w:r>
        <w:rPr>
          <w:rFonts w:ascii="Calibri" w:eastAsia="Times New Roman" w:hAnsi="Calibri" w:cs="Calibri"/>
          <w:sz w:val="22"/>
          <w:szCs w:val="22"/>
        </w:rPr>
        <w:t xml:space="preserve"> securities: represent ownership pos</w:t>
      </w:r>
      <w:r>
        <w:rPr>
          <w:rFonts w:ascii="Calibri" w:eastAsia="Times New Roman" w:hAnsi="Calibri" w:cs="Calibri"/>
          <w:sz w:val="22"/>
          <w:szCs w:val="22"/>
        </w:rPr>
        <w:t>itions - common, preferred, warrants</w:t>
      </w:r>
    </w:p>
    <w:p w14:paraId="637ADD33" w14:textId="77777777" w:rsidR="00000000" w:rsidRDefault="0051360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Publicly traded securities: trade on exchanges or thru dealers, subject to regulations</w:t>
      </w:r>
    </w:p>
    <w:p w14:paraId="7B84E15D" w14:textId="77777777" w:rsidR="00000000" w:rsidRDefault="0051360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Private securities: not traded in public markets, illiquid not subject to regulations</w:t>
      </w:r>
    </w:p>
    <w:p w14:paraId="33C6A5F2" w14:textId="77777777" w:rsidR="00000000" w:rsidRDefault="00513606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Derivative contracts: value depends on (or der</w:t>
      </w:r>
      <w:r>
        <w:rPr>
          <w:rFonts w:ascii="Calibri" w:eastAsia="Times New Roman" w:hAnsi="Calibri" w:cs="Calibri"/>
          <w:sz w:val="22"/>
          <w:szCs w:val="22"/>
        </w:rPr>
        <w:t>ives from) the value of other assets, ie equities, equity indexes, debt, debt index, other financial contracts; gold, oil, wheat</w:t>
      </w:r>
    </w:p>
    <w:p w14:paraId="66D903D0" w14:textId="77777777" w:rsidR="00000000" w:rsidRDefault="00513606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Spot market</w:t>
      </w:r>
      <w:r>
        <w:rPr>
          <w:rFonts w:ascii="Calibri" w:eastAsia="Times New Roman" w:hAnsi="Calibri" w:cs="Calibri"/>
          <w:sz w:val="22"/>
          <w:szCs w:val="22"/>
          <w:highlight w:val="yellow"/>
        </w:rPr>
        <w:t>s: markets for immediate delivery</w:t>
      </w:r>
      <w:r>
        <w:rPr>
          <w:rFonts w:ascii="Calibri" w:eastAsia="Times New Roman" w:hAnsi="Calibri" w:cs="Calibri"/>
          <w:sz w:val="22"/>
          <w:szCs w:val="22"/>
        </w:rPr>
        <w:t xml:space="preserve">[forwards, futures, options]. </w:t>
      </w:r>
      <w:r>
        <w:rPr>
          <w:rFonts w:ascii="Calibri" w:eastAsia="Times New Roman" w:hAnsi="Calibri" w:cs="Calibri"/>
          <w:b/>
          <w:bCs/>
          <w:sz w:val="22"/>
          <w:szCs w:val="22"/>
        </w:rPr>
        <w:t>Primary market</w:t>
      </w:r>
      <w:r>
        <w:rPr>
          <w:rFonts w:ascii="Calibri" w:eastAsia="Times New Roman" w:hAnsi="Calibri" w:cs="Calibri"/>
          <w:sz w:val="22"/>
          <w:szCs w:val="22"/>
        </w:rPr>
        <w:t xml:space="preserve">: for newly issued securities, private </w:t>
      </w:r>
      <w:r>
        <w:rPr>
          <w:rFonts w:ascii="Calibri" w:eastAsia="Times New Roman" w:hAnsi="Calibri" w:cs="Calibri"/>
          <w:sz w:val="22"/>
          <w:szCs w:val="22"/>
        </w:rPr>
        <w:t xml:space="preserve">placement, shelf registration, dividend reinvestment plan(DRP/DRIP), rights offering. </w:t>
      </w:r>
      <w:r>
        <w:rPr>
          <w:rFonts w:ascii="Calibri" w:eastAsia="Times New Roman" w:hAnsi="Calibri" w:cs="Calibri"/>
          <w:b/>
          <w:bCs/>
          <w:sz w:val="22"/>
          <w:szCs w:val="22"/>
        </w:rPr>
        <w:t>Secondary market</w:t>
      </w:r>
      <w:r>
        <w:rPr>
          <w:rFonts w:ascii="Calibri" w:eastAsia="Times New Roman" w:hAnsi="Calibri" w:cs="Calibri"/>
          <w:sz w:val="22"/>
          <w:szCs w:val="22"/>
        </w:rPr>
        <w:t xml:space="preserve">: subsequent sales of securities. </w:t>
      </w:r>
      <w:r>
        <w:rPr>
          <w:rFonts w:ascii="Calibri" w:eastAsia="Times New Roman" w:hAnsi="Calibri" w:cs="Calibri"/>
          <w:sz w:val="22"/>
          <w:szCs w:val="22"/>
          <w:highlight w:val="yellow"/>
        </w:rPr>
        <w:t xml:space="preserve">Money market: for debt securities with maturities of ≤1yr. </w:t>
      </w: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Capital market</w:t>
      </w:r>
      <w:r>
        <w:rPr>
          <w:rFonts w:ascii="Calibri" w:eastAsia="Times New Roman" w:hAnsi="Calibri" w:cs="Calibri"/>
          <w:sz w:val="22"/>
          <w:szCs w:val="22"/>
          <w:highlight w:val="yellow"/>
        </w:rPr>
        <w:t>: for long-term debt and equity securities with</w:t>
      </w:r>
      <w:r>
        <w:rPr>
          <w:rFonts w:ascii="Calibri" w:eastAsia="Times New Roman" w:hAnsi="Calibri" w:cs="Calibri"/>
          <w:sz w:val="22"/>
          <w:szCs w:val="22"/>
          <w:highlight w:val="yellow"/>
        </w:rPr>
        <w:t xml:space="preserve"> no specific maturity date. </w:t>
      </w:r>
      <w:r>
        <w:rPr>
          <w:rFonts w:ascii="Calibri" w:eastAsia="Times New Roman" w:hAnsi="Calibri" w:cs="Calibri"/>
          <w:b/>
          <w:bCs/>
          <w:sz w:val="22"/>
          <w:szCs w:val="22"/>
        </w:rPr>
        <w:t>Traditional investment</w:t>
      </w:r>
      <w:r>
        <w:rPr>
          <w:rFonts w:ascii="Calibri" w:eastAsia="Times New Roman" w:hAnsi="Calibri" w:cs="Calibri"/>
          <w:sz w:val="22"/>
          <w:szCs w:val="22"/>
        </w:rPr>
        <w:t xml:space="preserve"> market: debt &amp; equity; </w:t>
      </w:r>
      <w:r>
        <w:rPr>
          <w:rFonts w:ascii="Calibri" w:eastAsia="Times New Roman" w:hAnsi="Calibri" w:cs="Calibri"/>
          <w:b/>
          <w:bCs/>
          <w:sz w:val="22"/>
          <w:szCs w:val="22"/>
        </w:rPr>
        <w:t>alternative</w:t>
      </w:r>
      <w:r>
        <w:rPr>
          <w:rFonts w:ascii="Calibri" w:eastAsia="Times New Roman" w:hAnsi="Calibri" w:cs="Calibri"/>
          <w:sz w:val="22"/>
          <w:szCs w:val="22"/>
        </w:rPr>
        <w:t xml:space="preserve"> investment market: hedge funds, commodities, real estate, collectibles, gemstones, lease, equipment. (illiquid, due diligence, sell at discount)</w:t>
      </w:r>
    </w:p>
    <w:p w14:paraId="2E7426AB" w14:textId="77777777" w:rsidR="00000000" w:rsidRDefault="00513606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the major types </w:t>
      </w:r>
      <w:r>
        <w:rPr>
          <w:rFonts w:ascii="Calibri" w:eastAsia="Times New Roman" w:hAnsi="Calibri" w:cs="Calibri"/>
          <w:color w:val="2E75B5"/>
          <w:sz w:val="22"/>
          <w:szCs w:val="22"/>
        </w:rPr>
        <w:t>of securities, currencies, contracts, commodities, and real assets that trade in organized markets, including their distinguishing characteristics and major subtypes</w:t>
      </w:r>
    </w:p>
    <w:p w14:paraId="38FC3B5F" w14:textId="77777777" w:rsidR="00000000" w:rsidRDefault="0051360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Securities: fixed-income(debt-bonds, notes, commercial paper; convertible debt), equity, p</w:t>
      </w:r>
      <w:r>
        <w:rPr>
          <w:rFonts w:ascii="Calibri" w:eastAsia="Times New Roman" w:hAnsi="Calibri" w:cs="Calibri"/>
          <w:sz w:val="22"/>
          <w:szCs w:val="22"/>
        </w:rPr>
        <w:t xml:space="preserve">ooled investment vehicles(mutual funds, ETF/ETNotes, asset-backed securities, hedge funds); Currencies; Real assets; </w:t>
      </w:r>
    </w:p>
    <w:p w14:paraId="3F7E8FC4" w14:textId="77777777" w:rsidR="00000000" w:rsidRDefault="0051360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Contracts: forward, futures, </w:t>
      </w:r>
      <w:r>
        <w:rPr>
          <w:rFonts w:ascii="Calibri" w:eastAsia="Times New Roman" w:hAnsi="Calibri" w:cs="Calibri"/>
          <w:b/>
          <w:bCs/>
          <w:sz w:val="22"/>
          <w:szCs w:val="22"/>
        </w:rPr>
        <w:t>swap</w:t>
      </w:r>
      <w:r>
        <w:rPr>
          <w:rFonts w:ascii="Calibri" w:eastAsia="Times New Roman" w:hAnsi="Calibri" w:cs="Calibri"/>
          <w:sz w:val="22"/>
          <w:szCs w:val="22"/>
        </w:rPr>
        <w:t xml:space="preserve"> contract, options (put, call), insurance contract, </w:t>
      </w:r>
      <w:r>
        <w:rPr>
          <w:rFonts w:ascii="Calibri" w:eastAsia="Times New Roman" w:hAnsi="Calibri" w:cs="Calibri"/>
          <w:b/>
          <w:bCs/>
          <w:sz w:val="22"/>
          <w:szCs w:val="22"/>
        </w:rPr>
        <w:t>credit default swap</w:t>
      </w:r>
      <w:r>
        <w:rPr>
          <w:rFonts w:ascii="Calibri" w:eastAsia="Times New Roman" w:hAnsi="Calibri" w:cs="Calibri"/>
          <w:sz w:val="22"/>
          <w:szCs w:val="22"/>
        </w:rPr>
        <w:t>: insurance making payment if issu</w:t>
      </w:r>
      <w:r>
        <w:rPr>
          <w:rFonts w:ascii="Calibri" w:eastAsia="Times New Roman" w:hAnsi="Calibri" w:cs="Calibri"/>
          <w:sz w:val="22"/>
          <w:szCs w:val="22"/>
        </w:rPr>
        <w:t xml:space="preserve">ers defaults on bonds. </w:t>
      </w:r>
    </w:p>
    <w:p w14:paraId="755E2D63" w14:textId="77777777" w:rsidR="00000000" w:rsidRDefault="0051360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Commodity trade in spot, forward, futures market: metals, agriculture, energy, CO2 credit</w:t>
      </w:r>
    </w:p>
    <w:p w14:paraId="39003157" w14:textId="77777777" w:rsidR="00000000" w:rsidRDefault="00513606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of financial intermediaries and services that they provide</w:t>
      </w:r>
    </w:p>
    <w:p w14:paraId="5771B28B" w14:textId="77777777" w:rsidR="00000000" w:rsidRDefault="00513606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Financial intermediaries: </w:t>
      </w:r>
      <w:r>
        <w:rPr>
          <w:rFonts w:ascii="Calibri" w:eastAsia="Times New Roman" w:hAnsi="Calibri" w:cs="Calibri"/>
          <w:sz w:val="22"/>
          <w:szCs w:val="22"/>
        </w:rPr>
        <w:t xml:space="preserve">brokers(agent finding a counterparty to trade), dealers(trading directly as counterparty with client), exchanges, securitizers, depository institutions, insurance companies, arbitrageurs, </w:t>
      </w:r>
      <w:r>
        <w:rPr>
          <w:rFonts w:ascii="Calibri" w:eastAsia="Times New Roman" w:hAnsi="Calibri" w:cs="Calibri"/>
          <w:b/>
          <w:bCs/>
          <w:sz w:val="22"/>
          <w:szCs w:val="22"/>
        </w:rPr>
        <w:t>clearinghouse</w:t>
      </w:r>
      <w:r>
        <w:rPr>
          <w:rFonts w:ascii="Calibri" w:eastAsia="Times New Roman" w:hAnsi="Calibri" w:cs="Calibri"/>
          <w:sz w:val="22"/>
          <w:szCs w:val="22"/>
        </w:rPr>
        <w:t xml:space="preserve"> (counterparty risk), </w:t>
      </w:r>
      <w:r>
        <w:rPr>
          <w:rFonts w:ascii="Calibri" w:eastAsia="Times New Roman" w:hAnsi="Calibri" w:cs="Calibri"/>
          <w:b/>
          <w:bCs/>
          <w:sz w:val="22"/>
          <w:szCs w:val="22"/>
        </w:rPr>
        <w:t>custodians</w:t>
      </w:r>
      <w:r>
        <w:rPr>
          <w:rFonts w:ascii="Calibri" w:eastAsia="Times New Roman" w:hAnsi="Calibri" w:cs="Calibri"/>
          <w:sz w:val="22"/>
          <w:szCs w:val="22"/>
        </w:rPr>
        <w:t>(stop loss)</w:t>
      </w:r>
    </w:p>
    <w:p w14:paraId="3FDB5377" w14:textId="77777777" w:rsidR="00000000" w:rsidRDefault="00513606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pos</w:t>
      </w:r>
      <w:r>
        <w:rPr>
          <w:rFonts w:ascii="Calibri" w:eastAsia="Times New Roman" w:hAnsi="Calibri" w:cs="Calibri"/>
          <w:color w:val="2E75B5"/>
          <w:sz w:val="22"/>
          <w:szCs w:val="22"/>
        </w:rPr>
        <w:t>itions an investor can take in an asset</w:t>
      </w:r>
    </w:p>
    <w:p w14:paraId="5C1DD552" w14:textId="77777777" w:rsidR="00000000" w:rsidRDefault="00513606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leverage ratio, the rate of return on a margin transaction, and the security price at which the investor would receive a margin call</w:t>
      </w:r>
    </w:p>
    <w:p w14:paraId="7F8D8380" w14:textId="77777777" w:rsidR="00000000" w:rsidRDefault="00513606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Payments-in-lieu</w:t>
      </w:r>
      <w:r>
        <w:rPr>
          <w:rFonts w:ascii="Calibri" w:eastAsia="Times New Roman" w:hAnsi="Calibri" w:cs="Calibri"/>
          <w:sz w:val="22"/>
          <w:szCs w:val="22"/>
        </w:rPr>
        <w:t>: payments of all dividends or interest</w:t>
      </w:r>
      <w:r>
        <w:rPr>
          <w:rFonts w:ascii="Calibri" w:eastAsia="Times New Roman" w:hAnsi="Calibri" w:cs="Calibri"/>
          <w:sz w:val="22"/>
          <w:szCs w:val="22"/>
        </w:rPr>
        <w:t xml:space="preserve"> that lender would've got from sellers of short sales; portion of short sale interest is </w:t>
      </w:r>
      <w:r>
        <w:rPr>
          <w:rFonts w:ascii="Calibri" w:eastAsia="Times New Roman" w:hAnsi="Calibri" w:cs="Calibri"/>
          <w:b/>
          <w:bCs/>
          <w:sz w:val="22"/>
          <w:szCs w:val="22"/>
        </w:rPr>
        <w:t>short rebate rate</w:t>
      </w:r>
      <w:r>
        <w:rPr>
          <w:rFonts w:ascii="Calibri" w:eastAsia="Times New Roman" w:hAnsi="Calibri" w:cs="Calibri"/>
          <w:sz w:val="22"/>
          <w:szCs w:val="22"/>
        </w:rPr>
        <w:t xml:space="preserve">. </w:t>
      </w:r>
    </w:p>
    <w:p w14:paraId="72FAC819" w14:textId="77777777" w:rsidR="00000000" w:rsidRDefault="00513606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49E758A9" wp14:editId="4B413ABD">
            <wp:extent cx="53911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5800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773B5B" wp14:editId="192CCB9B">
            <wp:extent cx="3971925" cy="2667000"/>
            <wp:effectExtent l="0" t="0" r="9525" b="0"/>
            <wp:docPr id="2" name="Picture 2" descr="Shares purchased &#10;Purchase price per share &#10;Annual dividend per share &#10;Initial margin requirement &#10;Call money rate &#10;Commission per share &#10;Stock price after one year &#10;$100 &#10;$2.00 &#10;40% &#10;4% &#10;SO .05 &#10;$110 &#10;Calculate (1) the leverage ratio and (2) the investor's return on the margin transaction (return on &#10;equity) if the stock is sold at the end of one year. &#10;Answer: &#10;1. The leverage ratio = 1 / 0.40 = 2.5. &#10;2. The total purchase price is 1,000 x $100 = $100,000. The investor must post initial margin of &#10;40% x $100,000 — $40,000. The remaining $60,000 is borrowed. The commission on the &#10;purchase is 1,000 x $0.05 = $50. Thus, the total initial equity investment is $40,050. &#10;At the end of one year, the stock value is 1,000 x $110 = $110,000, for a gain of $9,950. Dividends &#10;received are 1,000 x $2.00 = $2,000. Interest paid is $60,000 x 4% = $2,400. The commission on the &#10;sale is 1,000 x $0.05 = $50. &#10;The gain on the transaction in one year is $9,950 + $2,000 — $2,400 — $50 = $9,500. The return on the &#10;equity investment is $9,500 / $40,050 = 23.72%. The investor's net return is less than the asset 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s purchased &#10;Purchase price per share &#10;Annual dividend per share &#10;Initial margin requirement &#10;Call money rate &#10;Commission per share &#10;Stock price after one year &#10;$100 &#10;$2.00 &#10;40% &#10;4% &#10;SO .05 &#10;$110 &#10;Calculate (1) the leverage ratio and (2) the investor's return on the margin transaction (return on &#10;equity) if the stock is sold at the end of one year. &#10;Answer: &#10;1. The leverage ratio = 1 / 0.40 = 2.5. &#10;2. The total purchase price is 1,000 x $100 = $100,000. The investor must post initial margin of &#10;40% x $100,000 — $40,000. The remaining $60,000 is borrowed. The commission on the &#10;purchase is 1,000 x $0.05 = $50. Thus, the total initial equity investment is $40,050. &#10;At the end of one year, the stock value is 1,000 x $110 = $110,000, for a gain of $9,950. Dividends &#10;received are 1,000 x $2.00 = $2,000. Interest paid is $60,000 x 4% = $2,400. The commission on the &#10;sale is 1,000 x $0.05 = $50. &#10;The gain on the transaction in one year is $9,950 + $2,000 — $2,400 — $50 = $9,500. The return on the &#10;equity investment is $9,500 / $40,050 = 23.72%. The investor's net return is less than the asset tota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C7A7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8BBFF7" wp14:editId="1A504B96">
            <wp:extent cx="3981450" cy="790575"/>
            <wp:effectExtent l="0" t="0" r="0" b="9525"/>
            <wp:docPr id="3" name="Picture 3" descr="return (10% price appreciation + 2% dividend — 12%) multiplied by the leverage ratio (12% x 2.5 — &#10;30%) because of the loan interest and commissions. &#10;We can also solve for the return on the margin transaction with the cash flow functions on a financial &#10;calculator. The initial cash outflow is the $40,000 initial margin + $50 purchase commission — &#10;$40,050. The inflow after one year is the $110,000 stock value + $2,000 dividends — $60,000 margin &#10;repayment — $2,400 margin interest — $50 sale commission = $49,550. Using the cash flow functions: &#10;CFO = -40,050; CFI = 49,550; CPT IRR = 23.72%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turn (10% price appreciation + 2% dividend — 12%) multiplied by the leverage ratio (12% x 2.5 — &#10;30%) because of the loan interest and commissions. &#10;We can also solve for the return on the margin transaction with the cash flow functions on a financial &#10;calculator. The initial cash outflow is the $40,000 initial margin + $50 purchase commission — &#10;$40,050. The inflow after one year is the $110,000 stock value + $2,000 dividends — $60,000 margin &#10;repayment — $2,400 margin interest — $50 sale commission = $49,550. Using the cash flow functions: &#10;CFO = -40,050; CFI = 49,550; CPT IRR = 23.72%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085E" w14:textId="77777777" w:rsidR="00000000" w:rsidRDefault="0051360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execution, validity, and clearing instructions</w:t>
      </w:r>
    </w:p>
    <w:p w14:paraId="1AC8C88E" w14:textId="77777777" w:rsidR="00000000" w:rsidRDefault="00513606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market orders with limit orders</w:t>
      </w:r>
    </w:p>
    <w:p w14:paraId="23C2B13A" w14:textId="77777777" w:rsidR="00000000" w:rsidRDefault="00513606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5707FB4" wp14:editId="17DFD770">
            <wp:extent cx="539115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B60A" w14:textId="77777777" w:rsidR="00000000" w:rsidRDefault="00513606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Day orders, good till canceled, immediate-or-c</w:t>
      </w:r>
      <w:r>
        <w:rPr>
          <w:rFonts w:ascii="Calibri" w:eastAsia="Times New Roman" w:hAnsi="Calibri" w:cs="Calibri"/>
          <w:sz w:val="20"/>
          <w:szCs w:val="20"/>
        </w:rPr>
        <w:t xml:space="preserve">ancel(fill-or-kill), good-on-close (market-on-close), good-on-open; </w:t>
      </w:r>
      <w:r>
        <w:rPr>
          <w:rFonts w:ascii="Calibri" w:eastAsia="Times New Roman" w:hAnsi="Calibri" w:cs="Calibri"/>
          <w:b/>
          <w:bCs/>
          <w:sz w:val="20"/>
          <w:szCs w:val="20"/>
        </w:rPr>
        <w:t>Stop loss orders</w:t>
      </w:r>
      <w:r>
        <w:rPr>
          <w:rFonts w:ascii="Calibri" w:eastAsia="Times New Roman" w:hAnsi="Calibri" w:cs="Calibri"/>
          <w:sz w:val="20"/>
          <w:szCs w:val="20"/>
        </w:rPr>
        <w:t xml:space="preserve"> (stop-sell when market falling, stop-buy when market rising). </w:t>
      </w:r>
    </w:p>
    <w:p w14:paraId="7EF591C5" w14:textId="77777777" w:rsidR="00000000" w:rsidRDefault="00513606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Define primary and secondary markets and explain how secondary markets support primary markets</w:t>
      </w:r>
    </w:p>
    <w:p w14:paraId="2DE62163" w14:textId="77777777" w:rsidR="00000000" w:rsidRDefault="0051360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Book building</w:t>
      </w:r>
      <w:r>
        <w:rPr>
          <w:rFonts w:ascii="Calibri" w:eastAsia="Times New Roman" w:hAnsi="Calibri" w:cs="Calibri"/>
          <w:sz w:val="20"/>
          <w:szCs w:val="20"/>
        </w:rPr>
        <w:t xml:space="preserve"> (book runner, accelerated book build): process of gathering </w:t>
      </w:r>
      <w:r>
        <w:rPr>
          <w:rFonts w:ascii="Calibri" w:eastAsia="Times New Roman" w:hAnsi="Calibri" w:cs="Calibri"/>
          <w:b/>
          <w:bCs/>
          <w:sz w:val="20"/>
          <w:szCs w:val="20"/>
        </w:rPr>
        <w:t>indications of interest</w:t>
      </w:r>
      <w:r>
        <w:rPr>
          <w:rFonts w:ascii="Calibri" w:eastAsia="Times New Roman" w:hAnsi="Calibri" w:cs="Calibri"/>
          <w:sz w:val="20"/>
          <w:szCs w:val="20"/>
        </w:rPr>
        <w:t xml:space="preserve">. </w:t>
      </w:r>
      <w:r>
        <w:rPr>
          <w:rFonts w:ascii="Calibri" w:eastAsia="Times New Roman" w:hAnsi="Calibri" w:cs="Calibri"/>
          <w:b/>
          <w:bCs/>
          <w:sz w:val="20"/>
          <w:szCs w:val="20"/>
        </w:rPr>
        <w:t>Underwritten</w:t>
      </w:r>
      <w:r>
        <w:rPr>
          <w:rFonts w:ascii="Calibri" w:eastAsia="Times New Roman" w:hAnsi="Calibri" w:cs="Calibri"/>
          <w:sz w:val="20"/>
          <w:szCs w:val="20"/>
        </w:rPr>
        <w:t xml:space="preserve"> offering: IB guarantee that issue sold at negotiated price; </w:t>
      </w:r>
      <w:r>
        <w:rPr>
          <w:rFonts w:ascii="Calibri" w:eastAsia="Times New Roman" w:hAnsi="Calibri" w:cs="Calibri"/>
          <w:b/>
          <w:bCs/>
          <w:sz w:val="20"/>
          <w:szCs w:val="20"/>
        </w:rPr>
        <w:t>Best efforts</w:t>
      </w:r>
      <w:r>
        <w:rPr>
          <w:rFonts w:ascii="Calibri" w:eastAsia="Times New Roman" w:hAnsi="Calibri" w:cs="Calibri"/>
          <w:sz w:val="20"/>
          <w:szCs w:val="20"/>
        </w:rPr>
        <w:t xml:space="preserve"> offering: IB=broker only, not obligated to buy unsold portion if undersubscribed iss</w:t>
      </w:r>
      <w:r>
        <w:rPr>
          <w:rFonts w:ascii="Calibri" w:eastAsia="Times New Roman" w:hAnsi="Calibri" w:cs="Calibri"/>
          <w:sz w:val="20"/>
          <w:szCs w:val="20"/>
        </w:rPr>
        <w:t xml:space="preserve">ue. </w:t>
      </w:r>
    </w:p>
    <w:p w14:paraId="709B9F50" w14:textId="77777777" w:rsidR="00000000" w:rsidRDefault="0051360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how securities, contracts, and currencies are traded in 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quote-driven</w:t>
      </w:r>
      <w:r>
        <w:rPr>
          <w:rFonts w:ascii="Calibri" w:eastAsia="Times New Roman" w:hAnsi="Calibri" w:cs="Calibri"/>
          <w:color w:val="2E75B5"/>
          <w:sz w:val="22"/>
          <w:szCs w:val="22"/>
        </w:rPr>
        <w:t>(aka dealer, price-driven, over-the-counter/OTC market)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 xml:space="preserve">, order-driven </w:t>
      </w:r>
      <w:r>
        <w:rPr>
          <w:rFonts w:ascii="Calibri" w:eastAsia="Times New Roman" w:hAnsi="Calibri" w:cs="Calibri"/>
          <w:color w:val="2E75B5"/>
          <w:sz w:val="22"/>
          <w:szCs w:val="22"/>
        </w:rPr>
        <w:t>(order matching, trade pricing rules)</w:t>
      </w:r>
      <w:r>
        <w:rPr>
          <w:rFonts w:ascii="Calibri" w:eastAsia="Times New Roman" w:hAnsi="Calibri" w:cs="Calibri"/>
          <w:b/>
          <w:bCs/>
          <w:color w:val="2E75B5"/>
          <w:sz w:val="22"/>
          <w:szCs w:val="22"/>
        </w:rPr>
        <w:t>, and brokered markets</w:t>
      </w:r>
    </w:p>
    <w:p w14:paraId="1D3BC3CA" w14:textId="77777777" w:rsidR="00000000" w:rsidRDefault="0051360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characteristics of a well-functioni</w:t>
      </w:r>
      <w:r>
        <w:rPr>
          <w:rFonts w:ascii="Calibri" w:eastAsia="Times New Roman" w:hAnsi="Calibri" w:cs="Calibri"/>
          <w:color w:val="2E75B5"/>
          <w:sz w:val="22"/>
          <w:szCs w:val="22"/>
        </w:rPr>
        <w:t>ng financial system</w:t>
      </w:r>
    </w:p>
    <w:p w14:paraId="18D2DC73" w14:textId="77777777" w:rsidR="00000000" w:rsidRDefault="0051360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Complete markets: savers, borrowers, hedgers, trades</w:t>
      </w:r>
    </w:p>
    <w:p w14:paraId="6C5FE6DD" w14:textId="77777777" w:rsidR="00000000" w:rsidRDefault="0051360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 xml:space="preserve">Operational efficiency: low trading cost </w:t>
      </w:r>
    </w:p>
    <w:p w14:paraId="3628AA3E" w14:textId="77777777" w:rsidR="00000000" w:rsidRDefault="0051360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 xml:space="preserve">Informational efficiency: prices reflect all fundamental information timely and quickly </w:t>
      </w:r>
    </w:p>
    <w:p w14:paraId="5117CD09" w14:textId="77777777" w:rsidR="00000000" w:rsidRDefault="0051360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 xml:space="preserve">Allocational efficiency: capital is directed to its </w:t>
      </w:r>
      <w:r>
        <w:rPr>
          <w:rFonts w:ascii="Calibri" w:eastAsia="Times New Roman" w:hAnsi="Calibri" w:cs="Calibri"/>
          <w:sz w:val="20"/>
          <w:szCs w:val="20"/>
        </w:rPr>
        <w:t xml:space="preserve">highest productive valued use. </w:t>
      </w:r>
    </w:p>
    <w:p w14:paraId="1921BB2C" w14:textId="77777777" w:rsidR="00000000" w:rsidRDefault="00513606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objectives of market regulation</w:t>
      </w:r>
    </w:p>
    <w:p w14:paraId="3E1645D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77827EE1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of the following is most similar to a short position in the underlying asset?</w:t>
      </w:r>
    </w:p>
    <w:p w14:paraId="644A70E7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lastRenderedPageBreak/>
        <w:t xml:space="preserve">A. Buying a put. </w:t>
      </w: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. Writing a put. C. Buying a call.</w:t>
      </w:r>
    </w:p>
    <w:p w14:paraId="16DA2ECE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Buying a put is most similar to a short position in the underlying asset because the put increases in value if the underlying asset value decreases. The writer of a put and the holder of a call have a long exposure to the underlying asset because their pos</w:t>
      </w:r>
      <w:r>
        <w:rPr>
          <w:rFonts w:ascii="Calibri" w:eastAsia="Times New Roman" w:hAnsi="Calibri" w:cs="Calibri"/>
          <w:sz w:val="22"/>
          <w:szCs w:val="22"/>
        </w:rPr>
        <w:t>itions increase in value if the underlying asset value increases. (Module 44.2, LOS 44.e)</w:t>
      </w:r>
    </w:p>
    <w:p w14:paraId="4B4242FE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0DFEB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Securities: </w:t>
      </w:r>
    </w:p>
    <w:p w14:paraId="4A6B0573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Fixed Income securities: </w:t>
      </w:r>
    </w:p>
    <w:p w14:paraId="06BCE6C5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 term: &lt;1 or 2yr. Eg. Commercial paper(firms), bills(govt), certificates of deposits(banks) are short-term securities. </w:t>
      </w:r>
    </w:p>
    <w:p w14:paraId="17EDCCD0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Intermediate term: maturity in middle of short term and long term </w:t>
      </w:r>
    </w:p>
    <w:p w14:paraId="18D718B6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Long term: maturity &gt;20 to 30yr </w:t>
      </w:r>
    </w:p>
    <w:p w14:paraId="0EDBCD18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Equity securities: </w:t>
      </w:r>
    </w:p>
    <w:p w14:paraId="2157D66E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Common stock: variable dividend (last preferred in liquid and dividend payment) </w:t>
      </w:r>
    </w:p>
    <w:p w14:paraId="41CA0317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Preferred stock: fixed dividend (second preferred in li</w:t>
      </w:r>
      <w:r>
        <w:rPr>
          <w:rFonts w:ascii="Calibri" w:eastAsia="Times New Roman" w:hAnsi="Calibri" w:cs="Calibri"/>
          <w:sz w:val="22"/>
          <w:szCs w:val="22"/>
        </w:rPr>
        <w:t>quidity and dividend payment)</w:t>
      </w:r>
    </w:p>
    <w:p w14:paraId="7DE56DFB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Cumulative: accrues for past unpaid dividends </w:t>
      </w:r>
    </w:p>
    <w:p w14:paraId="65B93436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Noncumulative: no accrue dividends that are undeclared and unpaid </w:t>
      </w:r>
    </w:p>
    <w:p w14:paraId="0D14E98A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Participating</w:t>
      </w:r>
      <w:r>
        <w:rPr>
          <w:rFonts w:ascii="Calibri" w:eastAsia="Times New Roman" w:hAnsi="Calibri" w:cs="Calibri"/>
          <w:sz w:val="22"/>
          <w:szCs w:val="22"/>
          <w:highlight w:val="yellow"/>
        </w:rPr>
        <w:t>: allow additional dividend payments if profits exceed threshold</w:t>
      </w:r>
    </w:p>
    <w:p w14:paraId="76501883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Nonparticipating: fixed dividends,</w:t>
      </w:r>
      <w:r>
        <w:rPr>
          <w:rFonts w:ascii="Calibri" w:eastAsia="Times New Roman" w:hAnsi="Calibri" w:cs="Calibri"/>
          <w:sz w:val="22"/>
          <w:szCs w:val="22"/>
        </w:rPr>
        <w:t xml:space="preserve"> no additional </w:t>
      </w:r>
    </w:p>
    <w:p w14:paraId="79C9616E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Convertible: can convert into common shares, less risk in underlying </w:t>
      </w:r>
    </w:p>
    <w:p w14:paraId="3DABC54D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Callable: issues to buy back </w:t>
      </w:r>
    </w:p>
    <w:p w14:paraId="01BCFD0F" w14:textId="77777777" w:rsidR="00000000" w:rsidRDefault="00513606">
      <w:pPr>
        <w:numPr>
          <w:ilvl w:val="3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Putable: investors to sell back </w:t>
      </w:r>
    </w:p>
    <w:p w14:paraId="4A44D302" w14:textId="77777777" w:rsidR="00000000" w:rsidRDefault="00513606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Warrants: similar to options, right to buy firm's equity shares at a fixed price prior to the warrant's exp</w:t>
      </w:r>
      <w:r>
        <w:rPr>
          <w:rFonts w:ascii="Calibri" w:eastAsia="Times New Roman" w:hAnsi="Calibri" w:cs="Calibri"/>
          <w:sz w:val="22"/>
          <w:szCs w:val="22"/>
        </w:rPr>
        <w:t xml:space="preserve">iration </w:t>
      </w:r>
    </w:p>
    <w:p w14:paraId="4D5FD429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5B10F8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Pool investment vehicles: </w:t>
      </w:r>
    </w:p>
    <w:p w14:paraId="70A6DF65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Mutual funds</w:t>
      </w:r>
      <w:r>
        <w:rPr>
          <w:rFonts w:ascii="Calibri" w:eastAsia="Times New Roman" w:hAnsi="Calibri" w:cs="Calibri"/>
          <w:sz w:val="22"/>
          <w:szCs w:val="22"/>
        </w:rPr>
        <w:t xml:space="preserve">: investors can purchase shares from fund itself (open-end funds) or in the secondary market (closed-end funds) </w:t>
      </w:r>
    </w:p>
    <w:p w14:paraId="4CD515B5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ETFs</w:t>
      </w:r>
      <w:r>
        <w:rPr>
          <w:rFonts w:ascii="Calibri" w:eastAsia="Times New Roman" w:hAnsi="Calibri" w:cs="Calibri"/>
          <w:sz w:val="22"/>
          <w:szCs w:val="22"/>
        </w:rPr>
        <w:t xml:space="preserve"> and ETNs: trade like </w:t>
      </w:r>
      <w:r>
        <w:rPr>
          <w:rFonts w:ascii="Calibri" w:eastAsia="Times New Roman" w:hAnsi="Calibri" w:cs="Calibri"/>
          <w:sz w:val="22"/>
          <w:szCs w:val="22"/>
        </w:rPr>
        <w:t xml:space="preserve">closed-end funds but have special provisions allowing conversion into individual portfolio securities, sometimes referred to as </w:t>
      </w:r>
      <w:r>
        <w:rPr>
          <w:rFonts w:ascii="Calibri" w:eastAsia="Times New Roman" w:hAnsi="Calibri" w:cs="Calibri"/>
          <w:b/>
          <w:bCs/>
          <w:sz w:val="22"/>
          <w:szCs w:val="22"/>
        </w:rPr>
        <w:t>depositories</w:t>
      </w:r>
      <w:r>
        <w:rPr>
          <w:rFonts w:ascii="Calibri" w:eastAsia="Times New Roman" w:hAnsi="Calibri" w:cs="Calibri"/>
          <w:sz w:val="22"/>
          <w:szCs w:val="22"/>
        </w:rPr>
        <w:t xml:space="preserve">, and their shares as depository receipts. </w:t>
      </w:r>
    </w:p>
    <w:p w14:paraId="25AEAFE0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Asset</w:t>
      </w:r>
      <w:r>
        <w:rPr>
          <w:rFonts w:ascii="Calibri" w:eastAsia="Times New Roman" w:hAnsi="Calibri" w:cs="Calibri"/>
          <w:sz w:val="22"/>
          <w:szCs w:val="22"/>
        </w:rPr>
        <w:t>-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backed securities</w:t>
      </w:r>
      <w:r>
        <w:rPr>
          <w:rFonts w:ascii="Calibri" w:eastAsia="Times New Roman" w:hAnsi="Calibri" w:cs="Calibri"/>
          <w:sz w:val="22"/>
          <w:szCs w:val="22"/>
        </w:rPr>
        <w:t>: represent a claim to a portion of a pool of mor</w:t>
      </w:r>
      <w:r>
        <w:rPr>
          <w:rFonts w:ascii="Calibri" w:eastAsia="Times New Roman" w:hAnsi="Calibri" w:cs="Calibri"/>
          <w:sz w:val="22"/>
          <w:szCs w:val="22"/>
        </w:rPr>
        <w:t xml:space="preserve">tgages, car loans, credit card debt etc. </w:t>
      </w:r>
    </w:p>
    <w:p w14:paraId="399DE62A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Hedge funds</w:t>
      </w:r>
      <w:r>
        <w:rPr>
          <w:rFonts w:ascii="Calibri" w:eastAsia="Times New Roman" w:hAnsi="Calibri" w:cs="Calibri"/>
          <w:sz w:val="22"/>
          <w:szCs w:val="22"/>
        </w:rPr>
        <w:t xml:space="preserve">: LLP, investors(limited partners), fund manager(general partner); mutual funds like structure for HNIs. Use leverage, hold long and short positions, use derivatives and invest in illiquid assets. </w:t>
      </w:r>
    </w:p>
    <w:p w14:paraId="79939F2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4DFA28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</w:t>
      </w:r>
      <w:r>
        <w:rPr>
          <w:rFonts w:ascii="Calibri" w:hAnsi="Calibri" w:cs="Calibri"/>
          <w:sz w:val="22"/>
          <w:szCs w:val="22"/>
        </w:rPr>
        <w:t xml:space="preserve">rency: issued by government's central bank. Reserve currencies: held by governments and central banks worldwide, primarily includes Dollar &amp; Euro. </w:t>
      </w:r>
    </w:p>
    <w:p w14:paraId="5D829996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4AED26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Contracts: </w:t>
      </w:r>
    </w:p>
    <w:p w14:paraId="3378CCF5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Forward contract: agreement to buy or sell an asset in the future at a price specified in the </w:t>
      </w:r>
      <w:r>
        <w:rPr>
          <w:rFonts w:ascii="Calibri" w:eastAsia="Times New Roman" w:hAnsi="Calibri" w:cs="Calibri"/>
          <w:sz w:val="22"/>
          <w:szCs w:val="22"/>
        </w:rPr>
        <w:t xml:space="preserve">contact at its inception. </w:t>
      </w:r>
    </w:p>
    <w:p w14:paraId="3C5B9A1D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Futures contract: similar to forward contracts except that standardized and exchange traded. </w:t>
      </w:r>
    </w:p>
    <w:p w14:paraId="21340C79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Option contracts: right and obligations to long or short in the future. </w:t>
      </w:r>
    </w:p>
    <w:p w14:paraId="64CF51CD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Swap contracts: agreement to exchange a series of payments on </w:t>
      </w:r>
      <w:r>
        <w:rPr>
          <w:rFonts w:ascii="Calibri" w:eastAsia="Times New Roman" w:hAnsi="Calibri" w:cs="Calibri"/>
          <w:sz w:val="22"/>
          <w:szCs w:val="22"/>
        </w:rPr>
        <w:t xml:space="preserve">periodic settlement dates. </w:t>
      </w:r>
      <w:r>
        <w:rPr>
          <w:rFonts w:ascii="Calibri" w:eastAsia="Times New Roman" w:hAnsi="Calibri" w:cs="Calibri"/>
          <w:b/>
          <w:bCs/>
          <w:sz w:val="22"/>
          <w:szCs w:val="22"/>
        </w:rPr>
        <w:t>Currency swap</w:t>
      </w:r>
      <w:r>
        <w:rPr>
          <w:rFonts w:ascii="Calibri" w:eastAsia="Times New Roman" w:hAnsi="Calibri" w:cs="Calibri"/>
          <w:sz w:val="22"/>
          <w:szCs w:val="22"/>
        </w:rPr>
        <w:t xml:space="preserve">: loan in one currency for the loan of another currency; </w:t>
      </w:r>
      <w:r>
        <w:rPr>
          <w:rFonts w:ascii="Calibri" w:eastAsia="Times New Roman" w:hAnsi="Calibri" w:cs="Calibri"/>
          <w:b/>
          <w:bCs/>
          <w:sz w:val="22"/>
          <w:szCs w:val="22"/>
        </w:rPr>
        <w:t>Equity swap</w:t>
      </w:r>
      <w:r>
        <w:rPr>
          <w:rFonts w:ascii="Calibri" w:eastAsia="Times New Roman" w:hAnsi="Calibri" w:cs="Calibri"/>
          <w:sz w:val="22"/>
          <w:szCs w:val="22"/>
        </w:rPr>
        <w:t xml:space="preserve">: exchange of return on an equity index for interest payment on debt </w:t>
      </w:r>
    </w:p>
    <w:p w14:paraId="00820922" w14:textId="77777777" w:rsidR="00000000" w:rsidRDefault="0051360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Insurance contracts: used to hedge against unfavorable, unexpected events. Cre</w:t>
      </w:r>
      <w:r>
        <w:rPr>
          <w:rFonts w:ascii="Calibri" w:eastAsia="Times New Roman" w:hAnsi="Calibri" w:cs="Calibri"/>
          <w:sz w:val="22"/>
          <w:szCs w:val="22"/>
        </w:rPr>
        <w:t>dit default swaps(</w:t>
      </w:r>
      <w:r>
        <w:rPr>
          <w:rFonts w:ascii="Calibri" w:eastAsia="Times New Roman" w:hAnsi="Calibri" w:cs="Calibri"/>
          <w:b/>
          <w:bCs/>
          <w:sz w:val="22"/>
          <w:szCs w:val="22"/>
        </w:rPr>
        <w:t>CDS</w:t>
      </w:r>
      <w:r>
        <w:rPr>
          <w:rFonts w:ascii="Calibri" w:eastAsia="Times New Roman" w:hAnsi="Calibri" w:cs="Calibri"/>
          <w:sz w:val="22"/>
          <w:szCs w:val="22"/>
        </w:rPr>
        <w:t xml:space="preserve">): form of insurance that makes a payment if an issuer defaults on its bonds. </w:t>
      </w:r>
    </w:p>
    <w:p w14:paraId="17A500CC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1C425E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Commodities: trade in spot, forward, futures market. </w:t>
      </w:r>
    </w:p>
    <w:p w14:paraId="472ACE3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36607F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 estate: real estate, equipment, machinery, REIT(high dividend payouts and tax advantage), mas</w:t>
      </w:r>
      <w:r>
        <w:rPr>
          <w:rFonts w:ascii="Calibri" w:hAnsi="Calibri" w:cs="Calibri"/>
          <w:sz w:val="22"/>
          <w:szCs w:val="22"/>
        </w:rPr>
        <w:t xml:space="preserve">ter limited partnership(MLP), etc. Buy real estate directly provides income, tax benefits, diversification benefits, but require to do substantial due diligence before investing cuz of heterogenous nature. </w:t>
      </w:r>
    </w:p>
    <w:p w14:paraId="5120CCFD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4F27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89C43" wp14:editId="3F6F6F23">
            <wp:extent cx="4562475" cy="876300"/>
            <wp:effectExtent l="0" t="0" r="9525" b="0"/>
            <wp:docPr id="5" name="Picture 5" descr="Trailing P/E &#10;Forvvard &#10;Numerator &#10;Denominator &#10;Current price &#10;Past earnings &#10;Future earnings &#10;Justified forward P/E &#10;Justified by future flows &#10;(free cash flow, dividends) &#10;Future earnin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iling P/E &#10;Forvvard &#10;Numerator &#10;Denominator &#10;Current price &#10;Past earnings &#10;Future earnings &#10;Justified forward P/E &#10;Justified by future flows &#10;(free cash flow, dividends) &#10;Future earning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3A18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075F6B" wp14:editId="02E458AD">
            <wp:extent cx="56388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634B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Business risk consists of </w:t>
      </w:r>
      <w:r>
        <w:rPr>
          <w:rFonts w:ascii="Calibri" w:hAnsi="Calibri" w:cs="Calibri"/>
          <w:b/>
          <w:bCs/>
          <w:sz w:val="22"/>
          <w:szCs w:val="22"/>
        </w:rPr>
        <w:t>operating</w:t>
      </w:r>
      <w:r>
        <w:rPr>
          <w:rFonts w:ascii="Calibri" w:hAnsi="Calibri" w:cs="Calibri"/>
          <w:sz w:val="22"/>
          <w:szCs w:val="22"/>
        </w:rPr>
        <w:t xml:space="preserve"> risk (company's cost structure and level of fixed cost)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b/>
          <w:bCs/>
          <w:sz w:val="22"/>
          <w:szCs w:val="22"/>
        </w:rPr>
        <w:t>sales</w:t>
      </w:r>
      <w:r>
        <w:rPr>
          <w:rFonts w:ascii="Calibri" w:hAnsi="Calibri" w:cs="Calibri"/>
          <w:sz w:val="22"/>
          <w:szCs w:val="22"/>
        </w:rPr>
        <w:t xml:space="preserve"> risk (uncertainty to generate sales due to variability in price and volume of G&amp;S)</w:t>
      </w:r>
    </w:p>
    <w:p w14:paraId="04B9ED0C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C78CB2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37. SECURITY MARKET INDEXES: </w:t>
      </w:r>
    </w:p>
    <w:p w14:paraId="616D7BDC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596CA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a security market index</w:t>
      </w:r>
    </w:p>
    <w:p w14:paraId="62E6A47D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Calculate and interpret the </w:t>
      </w:r>
      <w:r>
        <w:rPr>
          <w:rFonts w:ascii="Calibri" w:eastAsia="Times New Roman" w:hAnsi="Calibri" w:cs="Calibri"/>
          <w:color w:val="2E75B5"/>
          <w:sz w:val="22"/>
          <w:szCs w:val="22"/>
        </w:rPr>
        <w:t>value, price return, and total return of an index</w:t>
      </w:r>
    </w:p>
    <w:p w14:paraId="454138D6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choices and issues in index construction and management</w:t>
      </w:r>
    </w:p>
    <w:p w14:paraId="722E3305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the different weighting methods used in index construction</w:t>
      </w:r>
    </w:p>
    <w:p w14:paraId="71683961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analyze the value and return of an index given its weigh</w:t>
      </w:r>
      <w:r>
        <w:rPr>
          <w:rFonts w:ascii="Calibri" w:eastAsia="Times New Roman" w:hAnsi="Calibri" w:cs="Calibri"/>
          <w:color w:val="2E75B5"/>
          <w:sz w:val="22"/>
          <w:szCs w:val="22"/>
        </w:rPr>
        <w:t>ting method</w:t>
      </w:r>
    </w:p>
    <w:p w14:paraId="466E341A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rebalancing and reconstitution of an index</w:t>
      </w:r>
    </w:p>
    <w:p w14:paraId="0CD198A6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uses of security market indexes</w:t>
      </w:r>
    </w:p>
    <w:p w14:paraId="5FD9CB8E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of equity indexes</w:t>
      </w:r>
    </w:p>
    <w:p w14:paraId="4162E9B7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2A9F4C" wp14:editId="372DCDCD">
            <wp:extent cx="3467100" cy="1571625"/>
            <wp:effectExtent l="0" t="0" r="0" b="9525"/>
            <wp:docPr id="7" name="Picture 7" descr="Broad market &#10;index &#10;Usually contains &#10;a large &#10;component of &#10;the market's &#10;total value &#10;Multi-market &#10;index &#10;It is used to &#10;measure the &#10;equity returns of &#10;a geographic &#10;location &#10;Contains the &#10;indexes of &#10;several countries &#10;es of equity indices &#10;Multi-market index &#10;with fundamental &#10;weighting &#10;Uses market &#10;capitalization &#10;Sector index &#10;weighting for &#10;securities Within a &#10;country's market &#10;but weight the &#10;countries within &#10;the global index &#10;by a fundamental &#10;factor &#10;Measures returns &#10;for a sector (Eg. &#10;pharmaceuticals) &#10;Style index &#10;Measures value or &#10;growth strategies &#10;Higher constituent &#10;turnover than &#10;broad market &#10;index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oad market &#10;index &#10;Usually contains &#10;a large &#10;component of &#10;the market's &#10;total value &#10;Multi-market &#10;index &#10;It is used to &#10;measure the &#10;equity returns of &#10;a geographic &#10;location &#10;Contains the &#10;indexes of &#10;several countries &#10;es of equity indices &#10;Multi-market index &#10;with fundamental &#10;weighting &#10;Uses market &#10;capitalization &#10;Sector index &#10;weighting for &#10;securities Within a &#10;country's market &#10;but weight the &#10;countries within &#10;the global index &#10;by a fundamental &#10;factor &#10;Measures returns &#10;for a sector (Eg. &#10;pharmaceuticals) &#10;Style index &#10;Measures value or &#10;growth strategies &#10;Higher constituent &#10;turnover than &#10;broad market &#10;indexe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F73D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3CFBDD" wp14:editId="05974C5E">
            <wp:extent cx="3495675" cy="2257425"/>
            <wp:effectExtent l="0" t="0" r="9525" b="9525"/>
            <wp:docPr id="8" name="Picture 8" descr="Categories of equity indexes &#10;Most securities of an entire equity &#10;Broad market &#10;market &#10;• Blends indexes from different countries &#10;Multimarket &#10;Proxy for regional or global investing &#10;• Based on same sector (eg, finance, &#10;health care) &#10;• Can be different sizes (eg; large cap, &#10;small cap) and different styles (ie; value &#10;vs. growth) &#10;• Can be national, regional; or global &#10;• Can be different sectors &#10;• Based on same Size (eg, large cap) or &#10;Style &#10;style (ie, value vs. grovhh) &#10;• Can be national, regional; or global &#10;Russell 3000, Wilshire 5000 &#10;(both cover LIS equities) &#10;DJIA and FTSE 100 &#10;European energy index &#10;Asian large-cap ind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tegories of equity indexes &#10;Most securities of an entire equity &#10;Broad market &#10;market &#10;• Blends indexes from different countries &#10;Multimarket &#10;Proxy for regional or global investing &#10;• Based on same sector (eg, finance, &#10;health care) &#10;• Can be different sizes (eg; large cap, &#10;small cap) and different styles (ie; value &#10;vs. growth) &#10;• Can be national, regional; or global &#10;• Can be different sectors &#10;• Based on same Size (eg, large cap) or &#10;Style &#10;style (ie, value vs. grovhh) &#10;• Can be national, regional; or global &#10;Russell 3000, Wilshire 5000 &#10;(both cover LIS equities) &#10;DJIA and FTSE 100 &#10;European energy index &#10;Asian large-cap index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85E6" w14:textId="77777777" w:rsidR="00000000" w:rsidRDefault="00513606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Multimarket</w:t>
      </w:r>
      <w:r>
        <w:rPr>
          <w:rFonts w:ascii="Calibri" w:eastAsia="Times New Roman" w:hAnsi="Calibri" w:cs="Calibri"/>
          <w:sz w:val="22"/>
          <w:szCs w:val="22"/>
        </w:rPr>
        <w:t xml:space="preserve">: measure the equity returns of a geographic location, eg. From countries deemed emerging markets. </w:t>
      </w:r>
    </w:p>
    <w:p w14:paraId="0B3E9EE0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Multi-market index w fundamental weighting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use market capitalization for securities within a country's market but weight the country by a fundamental factor. </w:t>
      </w:r>
    </w:p>
    <w:p w14:paraId="7C61B470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Style</w:t>
      </w:r>
      <w:r>
        <w:rPr>
          <w:rFonts w:ascii="Calibri" w:hAnsi="Calibri" w:cs="Calibri"/>
          <w:sz w:val="22"/>
          <w:szCs w:val="22"/>
        </w:rPr>
        <w:t xml:space="preserve"> index: value index, growth index. </w:t>
      </w:r>
    </w:p>
    <w:p w14:paraId="4B542E50" w14:textId="77777777" w:rsidR="00000000" w:rsidRDefault="00513606">
      <w:pPr>
        <w:numPr>
          <w:ilvl w:val="1"/>
          <w:numId w:val="18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types of fixed-income indexes</w:t>
      </w:r>
    </w:p>
    <w:p w14:paraId="77819631" w14:textId="77777777" w:rsidR="00000000" w:rsidRDefault="00513606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596806" wp14:editId="38F878A9">
            <wp:extent cx="4105275" cy="1200150"/>
            <wp:effectExtent l="0" t="0" r="9525" b="0"/>
            <wp:docPr id="9" name="Picture 9" descr="LOS i &#10;Types of fixed-income indices &#10;+ Fixed income indexes can be classified by issuer, collateral, coupon, maturity, default &#10;risk and inflation protection &#10;Fixed income security universe is much broader than the equity universe &#10;+ Since fixed income securities mature, they must be replaced in fixed income indexes. As &#10;a result, fixed income indexes have a high turnover &#10;+ Fixed income securities are primarily traded by dealers, so index providers have to &#10;depend on dealers for recent pri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S i &#10;Types of fixed-income indices &#10;+ Fixed income indexes can be classified by issuer, collateral, coupon, maturity, default &#10;risk and inflation protection &#10;Fixed income security universe is much broader than the equity universe &#10;+ Since fixed income securities mature, they must be replaced in fixed income indexes. As &#10;a result, fixed income indexes have a high turnover &#10;+ Fixed income securities are primarily traded by dealers, so index providers have to &#10;depend on dealers for recent prices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BB8E" w14:textId="77777777" w:rsidR="00000000" w:rsidRDefault="00513606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Issuer: corporations, government, sovereign, etc. collateral: secured or unsecured. Default risk: investme</w:t>
      </w:r>
      <w:r>
        <w:rPr>
          <w:rFonts w:ascii="Calibri" w:eastAsia="Times New Roman" w:hAnsi="Calibri" w:cs="Calibri"/>
          <w:sz w:val="22"/>
          <w:szCs w:val="22"/>
        </w:rPr>
        <w:t xml:space="preserve">nt rated. </w:t>
      </w:r>
    </w:p>
    <w:p w14:paraId="5D0703D6" w14:textId="77777777" w:rsidR="00000000" w:rsidRDefault="00513606">
      <w:pPr>
        <w:numPr>
          <w:ilvl w:val="1"/>
          <w:numId w:val="20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indexes representing alternative investments</w:t>
      </w:r>
    </w:p>
    <w:p w14:paraId="712B0CFE" w14:textId="77777777" w:rsidR="00000000" w:rsidRDefault="00513606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Commodity</w:t>
      </w:r>
      <w:r>
        <w:rPr>
          <w:rFonts w:ascii="Calibri" w:eastAsia="Times New Roman" w:hAnsi="Calibri" w:cs="Calibri"/>
          <w:sz w:val="22"/>
          <w:szCs w:val="22"/>
        </w:rPr>
        <w:t xml:space="preserve"> index: based on commodity futures not spot prices, to gain exposure to underlying commodities in each index; 3sources of return for </w:t>
      </w:r>
      <w:r>
        <w:rPr>
          <w:rFonts w:ascii="Calibri" w:eastAsia="Times New Roman" w:hAnsi="Calibri" w:cs="Calibri"/>
          <w:b/>
          <w:bCs/>
          <w:sz w:val="22"/>
          <w:szCs w:val="22"/>
        </w:rPr>
        <w:t>commodity futures</w:t>
      </w:r>
      <w:r>
        <w:rPr>
          <w:rFonts w:ascii="Calibri" w:eastAsia="Times New Roman" w:hAnsi="Calibri" w:cs="Calibri"/>
          <w:sz w:val="22"/>
          <w:szCs w:val="22"/>
        </w:rPr>
        <w:t xml:space="preserve"> contracts: </w:t>
      </w:r>
      <w:r>
        <w:rPr>
          <w:rFonts w:ascii="Calibri" w:eastAsia="Times New Roman" w:hAnsi="Calibri" w:cs="Calibri"/>
          <w:b/>
          <w:bCs/>
          <w:sz w:val="22"/>
          <w:szCs w:val="22"/>
        </w:rPr>
        <w:t>roll yield</w:t>
      </w:r>
      <w:r>
        <w:rPr>
          <w:rFonts w:ascii="Calibri" w:eastAsia="Times New Roman" w:hAnsi="Calibri" w:cs="Calibri"/>
          <w:sz w:val="22"/>
          <w:szCs w:val="22"/>
        </w:rPr>
        <w:t xml:space="preserve">(return of futures price converge with spot price as contract approaches expiration; forward curve upward sloping[futures&gt;spot] is </w:t>
      </w:r>
      <w:r>
        <w:rPr>
          <w:rFonts w:ascii="Calibri" w:eastAsia="Times New Roman" w:hAnsi="Calibri" w:cs="Calibri"/>
          <w:b/>
          <w:bCs/>
          <w:sz w:val="22"/>
          <w:szCs w:val="22"/>
        </w:rPr>
        <w:t>contango</w:t>
      </w:r>
      <w:r>
        <w:rPr>
          <w:rFonts w:ascii="Calibri" w:eastAsia="Times New Roman" w:hAnsi="Calibri" w:cs="Calibri"/>
          <w:sz w:val="22"/>
          <w:szCs w:val="22"/>
        </w:rPr>
        <w:t xml:space="preserve">, roll yield is negative for trader with long futures; downward sloping[futures&lt;spot] is </w:t>
      </w:r>
      <w:r>
        <w:rPr>
          <w:rFonts w:ascii="Calibri" w:eastAsia="Times New Roman" w:hAnsi="Calibri" w:cs="Calibri"/>
          <w:b/>
          <w:bCs/>
          <w:sz w:val="22"/>
          <w:szCs w:val="22"/>
        </w:rPr>
        <w:t>backwardation</w:t>
      </w:r>
      <w:r>
        <w:rPr>
          <w:rFonts w:ascii="Calibri" w:eastAsia="Times New Roman" w:hAnsi="Calibri" w:cs="Calibri"/>
          <w:sz w:val="22"/>
          <w:szCs w:val="22"/>
        </w:rPr>
        <w:t>), collateral y</w:t>
      </w:r>
      <w:r>
        <w:rPr>
          <w:rFonts w:ascii="Calibri" w:eastAsia="Times New Roman" w:hAnsi="Calibri" w:cs="Calibri"/>
          <w:sz w:val="22"/>
          <w:szCs w:val="22"/>
        </w:rPr>
        <w:t xml:space="preserve">ield, change in spot price. Index's return (measured by futures price Δ) differ from commodity's return (measured by spot price Δ). </w:t>
      </w:r>
    </w:p>
    <w:p w14:paraId="1B9E6DD4" w14:textId="77777777" w:rsidR="00000000" w:rsidRDefault="00513606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F39B400" wp14:editId="53BB3E36">
            <wp:extent cx="53816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13BE" w14:textId="77777777" w:rsidR="00000000" w:rsidRDefault="00513606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Appraisal index: </w:t>
      </w:r>
    </w:p>
    <w:p w14:paraId="0D4A1C92" w14:textId="77777777" w:rsidR="00000000" w:rsidRDefault="00513606">
      <w:pPr>
        <w:numPr>
          <w:ilvl w:val="1"/>
          <w:numId w:val="22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types of security market indexes</w:t>
      </w:r>
    </w:p>
    <w:p w14:paraId="6F36B785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2B6925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38. MARKET EFFICIENCY </w:t>
      </w:r>
    </w:p>
    <w:p w14:paraId="196D85CA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</w:t>
      </w:r>
      <w:r>
        <w:rPr>
          <w:rFonts w:ascii="Calibri" w:eastAsia="Times New Roman" w:hAnsi="Calibri" w:cs="Calibri"/>
          <w:color w:val="2E75B5"/>
          <w:sz w:val="22"/>
          <w:szCs w:val="22"/>
        </w:rPr>
        <w:t>market efficiency and related concepts, including their importance to investment practitioners</w:t>
      </w:r>
    </w:p>
    <w:p w14:paraId="19B24597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Distinguish between market value and intrinsic value</w:t>
      </w:r>
    </w:p>
    <w:p w14:paraId="672475F7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factors that affect a market’s efficiency</w:t>
      </w:r>
    </w:p>
    <w:p w14:paraId="7CCE62D6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Contrast weak-form, semi-strong-form, and strong-form mark</w:t>
      </w:r>
      <w:r>
        <w:rPr>
          <w:rFonts w:ascii="Calibri" w:eastAsia="Times New Roman" w:hAnsi="Calibri" w:cs="Calibri"/>
          <w:color w:val="2E75B5"/>
          <w:sz w:val="22"/>
          <w:szCs w:val="22"/>
        </w:rPr>
        <w:t>et efficiency</w:t>
      </w:r>
    </w:p>
    <w:p w14:paraId="14B2B158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implications of each form of market efficiency for fundamental analysis, technical analysis, and the choice between active and passive portfolio management</w:t>
      </w:r>
    </w:p>
    <w:p w14:paraId="264A2B5A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market anomalies</w:t>
      </w:r>
    </w:p>
    <w:p w14:paraId="066DDFE2" w14:textId="77777777" w:rsidR="00000000" w:rsidRDefault="00513606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behavioral finance and its potential re</w:t>
      </w:r>
      <w:r>
        <w:rPr>
          <w:rFonts w:ascii="Calibri" w:eastAsia="Times New Roman" w:hAnsi="Calibri" w:cs="Calibri"/>
          <w:color w:val="2E75B5"/>
          <w:sz w:val="22"/>
          <w:szCs w:val="22"/>
        </w:rPr>
        <w:t>levance to understanding market anomalies</w:t>
      </w:r>
    </w:p>
    <w:p w14:paraId="40329FD1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29F009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39. OVERVIEW OF EQUTIY SECURITIES </w:t>
      </w:r>
    </w:p>
    <w:p w14:paraId="70EA84AC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characteristics of types of equity securities</w:t>
      </w:r>
    </w:p>
    <w:p w14:paraId="6FF0C0FA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differences in voting rights and other ownership characteristics among different equity classes</w:t>
      </w:r>
    </w:p>
    <w:p w14:paraId="022838D3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Distingui</w:t>
      </w:r>
      <w:r>
        <w:rPr>
          <w:rFonts w:ascii="Calibri" w:eastAsia="Times New Roman" w:hAnsi="Calibri" w:cs="Calibri"/>
          <w:color w:val="2E75B5"/>
          <w:sz w:val="22"/>
          <w:szCs w:val="22"/>
        </w:rPr>
        <w:t>sh between public and private equity securities</w:t>
      </w:r>
    </w:p>
    <w:p w14:paraId="5C18AFD2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methods for investing in non-domestic equity securities</w:t>
      </w:r>
    </w:p>
    <w:p w14:paraId="3A1DFBD6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the risk and return characteristics of different types of equity securities</w:t>
      </w:r>
    </w:p>
    <w:p w14:paraId="2B53047B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role of equity securities in the financing of a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company’s assets</w:t>
      </w:r>
    </w:p>
    <w:p w14:paraId="2ADF9DF4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Distinguish between the market value and book value of equity securities</w:t>
      </w:r>
    </w:p>
    <w:p w14:paraId="5FBB671D" w14:textId="77777777" w:rsidR="00000000" w:rsidRDefault="00513606">
      <w:pPr>
        <w:numPr>
          <w:ilvl w:val="1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a company’s cost of equity, its (accounting) return on equity, and investors’ required rates of return</w:t>
      </w:r>
    </w:p>
    <w:p w14:paraId="336FBCB2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6C77D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40. INDUSTRY AND COMPANY ANALYSIS </w:t>
      </w:r>
    </w:p>
    <w:p w14:paraId="793FE38B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uses of industry analysis and the relation of industry analysis to company analysis</w:t>
      </w:r>
    </w:p>
    <w:p w14:paraId="2309433C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methods by which companies can be grouped, current industry classification systems, and classify a company, given a description of its activities and the cl</w:t>
      </w:r>
      <w:r>
        <w:rPr>
          <w:rFonts w:ascii="Calibri" w:eastAsia="Times New Roman" w:hAnsi="Calibri" w:cs="Calibri"/>
          <w:color w:val="2E75B5"/>
          <w:sz w:val="22"/>
          <w:szCs w:val="22"/>
        </w:rPr>
        <w:t>assification system</w:t>
      </w:r>
    </w:p>
    <w:p w14:paraId="35651277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factors that affect the sensitivity of a company to the business cycle and the uses and limitations of industry and company descriptors such as “growth,” “defensive,” and “cyclical”</w:t>
      </w:r>
    </w:p>
    <w:p w14:paraId="01822584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how a company’s industry classific</w:t>
      </w:r>
      <w:r>
        <w:rPr>
          <w:rFonts w:ascii="Calibri" w:eastAsia="Times New Roman" w:hAnsi="Calibri" w:cs="Calibri"/>
          <w:color w:val="2E75B5"/>
          <w:sz w:val="22"/>
          <w:szCs w:val="22"/>
        </w:rPr>
        <w:t>ation can be used to identify a potential “peer group” for equity valuation</w:t>
      </w:r>
    </w:p>
    <w:p w14:paraId="78E5FAF6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elements that need to be covered in a thorough industry analysis</w:t>
      </w:r>
    </w:p>
    <w:p w14:paraId="29D9B08C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principles of strategic analysis of an industry</w:t>
      </w:r>
    </w:p>
    <w:p w14:paraId="1F56AF92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effects of barriers to entry, industry concentration, industry capacity, and market share stability on pricing power and price competition</w:t>
      </w:r>
    </w:p>
    <w:p w14:paraId="5B9A3D2B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industry life cycle models, classify an industry as to life cycle stage, and describe limitation</w:t>
      </w:r>
      <w:r>
        <w:rPr>
          <w:rFonts w:ascii="Calibri" w:eastAsia="Times New Roman" w:hAnsi="Calibri" w:cs="Calibri"/>
          <w:color w:val="2E75B5"/>
          <w:sz w:val="22"/>
          <w:szCs w:val="22"/>
        </w:rPr>
        <w:t>s of the life-cycle concept in forecasting industry performance</w:t>
      </w:r>
    </w:p>
    <w:p w14:paraId="47297F40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Compare characteristics of representative industries from the various economic sectors</w:t>
      </w:r>
    </w:p>
    <w:p w14:paraId="1E0391EB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macroeconomic, technological, demographic, governmental, and social influences on industry growt</w:t>
      </w:r>
      <w:r>
        <w:rPr>
          <w:rFonts w:ascii="Calibri" w:eastAsia="Times New Roman" w:hAnsi="Calibri" w:cs="Calibri"/>
          <w:color w:val="2E75B5"/>
          <w:sz w:val="22"/>
          <w:szCs w:val="22"/>
        </w:rPr>
        <w:t>h, profitability, and risk</w:t>
      </w:r>
    </w:p>
    <w:p w14:paraId="0A01ABC8" w14:textId="77777777" w:rsidR="00000000" w:rsidRDefault="00513606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elements that should be covered in a thorough company analysis</w:t>
      </w:r>
    </w:p>
    <w:p w14:paraId="7D27CF1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41022A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D10DA" w14:textId="77777777" w:rsidR="00000000" w:rsidRDefault="00513606">
      <w:pPr>
        <w:pStyle w:val="Heading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READING 41. EQUITY VALUATION: CONCEPTS AND BASIC TOOLS </w:t>
      </w:r>
    </w:p>
    <w:p w14:paraId="127C3DF6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Evaluate whether a security, given its current market price and a value estimate, is overvalu</w:t>
      </w:r>
      <w:r>
        <w:rPr>
          <w:rFonts w:ascii="Calibri" w:eastAsia="Times New Roman" w:hAnsi="Calibri" w:cs="Calibri"/>
          <w:color w:val="2E75B5"/>
          <w:sz w:val="22"/>
          <w:szCs w:val="22"/>
        </w:rPr>
        <w:t>ed, fairly valued, or undervalued by the market</w:t>
      </w:r>
    </w:p>
    <w:p w14:paraId="4361B3C6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major categories of equity valuation models</w:t>
      </w:r>
    </w:p>
    <w:p w14:paraId="163A8F9E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regular cash dividends, extra dividends, stock dividends, stock splits, reverse stock splits, and share repurchases</w:t>
      </w:r>
    </w:p>
    <w:p w14:paraId="5FA46E52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dividend payment chro</w:t>
      </w:r>
      <w:r>
        <w:rPr>
          <w:rFonts w:ascii="Calibri" w:eastAsia="Times New Roman" w:hAnsi="Calibri" w:cs="Calibri"/>
          <w:color w:val="2E75B5"/>
          <w:sz w:val="22"/>
          <w:szCs w:val="22"/>
        </w:rPr>
        <w:t>nology</w:t>
      </w:r>
    </w:p>
    <w:p w14:paraId="42293C65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rationale for using present value models to value equity and describe the dividend discount and free-cash-flow-to-equity models</w:t>
      </w:r>
    </w:p>
    <w:p w14:paraId="42FECB27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the intrinsic value of a non-callable, non-convertible preferred stock</w:t>
      </w:r>
    </w:p>
    <w:p w14:paraId="43C4768D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Calculate and interpret the </w:t>
      </w:r>
      <w:r>
        <w:rPr>
          <w:rFonts w:ascii="Calibri" w:eastAsia="Times New Roman" w:hAnsi="Calibri" w:cs="Calibri"/>
          <w:color w:val="2E75B5"/>
          <w:sz w:val="22"/>
          <w:szCs w:val="22"/>
        </w:rPr>
        <w:t>intrinsic value of an equity security based on the Gordon (constant) growth dividend discount model or a two-stage dividend discount model, as appropriate</w:t>
      </w:r>
    </w:p>
    <w:p w14:paraId="6304E1D4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Identify characteristics of companies for which the constant growth or a multistage dividend discount</w:t>
      </w: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 model is appropriate</w:t>
      </w:r>
    </w:p>
    <w:p w14:paraId="4D585D5A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the rationale for using price multiples to value equity, how the price to earnings multiple relates to fundamentals, and the use of multiples based on comparable</w:t>
      </w:r>
    </w:p>
    <w:p w14:paraId="52022FA5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Calculate and interpret the following multiples: price to earnin</w:t>
      </w:r>
      <w:r>
        <w:rPr>
          <w:rFonts w:ascii="Calibri" w:eastAsia="Times New Roman" w:hAnsi="Calibri" w:cs="Calibri"/>
          <w:color w:val="2E75B5"/>
          <w:sz w:val="22"/>
          <w:szCs w:val="22"/>
        </w:rPr>
        <w:t>gs, price to an estimate of operating cash flow, price to sales, and price to book value</w:t>
      </w:r>
    </w:p>
    <w:p w14:paraId="38EAA0A3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enterprise value multiples and their use in estimating equity value</w:t>
      </w:r>
    </w:p>
    <w:p w14:paraId="1C2162EF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asset-based valuation models and their use in estimating equity value</w:t>
      </w:r>
    </w:p>
    <w:p w14:paraId="47DD3CDF" w14:textId="77777777" w:rsidR="00000000" w:rsidRDefault="00513606">
      <w:pPr>
        <w:numPr>
          <w:ilvl w:val="1"/>
          <w:numId w:val="26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adv</w:t>
      </w:r>
      <w:r>
        <w:rPr>
          <w:rFonts w:ascii="Calibri" w:eastAsia="Times New Roman" w:hAnsi="Calibri" w:cs="Calibri"/>
          <w:color w:val="2E75B5"/>
          <w:sz w:val="22"/>
          <w:szCs w:val="22"/>
        </w:rPr>
        <w:t>antages and disadvantages of each category of valuation model</w:t>
      </w:r>
    </w:p>
    <w:p w14:paraId="0D750CE2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7BF3B8" w14:textId="77777777" w:rsidR="00000000" w:rsidRDefault="0051360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1CDD5" w14:textId="77777777" w:rsidR="00000000" w:rsidRDefault="00513606">
      <w:pPr>
        <w:pStyle w:val="NormalWeb"/>
        <w:spacing w:before="0" w:beforeAutospacing="0" w:after="0" w:afterAutospacing="0"/>
        <w:rPr>
          <w:rFonts w:ascii="Comic Sans MS" w:hAnsi="Comic Sans MS" w:cs="Calibri"/>
          <w:color w:val="B43512"/>
          <w:sz w:val="19"/>
          <w:szCs w:val="19"/>
        </w:rPr>
      </w:pPr>
      <w:r>
        <w:rPr>
          <w:rFonts w:ascii="Comic Sans MS" w:hAnsi="Comic Sans MS" w:cs="Calibri"/>
          <w:color w:val="B43512"/>
          <w:sz w:val="19"/>
          <w:szCs w:val="19"/>
        </w:rPr>
        <w:t xml:space="preserve">initial margin requirement of 50% equity has a 2-to-1 leverage ratio, so that a 10% </w:t>
      </w:r>
      <w:r>
        <w:rPr>
          <w:rFonts w:ascii="Comic Sans MS" w:hAnsi="Comic Sans MS" w:cs="Calibri"/>
          <w:color w:val="B43512"/>
          <w:sz w:val="19"/>
          <w:szCs w:val="19"/>
        </w:rPr>
        <w:t>increase (decrease) in price of asset results in a 20% increase (decrease) in investor’s equity amount</w:t>
      </w:r>
    </w:p>
    <w:p w14:paraId="7B82451C" w14:textId="77777777" w:rsidR="00000000" w:rsidRDefault="00513606">
      <w:pPr>
        <w:pStyle w:val="NormalWeb"/>
        <w:spacing w:before="0" w:beforeAutospacing="0" w:after="0" w:afterAutospacing="0"/>
        <w:rPr>
          <w:rFonts w:ascii="Comic Sans MS" w:hAnsi="Comic Sans MS" w:cs="Calibri"/>
          <w:color w:val="B43512"/>
          <w:sz w:val="19"/>
          <w:szCs w:val="19"/>
        </w:rPr>
      </w:pPr>
      <w:r>
        <w:rPr>
          <w:rFonts w:ascii="Comic Sans MS" w:hAnsi="Comic Sans MS" w:cs="Calibri"/>
          <w:color w:val="B43512"/>
          <w:sz w:val="19"/>
          <w:szCs w:val="19"/>
        </w:rPr>
        <w:t> </w:t>
      </w:r>
    </w:p>
    <w:p w14:paraId="4FA2301E" w14:textId="77777777" w:rsidR="00000000" w:rsidRDefault="00513606">
      <w:pPr>
        <w:pStyle w:val="NormalWeb"/>
        <w:spacing w:before="0" w:beforeAutospacing="0" w:after="0" w:afterAutospacing="0"/>
        <w:rPr>
          <w:rFonts w:ascii="Comic Sans MS" w:hAnsi="Comic Sans MS" w:cs="Calibri"/>
          <w:color w:val="BF9000"/>
          <w:sz w:val="16"/>
          <w:szCs w:val="16"/>
        </w:rPr>
      </w:pPr>
      <w:r>
        <w:rPr>
          <w:rFonts w:ascii="Comic Sans MS" w:hAnsi="Comic Sans MS" w:cs="Calibri"/>
          <w:color w:val="BF9000"/>
          <w:sz w:val="16"/>
          <w:szCs w:val="16"/>
        </w:rPr>
        <w:t> </w:t>
      </w:r>
    </w:p>
    <w:p w14:paraId="1C1CCCF0" w14:textId="77777777" w:rsidR="00000000" w:rsidRDefault="00513606">
      <w:pPr>
        <w:pStyle w:val="NormalWeb"/>
        <w:spacing w:before="0" w:beforeAutospacing="0" w:after="0" w:afterAutospacing="0"/>
        <w:rPr>
          <w:rFonts w:ascii="Comic Sans MS" w:hAnsi="Comic Sans MS" w:cs="Calibri"/>
          <w:color w:val="BF9000"/>
          <w:sz w:val="16"/>
          <w:szCs w:val="16"/>
        </w:rPr>
      </w:pPr>
      <w:r>
        <w:rPr>
          <w:rFonts w:ascii="Comic Sans MS" w:hAnsi="Comic Sans MS" w:cs="Calibri"/>
          <w:color w:val="BF9000"/>
          <w:sz w:val="16"/>
          <w:szCs w:val="16"/>
        </w:rPr>
        <w:t>Check Q5</w:t>
      </w:r>
    </w:p>
    <w:p w14:paraId="17EEC518" w14:textId="77777777" w:rsidR="00000000" w:rsidRDefault="0051360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14E9221" wp14:editId="4E48E723">
            <wp:extent cx="261937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DC25" w14:textId="77777777" w:rsidR="00000000" w:rsidRDefault="005136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095AA5" w14:textId="77777777" w:rsidR="00000000" w:rsidRDefault="00513606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DD7F9D0" wp14:editId="41978112">
            <wp:extent cx="3267075" cy="56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4F3A"/>
    <w:multiLevelType w:val="multilevel"/>
    <w:tmpl w:val="41C8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A5198"/>
    <w:multiLevelType w:val="hybridMultilevel"/>
    <w:tmpl w:val="121042BA"/>
    <w:lvl w:ilvl="0" w:tplc="5666DD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761A9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EA684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BF906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48C50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A7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76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A8B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6C58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F3332"/>
    <w:multiLevelType w:val="hybridMultilevel"/>
    <w:tmpl w:val="9244C056"/>
    <w:lvl w:ilvl="0" w:tplc="4E2AF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CA7C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99EBC5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3BE75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1AD9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76A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7CFB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7EF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D87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startOverride w:val="3"/>
    </w:lvlOverride>
  </w:num>
  <w:num w:numId="4">
    <w:abstractNumId w:val="2"/>
  </w:num>
  <w:num w:numId="5">
    <w:abstractNumId w:val="2"/>
    <w:lvlOverride w:ilvl="1">
      <w:startOverride w:val="4"/>
    </w:lvlOverride>
  </w:num>
  <w:num w:numId="6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startOverride w:val="5"/>
    </w:lvlOverride>
  </w:num>
  <w:num w:numId="8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startOverride w:val="7"/>
    </w:lvlOverride>
  </w:num>
  <w:num w:numId="10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startOverride w:val="9"/>
    </w:lvlOverride>
  </w:num>
  <w:num w:numId="12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1">
      <w:startOverride w:val="10"/>
    </w:lvlOverride>
  </w:num>
  <w:num w:numId="14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1">
      <w:startOverride w:val="12"/>
    </w:lvlOverride>
  </w:num>
  <w:num w:numId="16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  <w:lvlOverride w:ilvl="1">
      <w:startOverride w:val="1"/>
    </w:lvlOverride>
  </w:num>
  <w:num w:numId="18">
    <w:abstractNumId w:val="2"/>
    <w:lvlOverride w:ilvl="1">
      <w:startOverride w:val="9"/>
    </w:lvlOverride>
  </w:num>
  <w:num w:numId="19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"/>
    <w:lvlOverride w:ilvl="1">
      <w:startOverride w:val="10"/>
    </w:lvlOverride>
  </w:num>
  <w:num w:numId="21">
    <w:abstractNumId w:val="2"/>
    <w:lvlOverride w:ilvl="1">
      <w:lvl w:ilvl="1" w:tplc="D3CA7C6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"/>
    <w:lvlOverride w:ilvl="1">
      <w:startOverride w:val="11"/>
    </w:lvlOverride>
  </w:num>
  <w:num w:numId="23">
    <w:abstractNumId w:val="1"/>
    <w:lvlOverride w:ilvl="1">
      <w:startOverride w:val="1"/>
    </w:lvlOverride>
  </w:num>
  <w:num w:numId="24">
    <w:abstractNumId w:val="1"/>
    <w:lvlOverride w:ilvl="1">
      <w:startOverride w:val="1"/>
    </w:lvlOverride>
  </w:num>
  <w:num w:numId="25">
    <w:abstractNumId w:val="1"/>
    <w:lvlOverride w:ilvl="1">
      <w:startOverride w:val="1"/>
    </w:lvlOverride>
  </w:num>
  <w:num w:numId="26">
    <w:abstractNumId w:val="1"/>
    <w:lvlOverride w:ilvl="1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6"/>
    <w:rsid w:val="0051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58303"/>
  <w15:chartTrackingRefBased/>
  <w15:docId w15:val="{DDB71F2D-B534-46B5-BC6A-0BAF9A15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2037</Words>
  <Characters>11616</Characters>
  <Application>Microsoft Office Word</Application>
  <DocSecurity>0</DocSecurity>
  <Lines>96</Lines>
  <Paragraphs>27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2021-10-02T23:51:00Z</dcterms:created>
  <dcterms:modified xsi:type="dcterms:W3CDTF">2021-10-02T23:51:00Z</dcterms:modified>
</cp:coreProperties>
</file>