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8948" w14:textId="77777777" w:rsidR="00000000" w:rsidRDefault="00AD73F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SS14 Fixed-Income</w:t>
      </w:r>
    </w:p>
    <w:p w14:paraId="0FCE555E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May 23, 2019</w:t>
      </w:r>
    </w:p>
    <w:p w14:paraId="79ADB230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3:46 AM</w:t>
      </w:r>
    </w:p>
    <w:p w14:paraId="1799E0BD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4F6B89" w14:textId="77777777" w:rsidR="00000000" w:rsidRDefault="00AD73F7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READING 45. Asset-backed Securities</w:t>
      </w:r>
    </w:p>
    <w:p w14:paraId="52DD1513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E5D7C" w14:textId="77777777" w:rsidR="00000000" w:rsidRDefault="00AD73F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benefits of securitization for economies and financial markets</w:t>
      </w:r>
    </w:p>
    <w:p w14:paraId="38D520E2" w14:textId="77777777" w:rsidR="00000000" w:rsidRDefault="00AD73F7">
      <w:pPr>
        <w:numPr>
          <w:ilvl w:val="0"/>
          <w:numId w:val="1"/>
        </w:numPr>
        <w:textAlignment w:val="center"/>
        <w:rPr>
          <w:rFonts w:ascii="Calibri" w:eastAsia="Times New Roman" w:hAnsi="Calibri" w:cs="Calibri" w:hint="eastAsia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</w:t>
      </w:r>
      <w:r>
        <w:rPr>
          <w:rFonts w:ascii="Calibri" w:eastAsia="Times New Roman" w:hAnsi="Calibri" w:cs="Calibri"/>
          <w:color w:val="2E75B5"/>
          <w:sz w:val="22"/>
          <w:szCs w:val="22"/>
        </w:rPr>
        <w:t>securitization, including the parties involved in the process and the roles they play</w:t>
      </w:r>
    </w:p>
    <w:p w14:paraId="635B58D7" w14:textId="77777777" w:rsidR="00000000" w:rsidRDefault="00AD73F7">
      <w:pPr>
        <w:numPr>
          <w:ilvl w:val="0"/>
          <w:numId w:val="1"/>
        </w:numPr>
        <w:textAlignment w:val="center"/>
        <w:rPr>
          <w:rFonts w:ascii="Calibri" w:eastAsia="Times New Roman" w:hAnsi="Calibri" w:cs="Calibri" w:hint="eastAsia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typical structures of securitizations, including credit tranching and time tranching</w:t>
      </w:r>
    </w:p>
    <w:p w14:paraId="426C08AC" w14:textId="77777777" w:rsidR="00000000" w:rsidRDefault="00AD73F7">
      <w:pPr>
        <w:numPr>
          <w:ilvl w:val="0"/>
          <w:numId w:val="2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ABS Issue entity: structured finance sector, not corporate</w:t>
      </w:r>
    </w:p>
    <w:p w14:paraId="45957CC9" w14:textId="77777777" w:rsidR="00000000" w:rsidRDefault="00AD73F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Securitization</w:t>
      </w:r>
      <w:r>
        <w:rPr>
          <w:rFonts w:ascii="Calibri" w:eastAsia="Times New Roman" w:hAnsi="Calibri" w:cs="Calibri"/>
          <w:sz w:val="22"/>
          <w:szCs w:val="22"/>
        </w:rPr>
        <w:t>: b</w:t>
      </w:r>
      <w:r>
        <w:rPr>
          <w:rFonts w:ascii="Calibri" w:eastAsia="Times New Roman" w:hAnsi="Calibri" w:cs="Calibri"/>
          <w:sz w:val="22"/>
          <w:szCs w:val="22"/>
        </w:rPr>
        <w:t>enefits to investor: managed credit risk exposure, complex structure; benefits to investors: can expose to a wider range of assets. Parties: seller, SPE(issue ABS), servicer of loans(responsible for payment collection and recovery default); all other under</w:t>
      </w:r>
      <w:r>
        <w:rPr>
          <w:rFonts w:ascii="Calibri" w:eastAsia="Times New Roman" w:hAnsi="Calibri" w:cs="Calibri"/>
          <w:sz w:val="22"/>
          <w:szCs w:val="22"/>
        </w:rPr>
        <w:t xml:space="preserve">writers, rating agencies, financial guarantors are third parties. </w:t>
      </w:r>
    </w:p>
    <w:p w14:paraId="12E0FDBE" w14:textId="77777777" w:rsidR="00000000" w:rsidRDefault="00AD73F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Internal </w:t>
      </w:r>
      <w:r>
        <w:rPr>
          <w:rFonts w:ascii="Calibri" w:eastAsia="Times New Roman" w:hAnsi="Calibri" w:cs="Calibri"/>
          <w:b/>
          <w:bCs/>
          <w:sz w:val="22"/>
          <w:szCs w:val="22"/>
        </w:rPr>
        <w:t>subordination</w:t>
      </w:r>
      <w:r>
        <w:rPr>
          <w:rFonts w:ascii="Calibri" w:eastAsia="Times New Roman" w:hAnsi="Calibri" w:cs="Calibri"/>
          <w:sz w:val="22"/>
          <w:szCs w:val="22"/>
        </w:rPr>
        <w:t xml:space="preserve">(aka </w:t>
      </w:r>
      <w:r>
        <w:rPr>
          <w:rFonts w:ascii="Calibri" w:eastAsia="Times New Roman" w:hAnsi="Calibri" w:cs="Calibri"/>
          <w:b/>
          <w:bCs/>
          <w:sz w:val="22"/>
          <w:szCs w:val="22"/>
        </w:rPr>
        <w:t>credit tranching</w:t>
      </w:r>
      <w:r>
        <w:rPr>
          <w:rFonts w:ascii="Calibri" w:eastAsia="Times New Roman" w:hAnsi="Calibri" w:cs="Calibri"/>
          <w:sz w:val="22"/>
          <w:szCs w:val="22"/>
        </w:rPr>
        <w:t>): redistribute credit risk associate w collateral, so investors can choose credit risk they bear. Time tranching: diff expected maturities, cuz r</w:t>
      </w:r>
      <w:r>
        <w:rPr>
          <w:rFonts w:ascii="Calibri" w:eastAsia="Times New Roman" w:hAnsi="Calibri" w:cs="Calibri"/>
          <w:sz w:val="22"/>
          <w:szCs w:val="22"/>
        </w:rPr>
        <w:t xml:space="preserve">epayment risk(uncertainty of cash flows not scheduled, extension &amp; contraction risk). </w:t>
      </w:r>
    </w:p>
    <w:p w14:paraId="5C7329E1" w14:textId="77777777" w:rsidR="00000000" w:rsidRDefault="00AD73F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Absolute priority rule holds in bankruptcy liquidation, violates bankruptcy reorganization. </w:t>
      </w:r>
    </w:p>
    <w:p w14:paraId="491A7DFF" w14:textId="77777777" w:rsidR="00000000" w:rsidRDefault="00AD73F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types and characteristics of residential mortgage loans that are ty</w:t>
      </w:r>
      <w:r>
        <w:rPr>
          <w:rFonts w:ascii="Calibri" w:eastAsia="Times New Roman" w:hAnsi="Calibri" w:cs="Calibri"/>
          <w:color w:val="2E75B5"/>
          <w:sz w:val="22"/>
          <w:szCs w:val="22"/>
        </w:rPr>
        <w:t>pically securitized</w:t>
      </w:r>
    </w:p>
    <w:p w14:paraId="186070A3" w14:textId="77777777" w:rsidR="00000000" w:rsidRDefault="00AD73F7">
      <w:pPr>
        <w:numPr>
          <w:ilvl w:val="0"/>
          <w:numId w:val="4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Loan-to-value ratio(LTV): mortgage amount to property's value, lower LTV higher equity. </w:t>
      </w:r>
      <w:r>
        <w:rPr>
          <w:rFonts w:ascii="Calibri" w:eastAsia="Times New Roman" w:hAnsi="Calibri" w:cs="Calibri"/>
          <w:b/>
          <w:bCs/>
          <w:sz w:val="22"/>
          <w:szCs w:val="22"/>
        </w:rPr>
        <w:t>Mortgage</w:t>
      </w:r>
      <w:r>
        <w:rPr>
          <w:rFonts w:ascii="Calibri" w:eastAsia="Times New Roman" w:hAnsi="Calibri" w:cs="Calibri"/>
          <w:sz w:val="22"/>
          <w:szCs w:val="22"/>
        </w:rPr>
        <w:t xml:space="preserve"> rate(aka contract, note): fixed, adjustable/variable, initial period fix, convertible. Recourse loan: lender has claim against borrower for</w:t>
      </w:r>
      <w:r>
        <w:rPr>
          <w:rFonts w:ascii="Calibri" w:eastAsia="Times New Roman" w:hAnsi="Calibri" w:cs="Calibri"/>
          <w:sz w:val="22"/>
          <w:szCs w:val="22"/>
        </w:rPr>
        <w:t xml:space="preserve"> any shortfall; Non-recourse loan: no claim but only the sale of property to recover outstanding mortgage. </w:t>
      </w:r>
    </w:p>
    <w:p w14:paraId="46CDDE41" w14:textId="77777777" w:rsidR="00000000" w:rsidRDefault="00AD73F7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Bullet(interest-only lifetime) mortgage: no scheduled principal repmt, payback @maturity. </w:t>
      </w:r>
    </w:p>
    <w:p w14:paraId="62D43090" w14:textId="77777777" w:rsidR="00000000" w:rsidRDefault="00AD73F7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Agency RMBS</w:t>
      </w:r>
      <w:r>
        <w:rPr>
          <w:rFonts w:ascii="Calibri" w:eastAsia="Times New Roman" w:hAnsi="Calibri" w:cs="Calibri"/>
          <w:sz w:val="22"/>
          <w:szCs w:val="22"/>
        </w:rPr>
        <w:t>: by federal agency &amp; GSE(government-sponsored</w:t>
      </w:r>
      <w:r>
        <w:rPr>
          <w:rFonts w:ascii="Calibri" w:eastAsia="Times New Roman" w:hAnsi="Calibri" w:cs="Calibri"/>
          <w:sz w:val="22"/>
          <w:szCs w:val="22"/>
        </w:rPr>
        <w:t xml:space="preserve"> enterprise); </w:t>
      </w:r>
      <w:r>
        <w:rPr>
          <w:rFonts w:ascii="Calibri" w:eastAsia="Times New Roman" w:hAnsi="Calibri" w:cs="Calibri"/>
          <w:b/>
          <w:bCs/>
          <w:sz w:val="22"/>
          <w:szCs w:val="22"/>
        </w:rPr>
        <w:t>Non</w:t>
      </w:r>
      <w:r>
        <w:rPr>
          <w:rFonts w:ascii="Calibri" w:eastAsia="Times New Roman" w:hAnsi="Calibri" w:cs="Calibri"/>
          <w:sz w:val="22"/>
          <w:szCs w:val="22"/>
        </w:rPr>
        <w:t xml:space="preserve">-agency RMBS: private entities.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If not meeting agency RMBS, it's a non-conforming mortgage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0157F310" w14:textId="77777777" w:rsidR="00000000" w:rsidRDefault="00AD73F7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types and characteristics of residential mortgage-backed securities, including mortgage pass-through securities and collateralized mortga</w:t>
      </w:r>
      <w:r>
        <w:rPr>
          <w:rFonts w:ascii="Calibri" w:eastAsia="Times New Roman" w:hAnsi="Calibri" w:cs="Calibri"/>
          <w:color w:val="2E75B5"/>
          <w:sz w:val="22"/>
          <w:szCs w:val="22"/>
        </w:rPr>
        <w:t>ge obligations, and explain the cash flows and risks for each type</w:t>
      </w:r>
    </w:p>
    <w:p w14:paraId="26144BC3" w14:textId="77777777" w:rsidR="00000000" w:rsidRDefault="00AD73F7">
      <w:pPr>
        <w:numPr>
          <w:ilvl w:val="0"/>
          <w:numId w:val="6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Pass</w:t>
      </w:r>
      <w:r>
        <w:rPr>
          <w:rFonts w:ascii="Calibri" w:eastAsia="Times New Roman" w:hAnsi="Calibri" w:cs="Calibri"/>
          <w:sz w:val="22"/>
          <w:szCs w:val="22"/>
        </w:rPr>
        <w:t>-</w:t>
      </w:r>
      <w:r>
        <w:rPr>
          <w:rFonts w:ascii="Calibri" w:eastAsia="Times New Roman" w:hAnsi="Calibri" w:cs="Calibri"/>
          <w:b/>
          <w:bCs/>
          <w:sz w:val="22"/>
          <w:szCs w:val="22"/>
        </w:rPr>
        <w:t>through</w:t>
      </w:r>
      <w:r>
        <w:rPr>
          <w:rFonts w:ascii="Calibri" w:eastAsia="Times New Roman" w:hAnsi="Calibri" w:cs="Calibri"/>
          <w:sz w:val="22"/>
          <w:szCs w:val="22"/>
        </w:rPr>
        <w:t xml:space="preserve"> created when holders form a pool of mortgages and sell shares/certificates in pool; pass-through rate=coupon - serve. Weighted avg coupon rate(WAC), weighted avg maturity(WAM),</w:t>
      </w:r>
      <w:r>
        <w:rPr>
          <w:rFonts w:ascii="Calibri" w:eastAsia="Times New Roman" w:hAnsi="Calibri" w:cs="Calibri"/>
          <w:sz w:val="22"/>
          <w:szCs w:val="22"/>
        </w:rPr>
        <w:t xml:space="preserve"> weighted avg life, prepayment measure of CPR(annualized SSM single). </w:t>
      </w:r>
    </w:p>
    <w:p w14:paraId="73AB2BFD" w14:textId="77777777" w:rsidR="00000000" w:rsidRDefault="00AD73F7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Define prepayment risk and describe the prepayment risk of mortgage-backed securities</w:t>
      </w:r>
    </w:p>
    <w:p w14:paraId="08C37E70" w14:textId="77777777" w:rsidR="00000000" w:rsidRDefault="00AD73F7">
      <w:pPr>
        <w:numPr>
          <w:ilvl w:val="0"/>
          <w:numId w:val="8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Collagenized mortgage obligation (</w:t>
      </w:r>
      <w:r>
        <w:rPr>
          <w:rFonts w:ascii="Calibri" w:eastAsia="Times New Roman" w:hAnsi="Calibri" w:cs="Calibri"/>
          <w:b/>
          <w:bCs/>
          <w:sz w:val="22"/>
          <w:szCs w:val="22"/>
        </w:rPr>
        <w:t>CMO</w:t>
      </w:r>
      <w:r>
        <w:rPr>
          <w:rFonts w:ascii="Calibri" w:eastAsia="Times New Roman" w:hAnsi="Calibri" w:cs="Calibri"/>
          <w:sz w:val="22"/>
          <w:szCs w:val="22"/>
        </w:rPr>
        <w:t>): securitization of a pool of mortgage pass-thru loans. Seque</w:t>
      </w:r>
      <w:r>
        <w:rPr>
          <w:rFonts w:ascii="Calibri" w:eastAsia="Times New Roman" w:hAnsi="Calibri" w:cs="Calibri"/>
          <w:sz w:val="22"/>
          <w:szCs w:val="22"/>
        </w:rPr>
        <w:t xml:space="preserve">ntial pay CMO: each tranche retired sequentially; Panned Amortization Class (PAC CMO): predictivity of cash flows following repayment rate; </w:t>
      </w:r>
      <w:r>
        <w:rPr>
          <w:rFonts w:ascii="Calibri" w:eastAsia="Times New Roman" w:hAnsi="Calibri" w:cs="Calibri"/>
          <w:b/>
          <w:bCs/>
          <w:sz w:val="22"/>
          <w:szCs w:val="22"/>
        </w:rPr>
        <w:t>PCA tranche</w:t>
      </w:r>
      <w:r>
        <w:rPr>
          <w:rFonts w:ascii="Calibri" w:eastAsia="Times New Roman" w:hAnsi="Calibri" w:cs="Calibri"/>
          <w:sz w:val="22"/>
          <w:szCs w:val="22"/>
        </w:rPr>
        <w:t xml:space="preserve"> has less variability in avg life, </w:t>
      </w:r>
      <w:r>
        <w:rPr>
          <w:rFonts w:ascii="Calibri" w:eastAsia="Times New Roman" w:hAnsi="Calibri" w:cs="Calibri"/>
          <w:b/>
          <w:bCs/>
          <w:sz w:val="22"/>
          <w:szCs w:val="22"/>
        </w:rPr>
        <w:t>support tranche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has more variability in avg life and can offer higher return bearing prepayment risks(contraction &amp; extension), all compared to mortgage pass-thru securities.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CMO and commercial mortgage-backed securities are back by mortgages only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4ED651BF" w14:textId="77777777" w:rsidR="00000000" w:rsidRDefault="00AD73F7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characteristics and risks of commercial mortgage-backed securities(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>CMBS</w:t>
      </w:r>
      <w:r>
        <w:rPr>
          <w:rFonts w:ascii="Calibri" w:eastAsia="Times New Roman" w:hAnsi="Calibri" w:cs="Calibri"/>
          <w:color w:val="2E75B5"/>
          <w:sz w:val="22"/>
          <w:szCs w:val="22"/>
        </w:rPr>
        <w:t>)</w:t>
      </w:r>
    </w:p>
    <w:p w14:paraId="0F0AFC08" w14:textId="77777777" w:rsidR="00000000" w:rsidRDefault="00AD73F7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24ADF4C5" wp14:editId="4093E7E8">
            <wp:extent cx="53340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8B1C" w14:textId="77777777" w:rsidR="00000000" w:rsidRDefault="00AD73F7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types and characteristics of non-mortgage asset-backed securities, including the cash flows and risks of each type</w:t>
      </w:r>
    </w:p>
    <w:p w14:paraId="72AC8098" w14:textId="77777777" w:rsidR="00000000" w:rsidRDefault="00AD73F7">
      <w:pPr>
        <w:numPr>
          <w:ilvl w:val="0"/>
          <w:numId w:val="12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5348DEB" wp14:editId="4C3533A8">
            <wp:extent cx="53340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35BD" w14:textId="77777777" w:rsidR="00000000" w:rsidRDefault="00AD73F7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collateralized debt obligations, incl</w:t>
      </w:r>
      <w:r>
        <w:rPr>
          <w:rFonts w:ascii="Calibri" w:eastAsia="Times New Roman" w:hAnsi="Calibri" w:cs="Calibri"/>
          <w:color w:val="2E75B5"/>
          <w:sz w:val="22"/>
          <w:szCs w:val="22"/>
        </w:rPr>
        <w:t>uding their cash flows and risks</w:t>
      </w:r>
    </w:p>
    <w:p w14:paraId="27F06A81" w14:textId="77777777" w:rsidR="00000000" w:rsidRDefault="00AD73F7">
      <w:pPr>
        <w:numPr>
          <w:ilvl w:val="0"/>
          <w:numId w:val="14"/>
        </w:numPr>
        <w:textAlignment w:val="center"/>
        <w:rPr>
          <w:rFonts w:ascii="Calibri" w:eastAsia="Times New Roman" w:hAnsi="Calibri" w:cs="Calibri" w:hint="eastAsia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Collateralized debt obligation (</w:t>
      </w:r>
      <w:r>
        <w:rPr>
          <w:rFonts w:ascii="Calibri" w:eastAsia="Times New Roman" w:hAnsi="Calibri" w:cs="Calibri"/>
          <w:b/>
          <w:bCs/>
          <w:sz w:val="22"/>
          <w:szCs w:val="22"/>
        </w:rPr>
        <w:t>CDO</w:t>
      </w:r>
      <w:r>
        <w:rPr>
          <w:rFonts w:ascii="Calibri" w:eastAsia="Times New Roman" w:hAnsi="Calibri" w:cs="Calibri"/>
          <w:sz w:val="22"/>
          <w:szCs w:val="22"/>
        </w:rPr>
        <w:t xml:space="preserve">) are structured securities </w:t>
      </w:r>
      <w:r>
        <w:rPr>
          <w:rFonts w:ascii="Calibri" w:eastAsia="Times New Roman" w:hAnsi="Calibri" w:cs="Calibri"/>
          <w:b/>
          <w:bCs/>
          <w:sz w:val="22"/>
          <w:szCs w:val="22"/>
        </w:rPr>
        <w:t>backed by a pool of debt obligations</w:t>
      </w:r>
      <w:r>
        <w:rPr>
          <w:rFonts w:ascii="Calibri" w:eastAsia="Times New Roman" w:hAnsi="Calibri" w:cs="Calibri"/>
          <w:sz w:val="22"/>
          <w:szCs w:val="22"/>
        </w:rPr>
        <w:t xml:space="preserve"> that is managed by a collateral manager. ABS collateralize underlying pool of assets; MBS collateralize a pool of mortgage-</w:t>
      </w:r>
      <w:r>
        <w:rPr>
          <w:rFonts w:ascii="Calibri" w:eastAsia="Times New Roman" w:hAnsi="Calibri" w:cs="Calibri"/>
          <w:sz w:val="22"/>
          <w:szCs w:val="22"/>
        </w:rPr>
        <w:t xml:space="preserve">backed securities. CDO worries additionally manager fails to earn enough returns to pay senior &amp; mezzanine tranches. CDO includes: </w:t>
      </w:r>
    </w:p>
    <w:p w14:paraId="4D329E58" w14:textId="77777777" w:rsidR="00000000" w:rsidRDefault="00AD73F7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Collateralized bond obligations (CBOs) backed by corporate and emerging market debt. </w:t>
      </w:r>
    </w:p>
    <w:p w14:paraId="29F17AC0" w14:textId="77777777" w:rsidR="00000000" w:rsidRDefault="00AD73F7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Collateralized loan obligations (CLOs)</w:t>
      </w:r>
      <w:r>
        <w:rPr>
          <w:rFonts w:ascii="Calibri" w:eastAsia="Times New Roman" w:hAnsi="Calibri" w:cs="Calibri"/>
          <w:sz w:val="22"/>
          <w:szCs w:val="22"/>
        </w:rPr>
        <w:t xml:space="preserve"> backed by leveraged bank loans. </w:t>
      </w:r>
    </w:p>
    <w:p w14:paraId="2FFED6FE" w14:textId="77777777" w:rsidR="00000000" w:rsidRDefault="00AD73F7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Structured</w:t>
      </w:r>
      <w:r>
        <w:rPr>
          <w:rFonts w:ascii="Calibri" w:eastAsia="Times New Roman" w:hAnsi="Calibri" w:cs="Calibri"/>
          <w:sz w:val="22"/>
          <w:szCs w:val="22"/>
        </w:rPr>
        <w:t xml:space="preserve"> finance CDOs backed by residential or commercial MBS, ABS, or other CLOs. </w:t>
      </w:r>
    </w:p>
    <w:p w14:paraId="5E8A8D70" w14:textId="77777777" w:rsidR="00000000" w:rsidRDefault="00AD73F7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Synthetic</w:t>
      </w:r>
      <w:r>
        <w:rPr>
          <w:rFonts w:ascii="Calibri" w:eastAsia="Times New Roman" w:hAnsi="Calibri" w:cs="Calibri"/>
          <w:sz w:val="22"/>
          <w:szCs w:val="22"/>
        </w:rPr>
        <w:t xml:space="preserve"> CDOs backed by credit default swaps on structured securities. </w:t>
      </w:r>
    </w:p>
    <w:p w14:paraId="0460E040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87B392" w14:textId="77777777" w:rsidR="00000000" w:rsidRDefault="00AD73F7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46. Understanding Fixed Income Risk and Return </w:t>
      </w:r>
    </w:p>
    <w:p w14:paraId="5800A3FB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9FBA03" w14:textId="77777777" w:rsidR="00000000" w:rsidRDefault="00AD73F7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the sources of return from investing in a fixed-rate bond</w:t>
      </w:r>
    </w:p>
    <w:p w14:paraId="29AFD929" w14:textId="77777777" w:rsidR="00000000" w:rsidRDefault="00AD73F7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1.Coupon and principle payments, 2.Reinvestment of coupon payments, 3.Capital gains or loss if bond is sold before maturity. A point on </w:t>
      </w:r>
      <w:r>
        <w:rPr>
          <w:rFonts w:ascii="Calibri" w:eastAsia="Times New Roman" w:hAnsi="Calibri" w:cs="Calibri"/>
          <w:b/>
          <w:bCs/>
          <w:sz w:val="22"/>
          <w:szCs w:val="22"/>
        </w:rPr>
        <w:t>trajectory</w:t>
      </w:r>
      <w:r>
        <w:rPr>
          <w:rFonts w:ascii="Calibri" w:eastAsia="Times New Roman" w:hAnsi="Calibri" w:cs="Calibri"/>
          <w:sz w:val="22"/>
          <w:szCs w:val="22"/>
        </w:rPr>
        <w:t xml:space="preserve"> represents the carrying val</w:t>
      </w:r>
      <w:r>
        <w:rPr>
          <w:rFonts w:ascii="Calibri" w:eastAsia="Times New Roman" w:hAnsi="Calibri" w:cs="Calibri"/>
          <w:sz w:val="22"/>
          <w:szCs w:val="22"/>
        </w:rPr>
        <w:t xml:space="preserve">ue of the bond at that time. </w:t>
      </w:r>
    </w:p>
    <w:p w14:paraId="5A2ACC17" w14:textId="77777777" w:rsidR="00000000" w:rsidRDefault="00AD73F7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Define, calculate, and interpret Macaulay, modified, and effective durations</w:t>
      </w:r>
    </w:p>
    <w:p w14:paraId="36E47229" w14:textId="77777777" w:rsidR="00000000" w:rsidRDefault="00AD73F7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00B9238" wp14:editId="46F52E2F">
            <wp:extent cx="53340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66A2" w14:textId="77777777" w:rsidR="00000000" w:rsidRDefault="00AD73F7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Duration gap</w:t>
      </w:r>
      <w:r>
        <w:rPr>
          <w:rFonts w:ascii="Calibri" w:eastAsia="Times New Roman" w:hAnsi="Calibri" w:cs="Calibri"/>
          <w:sz w:val="22"/>
          <w:szCs w:val="22"/>
        </w:rPr>
        <w:t xml:space="preserve"> = Macaulay duration - investment horizon.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32"/>
        <w:gridCol w:w="5380"/>
      </w:tblGrid>
      <w:tr w:rsidR="00000000" w14:paraId="178F2157" w14:textId="77777777">
        <w:trPr>
          <w:divId w:val="535199475"/>
        </w:trPr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A4998" w14:textId="77777777" w:rsidR="00000000" w:rsidRDefault="00AD7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Investment horizon &gt; Macaulay</w:t>
            </w:r>
          </w:p>
        </w:tc>
        <w:tc>
          <w:tcPr>
            <w:tcW w:w="5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5FFB2" w14:textId="77777777" w:rsidR="00000000" w:rsidRDefault="00AD73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6F9919F" wp14:editId="6F5464B7">
                  <wp:extent cx="3305175" cy="180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AAD04" w14:textId="77777777">
        <w:trPr>
          <w:divId w:val="535199475"/>
        </w:trPr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EB9A1" w14:textId="77777777" w:rsidR="00000000" w:rsidRDefault="00AD7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Investment horizon = Macaulay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44A14" w14:textId="77777777" w:rsidR="00000000" w:rsidRDefault="00AD7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Reinvestment risk offsets price risk</w:t>
            </w:r>
          </w:p>
        </w:tc>
      </w:tr>
      <w:tr w:rsidR="00000000" w14:paraId="3EBBD4C0" w14:textId="77777777">
        <w:trPr>
          <w:divId w:val="535199475"/>
        </w:trPr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64CC" w14:textId="77777777" w:rsidR="00000000" w:rsidRDefault="00AD7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Investment horizon &lt; Macaulay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3A0C7" w14:textId="77777777" w:rsidR="00000000" w:rsidRDefault="00AD73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3A8A629" wp14:editId="47FB391A">
                  <wp:extent cx="3295650" cy="180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D974D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Explain why effective duration is the most appropriate measure of interest rate risk for bonds with embedded </w:t>
      </w:r>
      <w:r>
        <w:rPr>
          <w:rFonts w:ascii="Calibri" w:eastAsia="Times New Roman" w:hAnsi="Calibri" w:cs="Calibri"/>
          <w:color w:val="2E75B5"/>
          <w:sz w:val="22"/>
          <w:szCs w:val="22"/>
        </w:rPr>
        <w:t>options</w:t>
      </w:r>
    </w:p>
    <w:p w14:paraId="3E023EBD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lastRenderedPageBreak/>
        <w:t>Define key rate duration and describe the use of key rate durations in measuring the sensitivity of bonds to changes in the shape of the benchmark yield curve</w:t>
      </w:r>
    </w:p>
    <w:p w14:paraId="772DA35C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how a bond’s maturity, coupon, and yield level affect its interest rate risk</w:t>
      </w:r>
    </w:p>
    <w:p w14:paraId="2CE1044C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</w:t>
      </w:r>
      <w:r>
        <w:rPr>
          <w:rFonts w:ascii="Calibri" w:eastAsia="Times New Roman" w:hAnsi="Calibri" w:cs="Calibri"/>
          <w:color w:val="2E75B5"/>
          <w:sz w:val="22"/>
          <w:szCs w:val="22"/>
        </w:rPr>
        <w:t>ulate the duration of a portfolio and explain the limitations of portfolio duration</w:t>
      </w:r>
    </w:p>
    <w:p w14:paraId="4F6EA576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the money duration of a bond and price value of a basis point (PVBP)</w:t>
      </w:r>
    </w:p>
    <w:p w14:paraId="62CE6F24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approximate convexity and distinguish between approxima</w:t>
      </w:r>
      <w:r>
        <w:rPr>
          <w:rFonts w:ascii="Calibri" w:eastAsia="Times New Roman" w:hAnsi="Calibri" w:cs="Calibri"/>
          <w:color w:val="2E75B5"/>
          <w:sz w:val="22"/>
          <w:szCs w:val="22"/>
        </w:rPr>
        <w:t>te and effective convexity</w:t>
      </w:r>
    </w:p>
    <w:p w14:paraId="248A98AA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Estimate the percentage price change of a bond for a specified change in yield, given the bond’s approximate duration and convexity</w:t>
      </w:r>
    </w:p>
    <w:p w14:paraId="740F6A67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how the term structure of yield volatility affects the interest rate risk of a bond</w:t>
      </w:r>
    </w:p>
    <w:p w14:paraId="0E71D78C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</w:t>
      </w:r>
      <w:r>
        <w:rPr>
          <w:rFonts w:ascii="Calibri" w:eastAsia="Times New Roman" w:hAnsi="Calibri" w:cs="Calibri"/>
          <w:color w:val="2E75B5"/>
          <w:sz w:val="22"/>
          <w:szCs w:val="22"/>
        </w:rPr>
        <w:t>ribe the relationships among a bond’s holding period return, its duration, and the investment horizon</w:t>
      </w:r>
    </w:p>
    <w:p w14:paraId="4066DF84" w14:textId="77777777" w:rsidR="00000000" w:rsidRDefault="00AD73F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Explain how changes in credit </w:t>
      </w:r>
      <w:r>
        <w:rPr>
          <w:rFonts w:ascii="Calibri" w:eastAsia="Times New Roman" w:hAnsi="Calibri" w:cs="Calibri"/>
          <w:color w:val="2E75B5"/>
          <w:sz w:val="22"/>
          <w:szCs w:val="22"/>
        </w:rPr>
        <w:t>spread and liquidity affect yield-to-maturity of a bond and how duration and convexity can be used to estimate the price effect of the changes</w:t>
      </w:r>
    </w:p>
    <w:p w14:paraId="459993A2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The increase in value of a zero-coupon bond over its life is interest income. A zero-coupon bond has no rei</w:t>
      </w:r>
      <w:r>
        <w:rPr>
          <w:rFonts w:ascii="Calibri" w:hAnsi="Calibri" w:cs="Calibri"/>
          <w:sz w:val="22"/>
          <w:szCs w:val="22"/>
        </w:rPr>
        <w:t xml:space="preserve">nvestment risk over life. A bond held to maturity has no capital gain or loss. </w:t>
      </w:r>
    </w:p>
    <w:p w14:paraId="2FC18F09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99164D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Sources of return from a bond investment include: </w:t>
      </w:r>
    </w:p>
    <w:p w14:paraId="1EF94D22" w14:textId="77777777" w:rsidR="00000000" w:rsidRDefault="00AD73F7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Coupon and principle payments (so-called interest income for zero-coupon) </w:t>
      </w:r>
    </w:p>
    <w:p w14:paraId="5D10DDED" w14:textId="77777777" w:rsidR="00000000" w:rsidRDefault="00AD73F7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Reinvestment of coupon payments </w:t>
      </w:r>
    </w:p>
    <w:p w14:paraId="6B1EBF5C" w14:textId="77777777" w:rsidR="00000000" w:rsidRDefault="00AD73F7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Capital gain or</w:t>
      </w:r>
      <w:r>
        <w:rPr>
          <w:rFonts w:ascii="Calibri" w:eastAsia="Times New Roman" w:hAnsi="Calibri" w:cs="Calibri"/>
          <w:sz w:val="22"/>
          <w:szCs w:val="22"/>
        </w:rPr>
        <w:t xml:space="preserve"> loss 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if bond is sold before maturity </w:t>
      </w:r>
    </w:p>
    <w:p w14:paraId="15A02CB4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△</w:t>
      </w:r>
      <w:r>
        <w:rPr>
          <w:rFonts w:ascii="Calibri" w:hAnsi="Calibri" w:cs="Calibri"/>
          <w:sz w:val="22"/>
          <w:szCs w:val="22"/>
        </w:rPr>
        <w:t xml:space="preserve">YTM produce market price risk (uncertainty about a bond's price, short-term) and reinvestment risk (uncertainty about income from reinvesting coupon payments, long-term). </w:t>
      </w:r>
    </w:p>
    <w:p w14:paraId="3CDFA7AB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the YTM of a </w:t>
      </w:r>
      <w:r>
        <w:rPr>
          <w:rFonts w:ascii="Calibri" w:hAnsi="Calibri" w:cs="Calibri"/>
          <w:sz w:val="22"/>
          <w:szCs w:val="22"/>
        </w:rPr>
        <w:t xml:space="preserve">callable bond falls, the increase in price is less than for an option-free bond because both bond price and the value of the call option increase. </w:t>
      </w:r>
    </w:p>
    <w:p w14:paraId="6B302063" w14:textId="77777777" w:rsidR="00000000" w:rsidRDefault="00AD73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Callable bond value = straight bond value - call option value </w:t>
      </w:r>
    </w:p>
    <w:p w14:paraId="30576AEE" w14:textId="77777777" w:rsidR="00000000" w:rsidRDefault="00AD73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E80"/>
    <w:multiLevelType w:val="multilevel"/>
    <w:tmpl w:val="3CD66F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84981"/>
    <w:multiLevelType w:val="multilevel"/>
    <w:tmpl w:val="2AB4BB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056D2"/>
    <w:multiLevelType w:val="multilevel"/>
    <w:tmpl w:val="FE8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D6C24"/>
    <w:multiLevelType w:val="multilevel"/>
    <w:tmpl w:val="F01E5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72779"/>
    <w:multiLevelType w:val="multilevel"/>
    <w:tmpl w:val="1BBA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03A91"/>
    <w:multiLevelType w:val="multilevel"/>
    <w:tmpl w:val="2E6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A31618"/>
    <w:multiLevelType w:val="multilevel"/>
    <w:tmpl w:val="847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53F8D"/>
    <w:multiLevelType w:val="multilevel"/>
    <w:tmpl w:val="B0B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834017"/>
    <w:multiLevelType w:val="multilevel"/>
    <w:tmpl w:val="F3801D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87168"/>
    <w:multiLevelType w:val="multilevel"/>
    <w:tmpl w:val="01988F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F2A15"/>
    <w:multiLevelType w:val="multilevel"/>
    <w:tmpl w:val="244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5011C8"/>
    <w:multiLevelType w:val="multilevel"/>
    <w:tmpl w:val="C204B1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31567"/>
    <w:multiLevelType w:val="multilevel"/>
    <w:tmpl w:val="A88A40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E14A8"/>
    <w:multiLevelType w:val="multilevel"/>
    <w:tmpl w:val="365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EE3CDB"/>
    <w:multiLevelType w:val="multilevel"/>
    <w:tmpl w:val="96E8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B913F9"/>
    <w:multiLevelType w:val="multilevel"/>
    <w:tmpl w:val="E30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938AB"/>
    <w:multiLevelType w:val="multilevel"/>
    <w:tmpl w:val="6032E7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807F2"/>
    <w:multiLevelType w:val="multilevel"/>
    <w:tmpl w:val="167AAF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60884"/>
    <w:multiLevelType w:val="multilevel"/>
    <w:tmpl w:val="D6B8ED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217B4"/>
    <w:multiLevelType w:val="multilevel"/>
    <w:tmpl w:val="2E0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4"/>
  </w:num>
  <w:num w:numId="3">
    <w:abstractNumId w:val="3"/>
    <w:lvlOverride w:ilvl="0">
      <w:startOverride w:val="4"/>
    </w:lvlOverride>
  </w:num>
  <w:num w:numId="4">
    <w:abstractNumId w:val="10"/>
  </w:num>
  <w:num w:numId="5">
    <w:abstractNumId w:val="18"/>
    <w:lvlOverride w:ilvl="0">
      <w:startOverride w:val="5"/>
    </w:lvlOverride>
  </w:num>
  <w:num w:numId="6">
    <w:abstractNumId w:val="6"/>
  </w:num>
  <w:num w:numId="7">
    <w:abstractNumId w:val="11"/>
    <w:lvlOverride w:ilvl="0">
      <w:startOverride w:val="6"/>
    </w:lvlOverride>
  </w:num>
  <w:num w:numId="8">
    <w:abstractNumId w:val="19"/>
  </w:num>
  <w:num w:numId="9">
    <w:abstractNumId w:val="9"/>
    <w:lvlOverride w:ilvl="0">
      <w:startOverride w:val="7"/>
    </w:lvlOverride>
  </w:num>
  <w:num w:numId="10">
    <w:abstractNumId w:val="15"/>
  </w:num>
  <w:num w:numId="11">
    <w:abstractNumId w:val="0"/>
    <w:lvlOverride w:ilvl="0">
      <w:startOverride w:val="8"/>
    </w:lvlOverride>
  </w:num>
  <w:num w:numId="12">
    <w:abstractNumId w:val="5"/>
  </w:num>
  <w:num w:numId="13">
    <w:abstractNumId w:val="16"/>
    <w:lvlOverride w:ilvl="0">
      <w:startOverride w:val="9"/>
    </w:lvlOverride>
  </w:num>
  <w:num w:numId="14">
    <w:abstractNumId w:val="2"/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12"/>
    <w:lvlOverride w:ilvl="0">
      <w:startOverride w:val="2"/>
    </w:lvlOverride>
  </w:num>
  <w:num w:numId="18">
    <w:abstractNumId w:val="13"/>
  </w:num>
  <w:num w:numId="19">
    <w:abstractNumId w:val="17"/>
    <w:lvlOverride w:ilvl="0">
      <w:startOverride w:val="3"/>
    </w:lvlOverride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F7"/>
    <w:rsid w:val="00A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E3920"/>
  <w15:chartTrackingRefBased/>
  <w15:docId w15:val="{9F1E2C2E-94E3-4103-BFFA-E8E97476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9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Peng</dc:creator>
  <cp:keywords/>
  <dc:description/>
  <cp:lastModifiedBy>Tian Peng</cp:lastModifiedBy>
  <cp:revision>2</cp:revision>
  <dcterms:created xsi:type="dcterms:W3CDTF">2021-10-02T23:51:00Z</dcterms:created>
  <dcterms:modified xsi:type="dcterms:W3CDTF">2021-10-02T23:51:00Z</dcterms:modified>
</cp:coreProperties>
</file>