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5231" w14:textId="77777777" w:rsidR="00000000" w:rsidRDefault="007A18E2">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SS6 Financial Report and Analysis</w:t>
      </w:r>
    </w:p>
    <w:p w14:paraId="4C1EF3C6" w14:textId="77777777" w:rsidR="00000000" w:rsidRDefault="007A18E2">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June 30, 2021</w:t>
      </w:r>
    </w:p>
    <w:p w14:paraId="5A7AC1D4" w14:textId="77777777" w:rsidR="00000000" w:rsidRDefault="007A18E2">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12:28 PM</w:t>
      </w:r>
    </w:p>
    <w:p w14:paraId="326AC61F"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3F6083" w14:textId="77777777" w:rsidR="00000000" w:rsidRDefault="007A18E2">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READING 19. INTRODUCTION TO FINANCIAL STATEMENT ANALYSIS</w:t>
      </w:r>
    </w:p>
    <w:p w14:paraId="2B6665D8"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25DEAA9"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 xml:space="preserve">LOS </w:t>
      </w:r>
      <w:r>
        <w:rPr>
          <w:rFonts w:ascii="Calibri" w:eastAsia="Times New Roman" w:hAnsi="Calibri" w:cs="Calibri"/>
          <w:color w:val="2E75B5"/>
          <w:sz w:val="22"/>
          <w:szCs w:val="22"/>
        </w:rPr>
        <w:t xml:space="preserve">21a: Describe the roles of financial reporting and financial statement analysis; </w:t>
      </w:r>
    </w:p>
    <w:p w14:paraId="38000B0B"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Role of financial report is to provide financial information about the reporting entity that is useful to existing and potential investors, leaders, and other creditors in ma</w:t>
      </w:r>
      <w:r>
        <w:rPr>
          <w:rFonts w:ascii="Calibri" w:eastAsia="Times New Roman" w:hAnsi="Calibri" w:cs="Calibri"/>
          <w:sz w:val="22"/>
          <w:szCs w:val="22"/>
        </w:rPr>
        <w:t xml:space="preserve">king decisions about providing resources. </w:t>
      </w:r>
    </w:p>
    <w:p w14:paraId="74B480EE"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The ROLE of financial statement analysis is to use the information in FA, along with other info, to make economic decisions. (More about external users, but inner management also performs FA&amp;FR)</w:t>
      </w:r>
    </w:p>
    <w:p w14:paraId="4BC325CB"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B: describe the ro</w:t>
      </w:r>
      <w:r>
        <w:rPr>
          <w:rFonts w:ascii="Calibri" w:eastAsia="Times New Roman" w:hAnsi="Calibri" w:cs="Calibri"/>
          <w:color w:val="2E75B5"/>
          <w:sz w:val="22"/>
          <w:szCs w:val="22"/>
        </w:rPr>
        <w:t>les of the</w:t>
      </w:r>
      <w:r>
        <w:rPr>
          <w:rFonts w:ascii="Calibri" w:eastAsia="Times New Roman" w:hAnsi="Calibri" w:cs="Calibri"/>
          <w:color w:val="2E75B5"/>
          <w:sz w:val="22"/>
          <w:szCs w:val="22"/>
          <w:highlight w:val="yellow"/>
        </w:rPr>
        <w:t xml:space="preserve"> statement of financial position (balance sheet)</w:t>
      </w:r>
      <w:r>
        <w:rPr>
          <w:rFonts w:ascii="Calibri" w:eastAsia="Times New Roman" w:hAnsi="Calibri" w:cs="Calibri"/>
          <w:color w:val="2E75B5"/>
          <w:sz w:val="22"/>
          <w:szCs w:val="22"/>
        </w:rPr>
        <w:t>, statement of comprehensive income, statement of changes in equity, and statement of cash flows in evaluating a company’s performance and financial position;</w:t>
      </w:r>
    </w:p>
    <w:p w14:paraId="188DB5FD"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BS, aka statement of financial position</w:t>
      </w:r>
      <w:r>
        <w:rPr>
          <w:rFonts w:ascii="Calibri" w:eastAsia="Times New Roman" w:hAnsi="Calibri" w:cs="Calibri"/>
          <w:sz w:val="22"/>
          <w:szCs w:val="22"/>
        </w:rPr>
        <w:t xml:space="preserve"> or statement of financial condition, reports the firm's financial position at the time. Assets = liabilities + owners' equity. </w:t>
      </w:r>
      <w:r>
        <w:rPr>
          <w:rFonts w:ascii="Calibri" w:eastAsia="Times New Roman" w:hAnsi="Calibri" w:cs="Calibri"/>
          <w:b/>
          <w:bCs/>
          <w:sz w:val="22"/>
          <w:szCs w:val="22"/>
          <w:shd w:val="clear" w:color="auto" w:fill="FAC08F"/>
        </w:rPr>
        <w:t>BS presents a shareholder’s residual claim on assets (residual interests on assets after deducting liability)</w:t>
      </w:r>
    </w:p>
    <w:p w14:paraId="0F8B6B34"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highlight w:val="yellow"/>
        </w:rPr>
        <w:t>Statement of compr</w:t>
      </w:r>
      <w:r>
        <w:rPr>
          <w:rFonts w:ascii="Calibri" w:eastAsia="Times New Roman" w:hAnsi="Calibri" w:cs="Calibri"/>
          <w:sz w:val="22"/>
          <w:szCs w:val="22"/>
          <w:highlight w:val="yellow"/>
        </w:rPr>
        <w:t xml:space="preserve">ehensive income reports changes in equity [business activities] except shareholders doing with stocks. </w:t>
      </w:r>
      <w:r>
        <w:rPr>
          <w:rFonts w:ascii="Calibri" w:eastAsia="Times New Roman" w:hAnsi="Calibri" w:cs="Calibri"/>
          <w:sz w:val="22"/>
          <w:szCs w:val="22"/>
          <w:shd w:val="clear" w:color="auto" w:fill="FAC08F"/>
        </w:rPr>
        <w:t xml:space="preserve">Net income determined in the calculation of comprehensive income is a component of the change in retained earnings, but there are other changes that may </w:t>
      </w:r>
      <w:r>
        <w:rPr>
          <w:rFonts w:ascii="Calibri" w:eastAsia="Times New Roman" w:hAnsi="Calibri" w:cs="Calibri"/>
          <w:sz w:val="22"/>
          <w:szCs w:val="22"/>
          <w:shd w:val="clear" w:color="auto" w:fill="FAC08F"/>
        </w:rPr>
        <w:t xml:space="preserve">also have occurred (the payment of dividends, for example) that are not included on the statement of comprehensive income. </w:t>
      </w:r>
    </w:p>
    <w:p w14:paraId="729C5785"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D00A63C" wp14:editId="7CF63FB5">
            <wp:extent cx="6286500" cy="52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523875"/>
                    </a:xfrm>
                    <a:prstGeom prst="rect">
                      <a:avLst/>
                    </a:prstGeom>
                    <a:noFill/>
                    <a:ln>
                      <a:noFill/>
                    </a:ln>
                  </pic:spPr>
                </pic:pic>
              </a:graphicData>
            </a:graphic>
          </wp:inline>
        </w:drawing>
      </w:r>
    </w:p>
    <w:p w14:paraId="72D67AE8"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IS, aka statement of operations or profit and loss statement. Revenues = other Income - Expenses</w:t>
      </w:r>
    </w:p>
    <w:p w14:paraId="2935FE35"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Cash flows: operati</w:t>
      </w:r>
      <w:r>
        <w:rPr>
          <w:rFonts w:ascii="Calibri" w:eastAsia="Times New Roman" w:hAnsi="Calibri" w:cs="Calibri"/>
          <w:sz w:val="22"/>
          <w:szCs w:val="22"/>
        </w:rPr>
        <w:t xml:space="preserve">ng, investing, financial </w:t>
      </w:r>
    </w:p>
    <w:p w14:paraId="17660EB3"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C: describe the importance of financial statement</w:t>
      </w:r>
      <w:r>
        <w:rPr>
          <w:rFonts w:ascii="Calibri" w:eastAsia="Times New Roman" w:hAnsi="Calibri" w:cs="Calibri"/>
          <w:color w:val="2E75B5"/>
          <w:sz w:val="22"/>
          <w:szCs w:val="22"/>
          <w:highlight w:val="yellow"/>
        </w:rPr>
        <w:t xml:space="preserve"> notes and supplementary</w:t>
      </w:r>
      <w:r>
        <w:rPr>
          <w:rFonts w:ascii="Calibri" w:eastAsia="Times New Roman" w:hAnsi="Calibri" w:cs="Calibri"/>
          <w:color w:val="2E75B5"/>
          <w:sz w:val="22"/>
          <w:szCs w:val="22"/>
        </w:rPr>
        <w:t xml:space="preserve"> information—including disclosures of accounting policies, methods, and estimates— and management’s commentary;</w:t>
      </w:r>
    </w:p>
    <w:p w14:paraId="414E9B87" w14:textId="77777777" w:rsidR="00000000" w:rsidRDefault="007A18E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AC08F"/>
        </w:rPr>
        <w:t>Footnotes</w:t>
      </w:r>
      <w:r>
        <w:rPr>
          <w:rFonts w:ascii="Calibri" w:eastAsia="Times New Roman" w:hAnsi="Calibri" w:cs="Calibri"/>
          <w:sz w:val="22"/>
          <w:szCs w:val="22"/>
        </w:rPr>
        <w:t xml:space="preserve"> to improve their assessments of the</w:t>
      </w:r>
      <w:r>
        <w:rPr>
          <w:rFonts w:ascii="Calibri" w:eastAsia="Times New Roman" w:hAnsi="Calibri" w:cs="Calibri"/>
          <w:b/>
          <w:bCs/>
          <w:sz w:val="22"/>
          <w:szCs w:val="22"/>
        </w:rPr>
        <w:t xml:space="preserve"> amount, timing, and uncertainty [</w:t>
      </w:r>
      <w:r>
        <w:rPr>
          <w:rFonts w:ascii="Calibri" w:eastAsia="Times New Roman" w:hAnsi="Calibri" w:cs="Calibri"/>
          <w:b/>
          <w:bCs/>
          <w:sz w:val="22"/>
          <w:szCs w:val="22"/>
          <w:shd w:val="clear" w:color="auto" w:fill="FAC08F"/>
        </w:rPr>
        <w:t>accounting policies, methods, and estimates</w:t>
      </w:r>
      <w:r>
        <w:rPr>
          <w:rFonts w:ascii="Calibri" w:eastAsia="Times New Roman" w:hAnsi="Calibri" w:cs="Calibri"/>
          <w:b/>
          <w:bCs/>
          <w:sz w:val="22"/>
          <w:szCs w:val="22"/>
        </w:rPr>
        <w:t>]</w:t>
      </w:r>
      <w:r>
        <w:rPr>
          <w:rFonts w:ascii="Calibri" w:eastAsia="Times New Roman" w:hAnsi="Calibri" w:cs="Calibri"/>
          <w:sz w:val="22"/>
          <w:szCs w:val="22"/>
        </w:rPr>
        <w:t xml:space="preserve"> reported: </w:t>
      </w:r>
    </w:p>
    <w:p w14:paraId="7FB17436" w14:textId="77777777" w:rsidR="00000000" w:rsidRDefault="007A18E2">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Discuss the basis of presentation, eg fiscal period or inclusion of consolidated entities </w:t>
      </w:r>
    </w:p>
    <w:p w14:paraId="55C44A94" w14:textId="77777777" w:rsidR="00000000" w:rsidRDefault="007A18E2">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Accounting methods, assumptions, estimates </w:t>
      </w:r>
    </w:p>
    <w:p w14:paraId="666DFF7B"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(SUMMARY: Business acquisitions</w:t>
      </w:r>
      <w:r>
        <w:rPr>
          <w:rFonts w:ascii="Calibri" w:hAnsi="Calibri" w:cs="Calibri"/>
          <w:sz w:val="22"/>
          <w:szCs w:val="22"/>
        </w:rPr>
        <w:t xml:space="preserve"> or disposals, legal actions, employee benefits plan, contingencies or commitments, significant client, sales or segments)</w:t>
      </w:r>
    </w:p>
    <w:p w14:paraId="24EF0B38" w14:textId="77777777" w:rsidR="00000000" w:rsidRDefault="007A18E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financial instruments and risks arising from financial instruments,</w:t>
      </w:r>
    </w:p>
    <w:p w14:paraId="018E2EA7" w14:textId="77777777" w:rsidR="00000000" w:rsidRDefault="007A18E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commitments and contingencies,</w:t>
      </w:r>
    </w:p>
    <w:p w14:paraId="46A05ED6" w14:textId="77777777" w:rsidR="00000000" w:rsidRDefault="007A18E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legal proceedings,</w:t>
      </w:r>
    </w:p>
    <w:p w14:paraId="11630AFE" w14:textId="77777777" w:rsidR="00000000" w:rsidRDefault="007A18E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related-party transactions,</w:t>
      </w:r>
    </w:p>
    <w:p w14:paraId="1FA969A6" w14:textId="77777777" w:rsidR="00000000" w:rsidRDefault="007A18E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subsequent events (i.e., events that occur after the balance sheet date),</w:t>
      </w:r>
    </w:p>
    <w:p w14:paraId="4146C1B2" w14:textId="77777777" w:rsidR="00000000" w:rsidRDefault="007A18E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lastRenderedPageBreak/>
        <w:t>business acquisitions and disposals, and</w:t>
      </w:r>
    </w:p>
    <w:p w14:paraId="5281B2F0" w14:textId="77777777" w:rsidR="00000000" w:rsidRDefault="007A18E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operating segments’ performance</w:t>
      </w:r>
    </w:p>
    <w:p w14:paraId="54BA82E5" w14:textId="77777777" w:rsidR="00000000" w:rsidRDefault="007A18E2">
      <w:pPr>
        <w:numPr>
          <w:ilvl w:val="1"/>
          <w:numId w:val="6"/>
        </w:numPr>
        <w:textAlignment w:val="center"/>
        <w:rPr>
          <w:rFonts w:ascii="Calibri" w:eastAsia="Times New Roman" w:hAnsi="Calibri" w:cs="Calibri"/>
          <w:sz w:val="22"/>
          <w:szCs w:val="22"/>
        </w:rPr>
      </w:pPr>
      <w:r>
        <w:rPr>
          <w:rFonts w:ascii="Calibri" w:eastAsia="Times New Roman" w:hAnsi="Calibri" w:cs="Calibri"/>
          <w:b/>
          <w:bCs/>
          <w:sz w:val="22"/>
          <w:szCs w:val="22"/>
        </w:rPr>
        <w:t>Management's commentary aka management's report, operating and</w:t>
      </w:r>
      <w:r>
        <w:rPr>
          <w:rFonts w:ascii="Calibri" w:eastAsia="Times New Roman" w:hAnsi="Calibri" w:cs="Calibri"/>
          <w:b/>
          <w:bCs/>
          <w:sz w:val="22"/>
          <w:szCs w:val="22"/>
        </w:rPr>
        <w:t xml:space="preserve"> financial review, MD&amp;A(discussion and analysis)</w:t>
      </w:r>
      <w:r>
        <w:rPr>
          <w:rFonts w:ascii="Calibri" w:eastAsia="Times New Roman" w:hAnsi="Calibri" w:cs="Calibri"/>
          <w:sz w:val="22"/>
          <w:szCs w:val="22"/>
        </w:rPr>
        <w:t xml:space="preserve">: nature of business, objectives, past performance, performance measures, key relationships, recourses and risk. </w:t>
      </w:r>
      <w:r>
        <w:rPr>
          <w:rFonts w:ascii="Calibri" w:eastAsia="Times New Roman" w:hAnsi="Calibri" w:cs="Calibri"/>
          <w:b/>
          <w:bCs/>
          <w:sz w:val="22"/>
          <w:szCs w:val="22"/>
          <w:highlight w:val="yellow"/>
        </w:rPr>
        <w:t>Maybe unaudited</w:t>
      </w:r>
      <w:r>
        <w:rPr>
          <w:rFonts w:ascii="Calibri" w:eastAsia="Times New Roman" w:hAnsi="Calibri" w:cs="Calibri"/>
          <w:sz w:val="22"/>
          <w:szCs w:val="22"/>
        </w:rPr>
        <w:t xml:space="preserve">. US SEC </w:t>
      </w:r>
      <w:r>
        <w:rPr>
          <w:rFonts w:ascii="Calibri" w:eastAsia="Times New Roman" w:hAnsi="Calibri" w:cs="Calibri"/>
          <w:b/>
          <w:bCs/>
          <w:sz w:val="22"/>
          <w:szCs w:val="22"/>
          <w:shd w:val="clear" w:color="auto" w:fill="FAC08F"/>
        </w:rPr>
        <w:t>requires trends, significant events, uncertainties that affect</w:t>
      </w:r>
      <w:r>
        <w:rPr>
          <w:rFonts w:ascii="Calibri" w:eastAsia="Times New Roman" w:hAnsi="Calibri" w:cs="Calibri"/>
          <w:sz w:val="22"/>
          <w:szCs w:val="22"/>
        </w:rPr>
        <w:t xml:space="preserve"> firm's liquidity, capital resources, operations. Eg: </w:t>
      </w:r>
    </w:p>
    <w:p w14:paraId="123C5FA4" w14:textId="77777777" w:rsidR="00000000" w:rsidRDefault="007A18E2">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Inflation &amp; price changing </w:t>
      </w:r>
    </w:p>
    <w:p w14:paraId="312DBEE4" w14:textId="77777777" w:rsidR="00000000" w:rsidRDefault="007A18E2">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Off-Balance-Sheet obligations and contractual obligations - purchase commitments </w:t>
      </w:r>
    </w:p>
    <w:p w14:paraId="43010007" w14:textId="77777777" w:rsidR="00000000" w:rsidRDefault="007A18E2">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Accounting policies needs jud</w:t>
      </w:r>
      <w:r>
        <w:rPr>
          <w:rFonts w:ascii="Calibri" w:eastAsia="Times New Roman" w:hAnsi="Calibri" w:cs="Calibri"/>
          <w:sz w:val="22"/>
          <w:szCs w:val="22"/>
        </w:rPr>
        <w:t xml:space="preserve">gement </w:t>
      </w:r>
    </w:p>
    <w:p w14:paraId="186AE629" w14:textId="77777777" w:rsidR="00000000" w:rsidRDefault="007A18E2">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Forward-looing expenditures and divestitures </w:t>
      </w:r>
    </w:p>
    <w:p w14:paraId="580C6FA9"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D: describe the objective of audits of financial statements, the types of audit reports, and the importance of effective internal controls;</w:t>
      </w:r>
    </w:p>
    <w:p w14:paraId="70248C25"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Standard auditor's opinions: 1. independent, 2. GAAS, reasonab</w:t>
      </w:r>
      <w:r>
        <w:rPr>
          <w:rFonts w:ascii="Calibri" w:eastAsia="Times New Roman" w:hAnsi="Calibri" w:cs="Calibri"/>
          <w:sz w:val="22"/>
          <w:szCs w:val="22"/>
        </w:rPr>
        <w:t xml:space="preserve">le assurance of no material errors, 3. accepted and reasonable, with additional explanation. </w:t>
      </w:r>
      <w:r>
        <w:rPr>
          <w:rFonts w:ascii="Calibri" w:eastAsia="Times New Roman" w:hAnsi="Calibri" w:cs="Calibri"/>
          <w:b/>
          <w:bCs/>
          <w:sz w:val="22"/>
          <w:szCs w:val="22"/>
          <w:shd w:val="clear" w:color="auto" w:fill="FAC08F"/>
        </w:rPr>
        <w:t>Sarbanes–Oxley</w:t>
      </w:r>
    </w:p>
    <w:p w14:paraId="45215AE8"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b/>
          <w:bCs/>
          <w:sz w:val="22"/>
          <w:szCs w:val="22"/>
          <w:u w:val="single"/>
        </w:rPr>
        <w:t>Unqualified</w:t>
      </w:r>
      <w:r>
        <w:rPr>
          <w:rFonts w:ascii="Calibri" w:eastAsia="Times New Roman" w:hAnsi="Calibri" w:cs="Calibri"/>
          <w:sz w:val="22"/>
          <w:szCs w:val="22"/>
          <w:u w:val="single"/>
        </w:rPr>
        <w:t xml:space="preserve"> opinion (</w:t>
      </w:r>
      <w:r>
        <w:rPr>
          <w:rFonts w:ascii="Calibri" w:eastAsia="Times New Roman" w:hAnsi="Calibri" w:cs="Calibri"/>
          <w:b/>
          <w:bCs/>
          <w:sz w:val="22"/>
          <w:szCs w:val="22"/>
          <w:u w:val="single"/>
        </w:rPr>
        <w:t>clean</w:t>
      </w:r>
      <w:r>
        <w:rPr>
          <w:rFonts w:ascii="Calibri" w:eastAsia="Times New Roman" w:hAnsi="Calibri" w:cs="Calibri"/>
          <w:sz w:val="22"/>
          <w:szCs w:val="22"/>
          <w:u w:val="single"/>
        </w:rPr>
        <w:t xml:space="preserve"> opinion): no material or errors </w:t>
      </w:r>
    </w:p>
    <w:p w14:paraId="2BA94CAD"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b/>
          <w:bCs/>
          <w:sz w:val="22"/>
          <w:szCs w:val="22"/>
          <w:u w:val="single"/>
        </w:rPr>
        <w:t>Qualified</w:t>
      </w:r>
      <w:r>
        <w:rPr>
          <w:rFonts w:ascii="Calibri" w:hAnsi="Calibri" w:cs="Calibri"/>
          <w:sz w:val="22"/>
          <w:szCs w:val="22"/>
          <w:u w:val="single"/>
        </w:rPr>
        <w:t xml:space="preserve"> opinion: explains exceptions to the accounting principles </w:t>
      </w:r>
    </w:p>
    <w:p w14:paraId="18EF4CE3"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b/>
          <w:bCs/>
          <w:sz w:val="22"/>
          <w:szCs w:val="22"/>
          <w:u w:val="single"/>
        </w:rPr>
        <w:t>Adverse</w:t>
      </w:r>
      <w:r>
        <w:rPr>
          <w:rFonts w:ascii="Calibri" w:hAnsi="Calibri" w:cs="Calibri"/>
          <w:sz w:val="22"/>
          <w:szCs w:val="22"/>
          <w:u w:val="single"/>
        </w:rPr>
        <w:t xml:space="preserve"> opinion: no</w:t>
      </w:r>
      <w:r>
        <w:rPr>
          <w:rFonts w:ascii="Calibri" w:hAnsi="Calibri" w:cs="Calibri"/>
          <w:sz w:val="22"/>
          <w:szCs w:val="22"/>
          <w:u w:val="single"/>
        </w:rPr>
        <w:t xml:space="preserve">t fair or material </w:t>
      </w:r>
    </w:p>
    <w:p w14:paraId="2F65513F"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b/>
          <w:bCs/>
          <w:sz w:val="22"/>
          <w:szCs w:val="22"/>
        </w:rPr>
        <w:t>Disclaimer</w:t>
      </w:r>
      <w:r>
        <w:rPr>
          <w:rFonts w:ascii="Calibri" w:hAnsi="Calibri" w:cs="Calibri"/>
          <w:sz w:val="22"/>
          <w:szCs w:val="22"/>
        </w:rPr>
        <w:t xml:space="preserve"> of opinion: unable to express opinions in the case of a scope limitation </w:t>
      </w:r>
    </w:p>
    <w:p w14:paraId="5CEA9AE0"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Internal control: process that company ensures it presents accurate FA, responsibility of management. US SEC requires auditors to express opinions on i</w:t>
      </w:r>
      <w:r>
        <w:rPr>
          <w:rFonts w:ascii="Calibri" w:eastAsia="Times New Roman" w:hAnsi="Calibri" w:cs="Calibri"/>
          <w:sz w:val="22"/>
          <w:szCs w:val="22"/>
        </w:rPr>
        <w:t xml:space="preserve">nternal control, can separately or 4th element of standard opinion. </w:t>
      </w:r>
    </w:p>
    <w:p w14:paraId="2F447E09"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Auditor: </w:t>
      </w:r>
    </w:p>
    <w:p w14:paraId="71A3E001"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1. Whereas the financial statements are prepared by management and are its responsibility, the auditor has performed an independent review.</w:t>
      </w:r>
    </w:p>
    <w:p w14:paraId="36D5842B"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2. Generally </w:t>
      </w:r>
      <w:r>
        <w:rPr>
          <w:rFonts w:ascii="Calibri" w:hAnsi="Calibri" w:cs="Calibri"/>
          <w:sz w:val="22"/>
          <w:szCs w:val="22"/>
        </w:rPr>
        <w:t>accepted auditing standards were followed, thus providing reasonable assurance that the financial statements contain no material errors.</w:t>
      </w:r>
    </w:p>
    <w:p w14:paraId="383C3E90"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3. The auditor is satisfied that the statements were prepared in accordance with accepted accounting principles and tha</w:t>
      </w:r>
      <w:r>
        <w:rPr>
          <w:rFonts w:ascii="Calibri" w:hAnsi="Calibri" w:cs="Calibri"/>
          <w:sz w:val="22"/>
          <w:szCs w:val="22"/>
        </w:rPr>
        <w:t xml:space="preserve">t the principles chosen and estimates made are reasonable. The auditor’s report must also contain additional explanation when accounting methods have not been used consistently between periods. </w:t>
      </w:r>
    </w:p>
    <w:p w14:paraId="7A38E516"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DF702E2" wp14:editId="583662F4">
            <wp:extent cx="3057525" cy="2057400"/>
            <wp:effectExtent l="0" t="0" r="9525" b="0"/>
            <wp:docPr id="2" name="Picture 2" descr="Unqualified &#10;Qualified &#10;Adverse &#10;Disclaimer &#10;of opinion &#10;• True and fairly presented &#10;• Clean opinion &#10;• Preferred by investors &#10;• Limited scope (incomplete records) &#10;• Exception from accounting standards &#10;• Explains degree and area of exception &#10;• Red flag on financial reporting quality &#10;• Material departure from accounting standards &#10;• Pervasive errors &#10;• Fraudulent or illegal activities &#10;• Unreliable financial statements &#10;• Unable to issue an opin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qualified &#10;Qualified &#10;Adverse &#10;Disclaimer &#10;of opinion &#10;• True and fairly presented &#10;• Clean opinion &#10;• Preferred by investors &#10;• Limited scope (incomplete records) &#10;• Exception from accounting standards &#10;• Explains degree and area of exception &#10;• Red flag on financial reporting quality &#10;• Material departure from accounting standards &#10;• Pervasive errors &#10;• Fraudulent or illegal activities &#10;• Unreliable financial statements &#10;• Unable to issue an opin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7525" cy="2057400"/>
                    </a:xfrm>
                    <a:prstGeom prst="rect">
                      <a:avLst/>
                    </a:prstGeom>
                    <a:noFill/>
                    <a:ln>
                      <a:noFill/>
                    </a:ln>
                  </pic:spPr>
                </pic:pic>
              </a:graphicData>
            </a:graphic>
          </wp:inline>
        </w:drawing>
      </w:r>
    </w:p>
    <w:p w14:paraId="73B987D5"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E: identify and describe information sources that analysts use in financial statement analysis besides annual financ</w:t>
      </w:r>
      <w:r>
        <w:rPr>
          <w:rFonts w:ascii="Calibri" w:eastAsia="Times New Roman" w:hAnsi="Calibri" w:cs="Calibri"/>
          <w:color w:val="2E75B5"/>
          <w:sz w:val="22"/>
          <w:szCs w:val="22"/>
        </w:rPr>
        <w:t xml:space="preserve">ial statements and supplementary information; </w:t>
      </w:r>
    </w:p>
    <w:p w14:paraId="2F9CE68C"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Quarterly or semiannual reports (10-Q, 10-K): not audited, but </w:t>
      </w:r>
      <w:r>
        <w:rPr>
          <w:rFonts w:ascii="Calibri" w:eastAsia="Times New Roman" w:hAnsi="Calibri" w:cs="Calibri"/>
          <w:b/>
          <w:bCs/>
          <w:sz w:val="22"/>
          <w:szCs w:val="22"/>
        </w:rPr>
        <w:t>update</w:t>
      </w:r>
      <w:r>
        <w:rPr>
          <w:rFonts w:ascii="Calibri" w:eastAsia="Times New Roman" w:hAnsi="Calibri" w:cs="Calibri"/>
          <w:sz w:val="22"/>
          <w:szCs w:val="22"/>
        </w:rPr>
        <w:t xml:space="preserve">. 8-K of acquisitions and disposal. </w:t>
      </w:r>
    </w:p>
    <w:p w14:paraId="31455F8D"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b/>
          <w:bCs/>
          <w:sz w:val="22"/>
          <w:szCs w:val="22"/>
        </w:rPr>
        <w:lastRenderedPageBreak/>
        <w:t>Proxy</w:t>
      </w:r>
      <w:r>
        <w:rPr>
          <w:rFonts w:ascii="Calibri" w:eastAsia="Times New Roman" w:hAnsi="Calibri" w:cs="Calibri"/>
          <w:sz w:val="22"/>
          <w:szCs w:val="22"/>
        </w:rPr>
        <w:t xml:space="preserve"> statements: issued to shareholders for voting, about election &amp; qualifications of board members, </w:t>
      </w:r>
      <w:r>
        <w:rPr>
          <w:rFonts w:ascii="Calibri" w:eastAsia="Times New Roman" w:hAnsi="Calibri" w:cs="Calibri"/>
          <w:sz w:val="22"/>
          <w:szCs w:val="22"/>
        </w:rPr>
        <w:t xml:space="preserve">compensation, management, issuance of stock options </w:t>
      </w:r>
    </w:p>
    <w:p w14:paraId="4D6F8421"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Corporate reports, press release: public relations or sales materials </w:t>
      </w:r>
    </w:p>
    <w:p w14:paraId="4A2CD302" w14:textId="77777777" w:rsidR="00000000" w:rsidRDefault="007A18E2">
      <w:pPr>
        <w:numPr>
          <w:ilvl w:val="1"/>
          <w:numId w:val="9"/>
        </w:numPr>
        <w:textAlignment w:val="center"/>
        <w:rPr>
          <w:rFonts w:ascii="Calibri" w:eastAsia="Times New Roman" w:hAnsi="Calibri" w:cs="Calibri"/>
          <w:sz w:val="22"/>
          <w:szCs w:val="22"/>
        </w:rPr>
      </w:pPr>
      <w:r>
        <w:rPr>
          <w:rFonts w:ascii="Calibri" w:eastAsia="Times New Roman" w:hAnsi="Calibri" w:cs="Calibri"/>
          <w:b/>
          <w:bCs/>
          <w:sz w:val="22"/>
          <w:szCs w:val="22"/>
        </w:rPr>
        <w:t>Earnings guidance</w:t>
      </w:r>
      <w:r>
        <w:rPr>
          <w:rFonts w:ascii="Calibri" w:eastAsia="Times New Roman" w:hAnsi="Calibri" w:cs="Calibri"/>
          <w:sz w:val="22"/>
          <w:szCs w:val="22"/>
        </w:rPr>
        <w:t xml:space="preserve">, before FA, a conference all of senior management to answer questions </w:t>
      </w:r>
    </w:p>
    <w:p w14:paraId="34A7D895"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F: describe the steps in the financial stat</w:t>
      </w:r>
      <w:r>
        <w:rPr>
          <w:rFonts w:ascii="Calibri" w:eastAsia="Times New Roman" w:hAnsi="Calibri" w:cs="Calibri"/>
          <w:color w:val="2E75B5"/>
          <w:sz w:val="22"/>
          <w:szCs w:val="22"/>
        </w:rPr>
        <w:t xml:space="preserve">ement analysis framework. </w:t>
      </w:r>
    </w:p>
    <w:p w14:paraId="262C9257"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State the objective and context</w:t>
      </w:r>
    </w:p>
    <w:p w14:paraId="16F6CEA7"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Gather data (ask questions about management, suppliers, customers)</w:t>
      </w:r>
    </w:p>
    <w:p w14:paraId="1562953E"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Process the data (calculate ratios, prepare graphs and common-size BS)</w:t>
      </w:r>
    </w:p>
    <w:p w14:paraId="02042453"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Analyze and interpret the data (conclusions and recommendat</w:t>
      </w:r>
      <w:r>
        <w:rPr>
          <w:rFonts w:ascii="Calibri" w:eastAsia="Times New Roman" w:hAnsi="Calibri" w:cs="Calibri"/>
          <w:sz w:val="22"/>
          <w:szCs w:val="22"/>
        </w:rPr>
        <w:t>ions)</w:t>
      </w:r>
    </w:p>
    <w:p w14:paraId="73F22B7D"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Report the conclusions or recommendations (prepare report and talk, comply with code&amp;standards)</w:t>
      </w:r>
    </w:p>
    <w:p w14:paraId="2C7B421D"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Update the analysis (aka </w:t>
      </w:r>
      <w:r>
        <w:rPr>
          <w:rFonts w:ascii="Calibri" w:eastAsia="Times New Roman" w:hAnsi="Calibri" w:cs="Calibri"/>
          <w:b/>
          <w:bCs/>
          <w:sz w:val="22"/>
          <w:szCs w:val="22"/>
          <w:shd w:val="clear" w:color="auto" w:fill="FAC08F"/>
        </w:rPr>
        <w:t>follow-up</w:t>
      </w:r>
      <w:r>
        <w:rPr>
          <w:rFonts w:ascii="Calibri" w:eastAsia="Times New Roman" w:hAnsi="Calibri" w:cs="Calibri"/>
          <w:sz w:val="22"/>
          <w:szCs w:val="22"/>
        </w:rPr>
        <w:t>, repeat)</w:t>
      </w:r>
    </w:p>
    <w:p w14:paraId="0FA42C14"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97F1617" wp14:editId="5B7F35F6">
            <wp:extent cx="44291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9125" cy="3219450"/>
                    </a:xfrm>
                    <a:prstGeom prst="rect">
                      <a:avLst/>
                    </a:prstGeom>
                    <a:noFill/>
                    <a:ln>
                      <a:noFill/>
                    </a:ln>
                  </pic:spPr>
                </pic:pic>
              </a:graphicData>
            </a:graphic>
          </wp:inline>
        </w:drawing>
      </w:r>
    </w:p>
    <w:p w14:paraId="283BB111"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5049CB0"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CFBD8A9" w14:textId="77777777" w:rsidR="00000000" w:rsidRDefault="007A18E2">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READING 20. FINANCIAL REPORTING STANDARDS</w:t>
      </w:r>
    </w:p>
    <w:p w14:paraId="14B3CB9A"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0967E54"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 xml:space="preserve">A: describe the objective of financial reporting and the importance of financial reporting standards in security analysis and valuation; </w:t>
      </w:r>
    </w:p>
    <w:p w14:paraId="38793CE0"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To provide economic decision makers with useful info about financial performance and changes in financial positions. Reporting standards ensures diff firms are comparable, narrowing the range of reasonable estimates. </w:t>
      </w:r>
    </w:p>
    <w:p w14:paraId="1E21277B"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B: describe the roles of financial rep</w:t>
      </w:r>
      <w:r>
        <w:rPr>
          <w:rFonts w:ascii="Calibri" w:eastAsia="Times New Roman" w:hAnsi="Calibri" w:cs="Calibri"/>
          <w:color w:val="2E75B5"/>
          <w:sz w:val="22"/>
          <w:szCs w:val="22"/>
        </w:rPr>
        <w:t xml:space="preserve">orting standard-setting bodies and regulatory authorities in establishing and enforcing reporting standards; </w:t>
      </w:r>
    </w:p>
    <w:p w14:paraId="78F465CF"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Standard-setting bodes: </w:t>
      </w:r>
      <w:r>
        <w:rPr>
          <w:rFonts w:ascii="Calibri" w:eastAsia="Times New Roman" w:hAnsi="Calibri" w:cs="Calibri"/>
          <w:sz w:val="22"/>
          <w:szCs w:val="22"/>
        </w:rPr>
        <w:t>professional org of accountants and auditors, 1 FASB - GAAP, 2 IASB - IFRS/IAS</w:t>
      </w:r>
    </w:p>
    <w:p w14:paraId="52F2A504"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Regulatory authorities: SEC, FCA(UK), International Organization of Securities Commissions(IOSCO) - 1. protect investors, 2. ensure fairness efficiency transparency, 3. reduce s</w:t>
      </w:r>
      <w:r>
        <w:rPr>
          <w:rFonts w:ascii="Calibri" w:eastAsia="Times New Roman" w:hAnsi="Calibri" w:cs="Calibri"/>
          <w:sz w:val="22"/>
          <w:szCs w:val="22"/>
        </w:rPr>
        <w:t xml:space="preserve">ystemic risk </w:t>
      </w:r>
    </w:p>
    <w:p w14:paraId="41B17D2B"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10-K(needs audit), 10-Q, </w:t>
      </w:r>
      <w:r>
        <w:rPr>
          <w:rFonts w:ascii="Calibri" w:eastAsia="Times New Roman" w:hAnsi="Calibri" w:cs="Calibri"/>
          <w:b/>
          <w:bCs/>
          <w:sz w:val="22"/>
          <w:szCs w:val="22"/>
          <w:shd w:val="clear" w:color="auto" w:fill="FAC08F"/>
        </w:rPr>
        <w:t>DEF-14A (proxy)</w:t>
      </w:r>
      <w:r>
        <w:rPr>
          <w:rFonts w:ascii="Calibri" w:eastAsia="Times New Roman" w:hAnsi="Calibri" w:cs="Calibri"/>
          <w:sz w:val="22"/>
          <w:szCs w:val="22"/>
        </w:rPr>
        <w:t>, 8-K (disclose material events of acquisitions, disposals, changes in corp gov, security markets), 6-K(foreigner 10-Q), Form 144 (securities to qualified buyers without registering but notifying), Form</w:t>
      </w:r>
      <w:r>
        <w:rPr>
          <w:rFonts w:ascii="Calibri" w:eastAsia="Times New Roman" w:hAnsi="Calibri" w:cs="Calibri"/>
          <w:sz w:val="22"/>
          <w:szCs w:val="22"/>
        </w:rPr>
        <w:t>s 3/4/5 (beneficial ownership)</w:t>
      </w:r>
    </w:p>
    <w:p w14:paraId="511BB7FB"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F6DFE76"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 xml:space="preserve">C: describe the International Accounting Standards Board’s conceptual framework, including qualitative characteristics of financial reports, constraints on financial reports, and required reporting elements; </w:t>
      </w:r>
    </w:p>
    <w:p w14:paraId="29C7CC63"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Fundamental qu</w:t>
      </w:r>
      <w:r>
        <w:rPr>
          <w:rFonts w:ascii="Calibri" w:eastAsia="Times New Roman" w:hAnsi="Calibri" w:cs="Calibri"/>
          <w:sz w:val="22"/>
          <w:szCs w:val="22"/>
        </w:rPr>
        <w:t xml:space="preserve">alitative characteristics: 1. relevance (predictive value/confirmatory value or both, </w:t>
      </w:r>
      <w:r>
        <w:rPr>
          <w:rFonts w:ascii="Calibri" w:eastAsia="Times New Roman" w:hAnsi="Calibri" w:cs="Calibri"/>
          <w:b/>
          <w:bCs/>
          <w:sz w:val="22"/>
          <w:szCs w:val="22"/>
        </w:rPr>
        <w:t>materiality</w:t>
      </w:r>
      <w:r>
        <w:rPr>
          <w:rFonts w:ascii="Calibri" w:eastAsia="Times New Roman" w:hAnsi="Calibri" w:cs="Calibri"/>
          <w:sz w:val="22"/>
          <w:szCs w:val="22"/>
        </w:rPr>
        <w:t>), 2. faithful representation (complete, neutral, free from error)</w:t>
      </w:r>
    </w:p>
    <w:p w14:paraId="70F8AB6F"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Enhancing characteristics: 1. comparability (consistent among firms and over time), 2. </w:t>
      </w:r>
      <w:r>
        <w:rPr>
          <w:rFonts w:ascii="Calibri" w:eastAsia="Times New Roman" w:hAnsi="Calibri" w:cs="Calibri"/>
          <w:b/>
          <w:bCs/>
          <w:sz w:val="22"/>
          <w:szCs w:val="22"/>
          <w:shd w:val="clear" w:color="auto" w:fill="FAC08F"/>
        </w:rPr>
        <w:t>verif</w:t>
      </w:r>
      <w:r>
        <w:rPr>
          <w:rFonts w:ascii="Calibri" w:eastAsia="Times New Roman" w:hAnsi="Calibri" w:cs="Calibri"/>
          <w:b/>
          <w:bCs/>
          <w:sz w:val="22"/>
          <w:szCs w:val="22"/>
          <w:shd w:val="clear" w:color="auto" w:fill="FAC08F"/>
        </w:rPr>
        <w:t>iability</w:t>
      </w:r>
      <w:r>
        <w:rPr>
          <w:rFonts w:ascii="Calibri" w:eastAsia="Times New Roman" w:hAnsi="Calibri" w:cs="Calibri"/>
          <w:sz w:val="22"/>
          <w:szCs w:val="22"/>
          <w:shd w:val="clear" w:color="auto" w:fill="FAC08F"/>
        </w:rPr>
        <w:t xml:space="preserve"> (same - different knowledgeable and independent users would agree that the information presented faithfully represents the economic events that it is intended to represent</w:t>
      </w:r>
      <w:r>
        <w:rPr>
          <w:rFonts w:ascii="Calibri" w:eastAsia="Times New Roman" w:hAnsi="Calibri" w:cs="Calibri"/>
          <w:sz w:val="22"/>
          <w:szCs w:val="22"/>
        </w:rPr>
        <w:t xml:space="preserve">), 3. timeliness </w:t>
      </w:r>
      <w:r>
        <w:rPr>
          <w:rFonts w:ascii="Calibri" w:eastAsia="Times New Roman" w:hAnsi="Calibri" w:cs="Calibri"/>
          <w:sz w:val="22"/>
          <w:szCs w:val="22"/>
          <w:highlight w:val="yellow"/>
        </w:rPr>
        <w:t>(information is available to decision makers before informa</w:t>
      </w:r>
      <w:r>
        <w:rPr>
          <w:rFonts w:ascii="Calibri" w:eastAsia="Times New Roman" w:hAnsi="Calibri" w:cs="Calibri"/>
          <w:sz w:val="22"/>
          <w:szCs w:val="22"/>
          <w:highlight w:val="yellow"/>
        </w:rPr>
        <w:t>tion is stale</w:t>
      </w:r>
      <w:r>
        <w:rPr>
          <w:rFonts w:ascii="Calibri" w:eastAsia="Times New Roman" w:hAnsi="Calibri" w:cs="Calibri"/>
          <w:sz w:val="22"/>
          <w:szCs w:val="22"/>
        </w:rPr>
        <w:t>), 4. understandability (</w:t>
      </w:r>
      <w:r>
        <w:rPr>
          <w:rFonts w:ascii="Calibri" w:eastAsia="Times New Roman" w:hAnsi="Calibri" w:cs="Calibri"/>
          <w:sz w:val="22"/>
          <w:szCs w:val="22"/>
          <w:highlight w:val="yellow"/>
        </w:rPr>
        <w:t>useful info cannot be omitted cuz complicated</w:t>
      </w:r>
      <w:r>
        <w:rPr>
          <w:rFonts w:ascii="Calibri" w:eastAsia="Times New Roman" w:hAnsi="Calibri" w:cs="Calibri"/>
          <w:sz w:val="22"/>
          <w:szCs w:val="22"/>
        </w:rPr>
        <w:t>)</w:t>
      </w:r>
    </w:p>
    <w:p w14:paraId="0ED5A761"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Required reporting elements: assets, liabilities, equity - for measuring financial positions, income, expense - for measuring performance. </w:t>
      </w:r>
    </w:p>
    <w:p w14:paraId="3582F700"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Amount reported depend on </w:t>
      </w:r>
      <w:r>
        <w:rPr>
          <w:rFonts w:ascii="Calibri" w:eastAsia="Times New Roman" w:hAnsi="Calibri" w:cs="Calibri"/>
          <w:b/>
          <w:bCs/>
          <w:sz w:val="22"/>
          <w:szCs w:val="22"/>
        </w:rPr>
        <w:t>measu</w:t>
      </w:r>
      <w:r>
        <w:rPr>
          <w:rFonts w:ascii="Calibri" w:eastAsia="Times New Roman" w:hAnsi="Calibri" w:cs="Calibri"/>
          <w:b/>
          <w:bCs/>
          <w:sz w:val="22"/>
          <w:szCs w:val="22"/>
        </w:rPr>
        <w:t>rement base</w:t>
      </w:r>
      <w:r>
        <w:rPr>
          <w:rFonts w:ascii="Calibri" w:eastAsia="Times New Roman" w:hAnsi="Calibri" w:cs="Calibri"/>
          <w:sz w:val="22"/>
          <w:szCs w:val="22"/>
        </w:rPr>
        <w:t xml:space="preserve">: historical cost, amortized cost (hist adjusted for depreciation, amortization, depletion, impairment), current cost, </w:t>
      </w:r>
      <w:r>
        <w:rPr>
          <w:rFonts w:ascii="Calibri" w:eastAsia="Times New Roman" w:hAnsi="Calibri" w:cs="Calibri"/>
          <w:sz w:val="22"/>
          <w:szCs w:val="22"/>
          <w:shd w:val="clear" w:color="auto" w:fill="FAC08F"/>
        </w:rPr>
        <w:t xml:space="preserve">net </w:t>
      </w:r>
      <w:r>
        <w:rPr>
          <w:rFonts w:ascii="Calibri" w:eastAsia="Times New Roman" w:hAnsi="Calibri" w:cs="Calibri"/>
          <w:b/>
          <w:bCs/>
          <w:sz w:val="22"/>
          <w:szCs w:val="22"/>
          <w:shd w:val="clear" w:color="auto" w:fill="FAC08F"/>
        </w:rPr>
        <w:t>realizable</w:t>
      </w:r>
      <w:r>
        <w:rPr>
          <w:rFonts w:ascii="Calibri" w:eastAsia="Times New Roman" w:hAnsi="Calibri" w:cs="Calibri"/>
          <w:sz w:val="22"/>
          <w:szCs w:val="22"/>
          <w:shd w:val="clear" w:color="auto" w:fill="FAC08F"/>
        </w:rPr>
        <w:t xml:space="preserve"> value (in an orderly disposal</w:t>
      </w:r>
      <w:r>
        <w:rPr>
          <w:rFonts w:ascii="Calibri" w:eastAsia="Times New Roman" w:hAnsi="Calibri" w:cs="Calibri"/>
          <w:sz w:val="22"/>
          <w:szCs w:val="22"/>
        </w:rPr>
        <w:t xml:space="preserve">, estimated selling), </w:t>
      </w:r>
      <w:r>
        <w:rPr>
          <w:rFonts w:ascii="Calibri" w:eastAsia="Times New Roman" w:hAnsi="Calibri" w:cs="Calibri"/>
          <w:sz w:val="22"/>
          <w:szCs w:val="22"/>
        </w:rPr>
        <w:t xml:space="preserve">present value (discounted value of expected FV), fair value. </w:t>
      </w:r>
    </w:p>
    <w:p w14:paraId="7C4A8EC4"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b/>
          <w:bCs/>
          <w:sz w:val="22"/>
          <w:szCs w:val="22"/>
          <w:shd w:val="clear" w:color="auto" w:fill="FAC08F"/>
        </w:rPr>
        <w:t>Constraints</w:t>
      </w:r>
      <w:r>
        <w:rPr>
          <w:rFonts w:ascii="Calibri" w:eastAsia="Times New Roman" w:hAnsi="Calibri" w:cs="Calibri"/>
          <w:sz w:val="22"/>
          <w:szCs w:val="22"/>
        </w:rPr>
        <w:t xml:space="preserve">: cost-benefit tradeoff, non-quantifiable reputation (Balancing of qualitative </w:t>
      </w:r>
      <w:r>
        <w:rPr>
          <w:rFonts w:ascii="Calibri" w:eastAsia="Times New Roman" w:hAnsi="Calibri" w:cs="Calibri"/>
          <w:sz w:val="22"/>
          <w:szCs w:val="22"/>
          <w:shd w:val="clear" w:color="auto" w:fill="FAC08F"/>
        </w:rPr>
        <w:t>characteristics</w:t>
      </w:r>
      <w:r>
        <w:rPr>
          <w:rFonts w:ascii="Calibri" w:eastAsia="Times New Roman" w:hAnsi="Calibri" w:cs="Calibri"/>
          <w:sz w:val="22"/>
          <w:szCs w:val="22"/>
        </w:rPr>
        <w:t xml:space="preserve">) </w:t>
      </w:r>
    </w:p>
    <w:p w14:paraId="5353F840"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Assumptions: accrual accounting (at time actually occur), going concern (firm will con</w:t>
      </w:r>
      <w:r>
        <w:rPr>
          <w:rFonts w:ascii="Calibri" w:eastAsia="Times New Roman" w:hAnsi="Calibri" w:cs="Calibri"/>
          <w:sz w:val="22"/>
          <w:szCs w:val="22"/>
        </w:rPr>
        <w:t>tinue)</w:t>
      </w:r>
    </w:p>
    <w:p w14:paraId="5767A39D"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D: describe general requirements for financial statements under International Financial Reporting Standards (IFRS)</w:t>
      </w:r>
    </w:p>
    <w:p w14:paraId="3DFC9B3F"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Required FA: BS, comprehensive IS, </w:t>
      </w:r>
      <w:r>
        <w:rPr>
          <w:rFonts w:ascii="Calibri" w:eastAsia="Times New Roman" w:hAnsi="Calibri" w:cs="Calibri"/>
          <w:sz w:val="22"/>
          <w:szCs w:val="22"/>
          <w:shd w:val="clear" w:color="auto" w:fill="FAC08F"/>
        </w:rPr>
        <w:t>Cash Flow (like use direct format of CFO</w:t>
      </w:r>
      <w:r>
        <w:rPr>
          <w:rFonts w:ascii="Calibri" w:eastAsia="Times New Roman" w:hAnsi="Calibri" w:cs="Calibri"/>
          <w:sz w:val="22"/>
          <w:szCs w:val="22"/>
        </w:rPr>
        <w:t xml:space="preserve">), changes in owner's Equity, explanatory notes, including </w:t>
      </w:r>
      <w:r>
        <w:rPr>
          <w:rFonts w:ascii="Calibri" w:eastAsia="Times New Roman" w:hAnsi="Calibri" w:cs="Calibri"/>
          <w:sz w:val="22"/>
          <w:szCs w:val="22"/>
        </w:rPr>
        <w:t xml:space="preserve">a summary of accounting policies </w:t>
      </w:r>
    </w:p>
    <w:p w14:paraId="1EDC983B"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 xml:space="preserve">Features for preparing: fair presentation, going concern basis, </w:t>
      </w:r>
      <w:r>
        <w:rPr>
          <w:rFonts w:ascii="Calibri" w:eastAsia="Times New Roman" w:hAnsi="Calibri" w:cs="Calibri"/>
          <w:sz w:val="22"/>
          <w:szCs w:val="22"/>
          <w:highlight w:val="yellow"/>
        </w:rPr>
        <w:t>accrual basis (used to prepare financial statements other than statement of cash flows)</w:t>
      </w:r>
      <w:r>
        <w:rPr>
          <w:rFonts w:ascii="Calibri" w:eastAsia="Times New Roman" w:hAnsi="Calibri" w:cs="Calibri"/>
          <w:sz w:val="22"/>
          <w:szCs w:val="22"/>
        </w:rPr>
        <w:t>, consistency, materiality (free of mis or omissions), aggregation of s</w:t>
      </w:r>
      <w:r>
        <w:rPr>
          <w:rFonts w:ascii="Calibri" w:eastAsia="Times New Roman" w:hAnsi="Calibri" w:cs="Calibri"/>
          <w:sz w:val="22"/>
          <w:szCs w:val="22"/>
        </w:rPr>
        <w:t xml:space="preserve">imilar and separation of dissimilar, no offsetting, frequency, comparative info, </w:t>
      </w:r>
      <w:r>
        <w:rPr>
          <w:rFonts w:ascii="Calibri" w:eastAsia="Times New Roman" w:hAnsi="Calibri" w:cs="Calibri"/>
          <w:sz w:val="22"/>
          <w:szCs w:val="22"/>
          <w:shd w:val="clear" w:color="auto" w:fill="FAC08F"/>
        </w:rPr>
        <w:t>classified BS (distinguish between current and past)</w:t>
      </w:r>
      <w:r>
        <w:rPr>
          <w:rFonts w:ascii="Calibri" w:eastAsia="Times New Roman" w:hAnsi="Calibri" w:cs="Calibri"/>
          <w:sz w:val="22"/>
          <w:szCs w:val="22"/>
        </w:rPr>
        <w:t xml:space="preserve">, </w:t>
      </w:r>
      <w:r>
        <w:rPr>
          <w:rFonts w:ascii="Calibri" w:eastAsia="Times New Roman" w:hAnsi="Calibri" w:cs="Calibri"/>
          <w:b/>
          <w:bCs/>
          <w:sz w:val="22"/>
          <w:szCs w:val="22"/>
        </w:rPr>
        <w:t>minimum</w:t>
      </w:r>
      <w:r>
        <w:rPr>
          <w:rFonts w:ascii="Calibri" w:eastAsia="Times New Roman" w:hAnsi="Calibri" w:cs="Calibri"/>
          <w:sz w:val="22"/>
          <w:szCs w:val="22"/>
        </w:rPr>
        <w:t xml:space="preserve"> info shown, comparative info</w:t>
      </w:r>
    </w:p>
    <w:p w14:paraId="0FC8C8D5" w14:textId="77777777" w:rsidR="00000000" w:rsidRDefault="007A18E2">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Barriers to create a coherent FRF: valuation, standard setting (</w:t>
      </w:r>
      <w:r>
        <w:rPr>
          <w:rFonts w:ascii="Calibri" w:eastAsia="Times New Roman" w:hAnsi="Calibri" w:cs="Calibri"/>
          <w:b/>
          <w:bCs/>
          <w:sz w:val="22"/>
          <w:szCs w:val="22"/>
        </w:rPr>
        <w:t>principles-based IFR</w:t>
      </w:r>
      <w:r>
        <w:rPr>
          <w:rFonts w:ascii="Calibri" w:eastAsia="Times New Roman" w:hAnsi="Calibri" w:cs="Calibri"/>
          <w:b/>
          <w:bCs/>
          <w:sz w:val="22"/>
          <w:szCs w:val="22"/>
        </w:rPr>
        <w:t>S</w:t>
      </w:r>
      <w:r>
        <w:rPr>
          <w:rFonts w:ascii="Calibri" w:eastAsia="Times New Roman" w:hAnsi="Calibri" w:cs="Calibri"/>
          <w:sz w:val="22"/>
          <w:szCs w:val="22"/>
        </w:rPr>
        <w:t xml:space="preserve">, rules-based, objectives-oriented blend two </w:t>
      </w:r>
      <w:r>
        <w:rPr>
          <w:rFonts w:ascii="Calibri" w:eastAsia="Times New Roman" w:hAnsi="Calibri" w:cs="Calibri"/>
          <w:b/>
          <w:bCs/>
          <w:sz w:val="22"/>
          <w:szCs w:val="22"/>
        </w:rPr>
        <w:t>GAAP</w:t>
      </w:r>
      <w:r>
        <w:rPr>
          <w:rFonts w:ascii="Calibri" w:eastAsia="Times New Roman" w:hAnsi="Calibri" w:cs="Calibri"/>
          <w:sz w:val="22"/>
          <w:szCs w:val="22"/>
        </w:rPr>
        <w:t xml:space="preserve">), measurement. </w:t>
      </w:r>
    </w:p>
    <w:p w14:paraId="24CD4C1A" w14:textId="77777777" w:rsidR="00000000" w:rsidRDefault="007A18E2">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 xml:space="preserve">E: describe implications for financial analysis of alternative financial reporting systems and the importance of monitoring developments in financial reporting standards. </w:t>
      </w:r>
    </w:p>
    <w:p w14:paraId="72ED482D"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A4614C1" wp14:editId="2D9709A7">
            <wp:extent cx="5610225" cy="4210050"/>
            <wp:effectExtent l="0" t="0" r="9525" b="0"/>
            <wp:docPr id="4" name="Picture 4" descr="s5'V4 一 &#10;彐 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5'V4 一 &#10;彐 丁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14:paraId="13F6D22C"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EE9A424"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44B0830" w14:textId="77777777" w:rsidR="00000000" w:rsidRDefault="007A18E2">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 xml:space="preserve">READING </w:t>
      </w:r>
      <w:r>
        <w:rPr>
          <w:rFonts w:ascii="Calibri" w:eastAsia="Times New Roman" w:hAnsi="Calibri" w:cs="Calibri"/>
          <w:color w:val="1E4E79"/>
          <w:sz w:val="32"/>
          <w:szCs w:val="32"/>
        </w:rPr>
        <w:t>21. UNDERSTANDING INCOME STATEMENTS</w:t>
      </w:r>
    </w:p>
    <w:p w14:paraId="2D86173E" w14:textId="77777777" w:rsidR="00000000" w:rsidRDefault="007A18E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C367E64" w14:textId="77777777" w:rsidR="00000000" w:rsidRDefault="007A18E2">
      <w:pPr>
        <w:numPr>
          <w:ilvl w:val="1"/>
          <w:numId w:val="1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components of the income statement and alternative presentation formats of that statement</w:t>
      </w:r>
    </w:p>
    <w:p w14:paraId="219B8624" w14:textId="77777777" w:rsidR="00000000" w:rsidRDefault="007A18E2">
      <w:pPr>
        <w:numPr>
          <w:ilvl w:val="1"/>
          <w:numId w:val="13"/>
        </w:numPr>
        <w:textAlignment w:val="center"/>
        <w:rPr>
          <w:rFonts w:ascii="Calibri" w:eastAsia="Times New Roman" w:hAnsi="Calibri" w:cs="Calibri"/>
          <w:sz w:val="22"/>
          <w:szCs w:val="22"/>
        </w:rPr>
      </w:pPr>
      <w:r>
        <w:rPr>
          <w:rFonts w:ascii="Calibri" w:eastAsia="Times New Roman" w:hAnsi="Calibri" w:cs="Calibri"/>
          <w:sz w:val="22"/>
          <w:szCs w:val="22"/>
        </w:rPr>
        <w:t>IFRS = GAAP similar: IS com be combined with other comprehensive income in a single one.</w:t>
      </w:r>
    </w:p>
    <w:p w14:paraId="6675D550" w14:textId="77777777" w:rsidR="00000000" w:rsidRDefault="007A18E2">
      <w:pPr>
        <w:numPr>
          <w:ilvl w:val="1"/>
          <w:numId w:val="13"/>
        </w:numPr>
        <w:textAlignment w:val="center"/>
        <w:rPr>
          <w:rFonts w:ascii="Calibri" w:eastAsia="Times New Roman" w:hAnsi="Calibri" w:cs="Calibri"/>
          <w:sz w:val="22"/>
          <w:szCs w:val="22"/>
        </w:rPr>
      </w:pPr>
      <w:r>
        <w:rPr>
          <w:rFonts w:ascii="Calibri" w:eastAsia="Times New Roman" w:hAnsi="Calibri" w:cs="Calibri"/>
          <w:sz w:val="22"/>
          <w:szCs w:val="22"/>
        </w:rPr>
        <w:t xml:space="preserve">Net revenue = revenues - adjustments for estimated returns &amp; allowances (aka turnover); </w:t>
      </w:r>
      <w:r>
        <w:rPr>
          <w:rFonts w:ascii="Calibri" w:eastAsia="Times New Roman" w:hAnsi="Calibri" w:cs="Calibri"/>
          <w:sz w:val="22"/>
          <w:szCs w:val="22"/>
          <w:highlight w:val="yellow"/>
        </w:rPr>
        <w:t>Net Income (earnings, or 'bottom line')</w:t>
      </w:r>
      <w:r>
        <w:rPr>
          <w:rFonts w:ascii="Calibri" w:eastAsia="Times New Roman" w:hAnsi="Calibri" w:cs="Calibri"/>
          <w:sz w:val="22"/>
          <w:szCs w:val="22"/>
        </w:rPr>
        <w:t xml:space="preserve"> = revenues - ordinary expenses + other income - other expenses + gains - losses</w:t>
      </w:r>
    </w:p>
    <w:p w14:paraId="51854DC8" w14:textId="77777777" w:rsidR="00000000" w:rsidRDefault="007A18E2">
      <w:pPr>
        <w:numPr>
          <w:ilvl w:val="1"/>
          <w:numId w:val="13"/>
        </w:numPr>
        <w:textAlignment w:val="center"/>
        <w:rPr>
          <w:rFonts w:ascii="Calibri" w:eastAsia="Times New Roman" w:hAnsi="Calibri" w:cs="Calibri"/>
          <w:sz w:val="22"/>
          <w:szCs w:val="22"/>
        </w:rPr>
      </w:pPr>
      <w:r>
        <w:rPr>
          <w:rFonts w:ascii="Calibri" w:eastAsia="Times New Roman" w:hAnsi="Calibri" w:cs="Calibri"/>
          <w:sz w:val="22"/>
          <w:szCs w:val="22"/>
        </w:rPr>
        <w:t xml:space="preserve">Noncontrolling interest (aka minority interest, </w:t>
      </w:r>
      <w:r>
        <w:rPr>
          <w:rFonts w:ascii="Calibri" w:eastAsia="Times New Roman" w:hAnsi="Calibri" w:cs="Calibri"/>
          <w:sz w:val="22"/>
          <w:szCs w:val="22"/>
        </w:rPr>
        <w:t xml:space="preserve">minority owner's interest) of subsidiary's inc reported in parents' companies IS, and needs to subtract calculating NI. </w:t>
      </w:r>
    </w:p>
    <w:p w14:paraId="0205C4D5"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165A27D5" wp14:editId="1BB6D9E4">
            <wp:extent cx="3105150" cy="3057525"/>
            <wp:effectExtent l="0" t="0" r="0" b="9525"/>
            <wp:docPr id="5" name="Picture 5" descr="Revenue &#10;Cost of goods sold &#10;Gross profit &#10;Selling, general, and administrative expense &#10;Depreciation expense &#10;Operating profit &#10;Interest expense &#10;Income before tax &#10;Provision for income taxes &#10;Income from continuing operations &#10;Earnings (losses) from discontinued operations, net of tax &#10;Net income &#10;$579,312 &#10;(362.520) &#10;216,792 &#10;(109,560) &#10;(69.008) &#10;38,224 &#10;(2.462) &#10;35,762 &#10;(14.305) &#10;21,457 &#10;$22.56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enue &#10;Cost of goods sold &#10;Gross profit &#10;Selling, general, and administrative expense &#10;Depreciation expense &#10;Operating profit &#10;Interest expense &#10;Income before tax &#10;Provision for income taxes &#10;Income from continuing operations &#10;Earnings (losses) from discontinued operations, net of tax &#10;Net income &#10;$579,312 &#10;(362.520) &#10;216,792 &#10;(109,560) &#10;(69.008) &#10;38,224 &#10;(2.462) &#10;35,762 &#10;(14.305) &#10;21,457 &#10;$22.563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3057525"/>
                    </a:xfrm>
                    <a:prstGeom prst="rect">
                      <a:avLst/>
                    </a:prstGeom>
                    <a:noFill/>
                    <a:ln>
                      <a:noFill/>
                    </a:ln>
                  </pic:spPr>
                </pic:pic>
              </a:graphicData>
            </a:graphic>
          </wp:inline>
        </w:drawing>
      </w:r>
    </w:p>
    <w:p w14:paraId="325CC452" w14:textId="77777777" w:rsidR="00000000" w:rsidRDefault="007A18E2">
      <w:pPr>
        <w:numPr>
          <w:ilvl w:val="1"/>
          <w:numId w:val="1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general principles of revenue recognition and accounting standards for revenue recognition</w:t>
      </w:r>
    </w:p>
    <w:p w14:paraId="2BE44653" w14:textId="77777777" w:rsidR="00000000" w:rsidRDefault="007A18E2">
      <w:pPr>
        <w:numPr>
          <w:ilvl w:val="1"/>
          <w:numId w:val="1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Calculate revenue given information that might influence the choice of revenue rec</w:t>
      </w:r>
      <w:r>
        <w:rPr>
          <w:rFonts w:ascii="Calibri" w:eastAsia="Times New Roman" w:hAnsi="Calibri" w:cs="Calibri"/>
          <w:color w:val="2E75B5"/>
          <w:sz w:val="22"/>
          <w:szCs w:val="22"/>
        </w:rPr>
        <w:t>ognition method</w:t>
      </w:r>
    </w:p>
    <w:p w14:paraId="6F6AA209"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Accounting standards - rev recognition, accrual acct, specific applications (accounting for long-term contracts, installment sales, barter transactions, gross and net reporting)</w:t>
      </w:r>
    </w:p>
    <w:p w14:paraId="68D722D6" w14:textId="77777777" w:rsidR="00000000" w:rsidRDefault="007A18E2">
      <w:pPr>
        <w:numPr>
          <w:ilvl w:val="1"/>
          <w:numId w:val="16"/>
        </w:numPr>
        <w:textAlignment w:val="center"/>
        <w:rPr>
          <w:rFonts w:ascii="Calibri" w:eastAsia="Times New Roman" w:hAnsi="Calibri" w:cs="Calibri"/>
          <w:sz w:val="22"/>
          <w:szCs w:val="22"/>
        </w:rPr>
      </w:pPr>
      <w:r>
        <w:rPr>
          <w:rFonts w:ascii="Calibri" w:eastAsia="Times New Roman" w:hAnsi="Calibri" w:cs="Calibri"/>
          <w:b/>
          <w:bCs/>
          <w:sz w:val="22"/>
          <w:szCs w:val="22"/>
        </w:rPr>
        <w:t>IASB revenue</w:t>
      </w:r>
      <w:r>
        <w:rPr>
          <w:rFonts w:ascii="Calibri" w:eastAsia="Times New Roman" w:hAnsi="Calibri" w:cs="Calibri"/>
          <w:sz w:val="22"/>
          <w:szCs w:val="22"/>
        </w:rPr>
        <w:t xml:space="preserve">: </w:t>
      </w:r>
      <w:r>
        <w:rPr>
          <w:rFonts w:ascii="Calibri" w:eastAsia="Times New Roman" w:hAnsi="Calibri" w:cs="Calibri"/>
          <w:sz w:val="22"/>
          <w:szCs w:val="22"/>
          <w:highlight w:val="yellow"/>
        </w:rPr>
        <w:t>1. The risk and reward of ownership is transferred. 2. There is no continuing control or management over the goods sold.</w:t>
      </w:r>
      <w:r>
        <w:rPr>
          <w:rFonts w:ascii="Calibri" w:eastAsia="Times New Roman" w:hAnsi="Calibri" w:cs="Calibri"/>
          <w:sz w:val="22"/>
          <w:szCs w:val="22"/>
        </w:rPr>
        <w:t xml:space="preserve"> 3. Revenue can be reliably measured. 4. There is a probable flow of economic benefits. 5. The cost can be reliably measured. AND 1. The</w:t>
      </w:r>
      <w:r>
        <w:rPr>
          <w:rFonts w:ascii="Calibri" w:eastAsia="Times New Roman" w:hAnsi="Calibri" w:cs="Calibri"/>
          <w:sz w:val="22"/>
          <w:szCs w:val="22"/>
        </w:rPr>
        <w:t xml:space="preserve"> amount of revenue can be reliably measured. 2. There is a probable flow of economic benefits. </w:t>
      </w:r>
      <w:r>
        <w:rPr>
          <w:rFonts w:ascii="Calibri" w:eastAsia="Times New Roman" w:hAnsi="Calibri" w:cs="Calibri"/>
          <w:sz w:val="22"/>
          <w:szCs w:val="22"/>
          <w:highlight w:val="yellow"/>
        </w:rPr>
        <w:t>3. The stage of completion can be measured.</w:t>
      </w:r>
      <w:r>
        <w:rPr>
          <w:rFonts w:ascii="Calibri" w:eastAsia="Times New Roman" w:hAnsi="Calibri" w:cs="Calibri"/>
          <w:sz w:val="22"/>
          <w:szCs w:val="22"/>
        </w:rPr>
        <w:t xml:space="preserve"> 4. The cost incurred and cost of completion can be reliably measured. </w:t>
      </w:r>
    </w:p>
    <w:p w14:paraId="2060576B" w14:textId="77777777" w:rsidR="00000000" w:rsidRDefault="007A18E2">
      <w:pPr>
        <w:numPr>
          <w:ilvl w:val="1"/>
          <w:numId w:val="16"/>
        </w:numPr>
        <w:textAlignment w:val="center"/>
        <w:rPr>
          <w:rFonts w:ascii="Calibri" w:eastAsia="Times New Roman" w:hAnsi="Calibri" w:cs="Calibri"/>
          <w:sz w:val="22"/>
          <w:szCs w:val="22"/>
        </w:rPr>
      </w:pPr>
      <w:r>
        <w:rPr>
          <w:rFonts w:ascii="Calibri" w:eastAsia="Times New Roman" w:hAnsi="Calibri" w:cs="Calibri"/>
          <w:b/>
          <w:bCs/>
          <w:sz w:val="22"/>
          <w:szCs w:val="22"/>
        </w:rPr>
        <w:t>FASB revenue</w:t>
      </w:r>
      <w:r>
        <w:rPr>
          <w:rFonts w:ascii="Calibri" w:eastAsia="Times New Roman" w:hAnsi="Calibri" w:cs="Calibri"/>
          <w:sz w:val="22"/>
          <w:szCs w:val="22"/>
        </w:rPr>
        <w:t>: 1. realized or realizable, 2. ea</w:t>
      </w:r>
      <w:r>
        <w:rPr>
          <w:rFonts w:ascii="Calibri" w:eastAsia="Times New Roman" w:hAnsi="Calibri" w:cs="Calibri"/>
          <w:sz w:val="22"/>
          <w:szCs w:val="22"/>
        </w:rPr>
        <w:t xml:space="preserve">rned; 1. There is evidence of an arrangement between the buyer and seller. 2. The product has been delivered or the service has been rendered. </w:t>
      </w:r>
      <w:r>
        <w:rPr>
          <w:rFonts w:ascii="Calibri" w:eastAsia="Times New Roman" w:hAnsi="Calibri" w:cs="Calibri"/>
          <w:sz w:val="22"/>
          <w:szCs w:val="22"/>
          <w:highlight w:val="yellow"/>
        </w:rPr>
        <w:t>3. The price is determined or determinable.</w:t>
      </w:r>
      <w:r>
        <w:rPr>
          <w:rFonts w:ascii="Calibri" w:eastAsia="Times New Roman" w:hAnsi="Calibri" w:cs="Calibri"/>
          <w:sz w:val="22"/>
          <w:szCs w:val="22"/>
        </w:rPr>
        <w:t xml:space="preserve"> 4. The seller is reasonably sure of collecting money. </w:t>
      </w:r>
    </w:p>
    <w:p w14:paraId="2B065806" w14:textId="77777777" w:rsidR="00000000" w:rsidRDefault="007A18E2">
      <w:pPr>
        <w:numPr>
          <w:ilvl w:val="1"/>
          <w:numId w:val="16"/>
        </w:numPr>
        <w:textAlignment w:val="center"/>
        <w:rPr>
          <w:rFonts w:ascii="Calibri" w:eastAsia="Times New Roman" w:hAnsi="Calibri" w:cs="Calibri"/>
          <w:sz w:val="22"/>
          <w:szCs w:val="22"/>
        </w:rPr>
      </w:pPr>
      <w:r>
        <w:rPr>
          <w:rFonts w:ascii="Calibri" w:eastAsia="Times New Roman" w:hAnsi="Calibri" w:cs="Calibri"/>
          <w:b/>
          <w:bCs/>
          <w:sz w:val="22"/>
          <w:szCs w:val="22"/>
        </w:rPr>
        <w:t>Unearned reven</w:t>
      </w:r>
      <w:r>
        <w:rPr>
          <w:rFonts w:ascii="Calibri" w:eastAsia="Times New Roman" w:hAnsi="Calibri" w:cs="Calibri"/>
          <w:b/>
          <w:bCs/>
          <w:sz w:val="22"/>
          <w:szCs w:val="22"/>
        </w:rPr>
        <w:t>ue</w:t>
      </w:r>
      <w:r>
        <w:rPr>
          <w:rFonts w:ascii="Calibri" w:eastAsia="Times New Roman" w:hAnsi="Calibri" w:cs="Calibri"/>
          <w:sz w:val="22"/>
          <w:szCs w:val="22"/>
        </w:rPr>
        <w:t xml:space="preserve">: liability (A/C) </w:t>
      </w:r>
    </w:p>
    <w:p w14:paraId="2D6BA1D7" w14:textId="77777777" w:rsidR="00000000" w:rsidRDefault="007A18E2">
      <w:pPr>
        <w:numPr>
          <w:ilvl w:val="1"/>
          <w:numId w:val="16"/>
        </w:numPr>
        <w:textAlignment w:val="center"/>
        <w:rPr>
          <w:rFonts w:ascii="Calibri" w:eastAsia="Times New Roman" w:hAnsi="Calibri" w:cs="Calibri"/>
          <w:color w:val="000000"/>
          <w:sz w:val="22"/>
          <w:szCs w:val="22"/>
        </w:rPr>
      </w:pPr>
      <w:r>
        <w:rPr>
          <w:rFonts w:ascii="Calibri" w:eastAsia="Times New Roman" w:hAnsi="Calibri" w:cs="Calibri"/>
          <w:b/>
          <w:bCs/>
          <w:color w:val="000000"/>
          <w:sz w:val="22"/>
          <w:szCs w:val="22"/>
        </w:rPr>
        <w:t>Long-term contracts</w:t>
      </w:r>
      <w:r>
        <w:rPr>
          <w:rFonts w:ascii="Calibri" w:eastAsia="Times New Roman" w:hAnsi="Calibri" w:cs="Calibri"/>
          <w:color w:val="000000"/>
          <w:sz w:val="22"/>
          <w:szCs w:val="22"/>
        </w:rPr>
        <w:t xml:space="preserve">: percentage-of-completion(IFRS, GAAP) &amp; </w:t>
      </w:r>
      <w:r>
        <w:rPr>
          <w:rFonts w:ascii="Calibri" w:eastAsia="Times New Roman" w:hAnsi="Calibri" w:cs="Calibri"/>
          <w:color w:val="000000"/>
          <w:sz w:val="22"/>
          <w:szCs w:val="22"/>
          <w:highlight w:val="yellow"/>
        </w:rPr>
        <w:t>completed-contract(GAPP), when project cannot be reliably estimated, No revenue, expense, or profit would be recognized, IFRS recognize at the end.</w:t>
      </w:r>
      <w:r>
        <w:rPr>
          <w:rFonts w:ascii="Calibri" w:eastAsia="Times New Roman" w:hAnsi="Calibri" w:cs="Calibri"/>
          <w:color w:val="000000"/>
          <w:sz w:val="22"/>
          <w:szCs w:val="22"/>
        </w:rPr>
        <w:t xml:space="preserve"> Loss must be immediately re</w:t>
      </w:r>
      <w:r>
        <w:rPr>
          <w:rFonts w:ascii="Calibri" w:eastAsia="Times New Roman" w:hAnsi="Calibri" w:cs="Calibri"/>
          <w:color w:val="000000"/>
          <w:sz w:val="22"/>
          <w:szCs w:val="22"/>
        </w:rPr>
        <w:t xml:space="preserve">cord by IFRS &amp; GAAP. </w:t>
      </w:r>
      <w:r>
        <w:rPr>
          <w:rFonts w:ascii="Calibri" w:eastAsia="Times New Roman" w:hAnsi="Calibri" w:cs="Calibri"/>
          <w:color w:val="000000"/>
          <w:sz w:val="22"/>
          <w:szCs w:val="22"/>
          <w:shd w:val="clear" w:color="auto" w:fill="FAC08F"/>
        </w:rPr>
        <w:t xml:space="preserve">Under IFRS, if the outcome of a project cannot be estimated reliably, revenue and expenses are recognized the same for Y1 (report x expenses and revenue in same amount) over the project’s life but </w:t>
      </w:r>
      <w:r>
        <w:rPr>
          <w:rFonts w:ascii="Calibri" w:eastAsia="Times New Roman" w:hAnsi="Calibri" w:cs="Calibri"/>
          <w:color w:val="000000"/>
          <w:sz w:val="22"/>
          <w:szCs w:val="22"/>
          <w:u w:val="single"/>
          <w:shd w:val="clear" w:color="auto" w:fill="FAC08F"/>
        </w:rPr>
        <w:t>no profit</w:t>
      </w:r>
      <w:r>
        <w:rPr>
          <w:rFonts w:ascii="Calibri" w:eastAsia="Times New Roman" w:hAnsi="Calibri" w:cs="Calibri"/>
          <w:color w:val="000000"/>
          <w:sz w:val="22"/>
          <w:szCs w:val="22"/>
          <w:shd w:val="clear" w:color="auto" w:fill="FAC08F"/>
        </w:rPr>
        <w:t xml:space="preserve"> may be recorded until the pr</w:t>
      </w:r>
      <w:r>
        <w:rPr>
          <w:rFonts w:ascii="Calibri" w:eastAsia="Times New Roman" w:hAnsi="Calibri" w:cs="Calibri"/>
          <w:color w:val="000000"/>
          <w:sz w:val="22"/>
          <w:szCs w:val="22"/>
          <w:shd w:val="clear" w:color="auto" w:fill="FAC08F"/>
        </w:rPr>
        <w:t xml:space="preserve">oject is completed. </w:t>
      </w:r>
    </w:p>
    <w:p w14:paraId="152C8FC6" w14:textId="77777777" w:rsidR="00000000" w:rsidRDefault="007A18E2">
      <w:pPr>
        <w:numPr>
          <w:ilvl w:val="1"/>
          <w:numId w:val="1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0D1CC8E" wp14:editId="1BA13D6D">
            <wp:extent cx="628650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695325"/>
                    </a:xfrm>
                    <a:prstGeom prst="rect">
                      <a:avLst/>
                    </a:prstGeom>
                    <a:noFill/>
                    <a:ln>
                      <a:noFill/>
                    </a:ln>
                  </pic:spPr>
                </pic:pic>
              </a:graphicData>
            </a:graphic>
          </wp:inline>
        </w:drawing>
      </w:r>
    </w:p>
    <w:p w14:paraId="69944A29" w14:textId="77777777" w:rsidR="00000000" w:rsidRDefault="007A18E2">
      <w:pPr>
        <w:numPr>
          <w:ilvl w:val="1"/>
          <w:numId w:val="16"/>
        </w:numPr>
        <w:textAlignment w:val="center"/>
        <w:rPr>
          <w:rFonts w:ascii="Calibri" w:eastAsia="Times New Roman" w:hAnsi="Calibri" w:cs="Calibri"/>
          <w:sz w:val="22"/>
          <w:szCs w:val="22"/>
        </w:rPr>
      </w:pPr>
      <w:r>
        <w:rPr>
          <w:rFonts w:ascii="Calibri" w:eastAsia="Times New Roman" w:hAnsi="Calibri" w:cs="Calibri"/>
          <w:b/>
          <w:bCs/>
          <w:sz w:val="22"/>
          <w:szCs w:val="22"/>
        </w:rPr>
        <w:t>Barter transaction</w:t>
      </w:r>
      <w:r>
        <w:rPr>
          <w:rFonts w:ascii="Calibri" w:eastAsia="Times New Roman" w:hAnsi="Calibri" w:cs="Calibri"/>
          <w:sz w:val="22"/>
          <w:szCs w:val="22"/>
        </w:rPr>
        <w:t xml:space="preserve"> (non-monetary exchange, rou</w:t>
      </w:r>
      <w:r>
        <w:rPr>
          <w:rFonts w:ascii="Calibri" w:eastAsia="Times New Roman" w:hAnsi="Calibri" w:cs="Calibri"/>
          <w:sz w:val="22"/>
          <w:szCs w:val="22"/>
        </w:rPr>
        <w:t xml:space="preserve">nd-trip transaction): GAAP can be recognized at fair value only if historical cash, otherwise carrying value; IFRS must based on fair value from similar non-barter with unrelated parties. </w:t>
      </w:r>
    </w:p>
    <w:p w14:paraId="78EDFFAD" w14:textId="77777777" w:rsidR="00000000" w:rsidRDefault="007A18E2">
      <w:pPr>
        <w:numPr>
          <w:ilvl w:val="1"/>
          <w:numId w:val="1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3BE5046" wp14:editId="071A4076">
            <wp:extent cx="6324600" cy="52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523875"/>
                    </a:xfrm>
                    <a:prstGeom prst="rect">
                      <a:avLst/>
                    </a:prstGeom>
                    <a:noFill/>
                    <a:ln>
                      <a:noFill/>
                    </a:ln>
                  </pic:spPr>
                </pic:pic>
              </a:graphicData>
            </a:graphic>
          </wp:inline>
        </w:drawing>
      </w:r>
    </w:p>
    <w:p w14:paraId="5D76888E" w14:textId="77777777" w:rsidR="00000000" w:rsidRDefault="007A18E2">
      <w:pPr>
        <w:numPr>
          <w:ilvl w:val="1"/>
          <w:numId w:val="16"/>
        </w:numPr>
        <w:textAlignment w:val="center"/>
        <w:rPr>
          <w:rFonts w:ascii="Calibri" w:eastAsia="Times New Roman" w:hAnsi="Calibri" w:cs="Calibri"/>
          <w:sz w:val="22"/>
          <w:szCs w:val="22"/>
        </w:rPr>
      </w:pPr>
      <w:r>
        <w:rPr>
          <w:rFonts w:ascii="Calibri" w:eastAsia="Times New Roman" w:hAnsi="Calibri" w:cs="Calibri"/>
          <w:sz w:val="22"/>
          <w:szCs w:val="22"/>
        </w:rPr>
        <w:t>Performance obligation: promise to deliver distinct G&amp;</w:t>
      </w:r>
      <w:r>
        <w:rPr>
          <w:rFonts w:ascii="Calibri" w:eastAsia="Times New Roman" w:hAnsi="Calibri" w:cs="Calibri"/>
          <w:sz w:val="22"/>
          <w:szCs w:val="22"/>
        </w:rPr>
        <w:t xml:space="preserve">S, Transaction price: amount expects to receive in exchange of G&amp;S. </w:t>
      </w:r>
    </w:p>
    <w:p w14:paraId="2761A167" w14:textId="77777777" w:rsidR="00000000" w:rsidRDefault="007A18E2">
      <w:pPr>
        <w:numPr>
          <w:ilvl w:val="1"/>
          <w:numId w:val="1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general principles of expense recognition, specific expense recognition applications, and implications of expense recognition choices for financial analysis</w:t>
      </w:r>
    </w:p>
    <w:p w14:paraId="6779C2E2" w14:textId="77777777" w:rsidR="00000000" w:rsidRDefault="007A18E2">
      <w:pPr>
        <w:numPr>
          <w:ilvl w:val="1"/>
          <w:numId w:val="19"/>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Expenses: amounts inc</w:t>
      </w:r>
      <w:r>
        <w:rPr>
          <w:rFonts w:ascii="Calibri" w:eastAsia="Times New Roman" w:hAnsi="Calibri" w:cs="Calibri"/>
          <w:color w:val="000000"/>
          <w:sz w:val="22"/>
          <w:szCs w:val="22"/>
        </w:rPr>
        <w:t xml:space="preserve">urred to generate rev, </w:t>
      </w:r>
      <w:r>
        <w:rPr>
          <w:rFonts w:ascii="Calibri" w:eastAsia="Times New Roman" w:hAnsi="Calibri" w:cs="Calibri"/>
          <w:b/>
          <w:bCs/>
          <w:color w:val="000000"/>
          <w:sz w:val="22"/>
          <w:szCs w:val="22"/>
        </w:rPr>
        <w:t>COGS (grouping)</w:t>
      </w:r>
      <w:r>
        <w:rPr>
          <w:rFonts w:ascii="Calibri" w:eastAsia="Times New Roman" w:hAnsi="Calibri" w:cs="Calibri"/>
          <w:color w:val="000000"/>
          <w:sz w:val="22"/>
          <w:szCs w:val="22"/>
        </w:rPr>
        <w:t xml:space="preserve">, operating expense, interest, taxes; 1.Cash method 2. </w:t>
      </w:r>
      <w:r>
        <w:rPr>
          <w:rFonts w:ascii="Calibri" w:eastAsia="Times New Roman" w:hAnsi="Calibri" w:cs="Calibri"/>
          <w:b/>
          <w:bCs/>
          <w:color w:val="000000"/>
          <w:sz w:val="22"/>
          <w:szCs w:val="22"/>
        </w:rPr>
        <w:t>Accrual</w:t>
      </w:r>
      <w:r>
        <w:rPr>
          <w:rFonts w:ascii="Calibri" w:eastAsia="Times New Roman" w:hAnsi="Calibri" w:cs="Calibri"/>
          <w:color w:val="000000"/>
          <w:sz w:val="22"/>
          <w:szCs w:val="22"/>
        </w:rPr>
        <w:t xml:space="preserve"> method (</w:t>
      </w:r>
      <w:r>
        <w:rPr>
          <w:rFonts w:ascii="Calibri" w:eastAsia="Times New Roman" w:hAnsi="Calibri" w:cs="Calibri"/>
          <w:b/>
          <w:bCs/>
          <w:color w:val="000000"/>
          <w:sz w:val="22"/>
          <w:szCs w:val="22"/>
        </w:rPr>
        <w:t xml:space="preserve">matching principle, </w:t>
      </w:r>
      <w:r>
        <w:rPr>
          <w:rFonts w:ascii="Calibri" w:eastAsia="Times New Roman" w:hAnsi="Calibri" w:cs="Calibri"/>
          <w:color w:val="000000"/>
          <w:sz w:val="22"/>
          <w:szCs w:val="22"/>
        </w:rPr>
        <w:t>in same period of revenue incurred)</w:t>
      </w:r>
    </w:p>
    <w:p w14:paraId="45364978"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3.</w:t>
      </w:r>
      <w:r>
        <w:rPr>
          <w:rFonts w:ascii="Calibri" w:hAnsi="Calibri" w:cs="Calibri"/>
          <w:b/>
          <w:bCs/>
          <w:sz w:val="22"/>
          <w:szCs w:val="22"/>
        </w:rPr>
        <w:t>Period costs</w:t>
      </w:r>
      <w:r>
        <w:rPr>
          <w:rFonts w:ascii="Calibri" w:hAnsi="Calibri" w:cs="Calibri"/>
          <w:sz w:val="22"/>
          <w:szCs w:val="22"/>
        </w:rPr>
        <w:t xml:space="preserve"> (eg. Administrative costs) are expenses in the period incurred</w:t>
      </w:r>
    </w:p>
    <w:p w14:paraId="4EAD539D"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152796BB" wp14:editId="2ACE4FB0">
            <wp:extent cx="636270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523875"/>
                    </a:xfrm>
                    <a:prstGeom prst="rect">
                      <a:avLst/>
                    </a:prstGeom>
                    <a:noFill/>
                    <a:ln>
                      <a:noFill/>
                    </a:ln>
                  </pic:spPr>
                </pic:pic>
              </a:graphicData>
            </a:graphic>
          </wp:inline>
        </w:drawing>
      </w:r>
    </w:p>
    <w:p w14:paraId="6A6D91C3" w14:textId="77777777" w:rsidR="00000000" w:rsidRDefault="007A18E2">
      <w:pPr>
        <w:numPr>
          <w:ilvl w:val="1"/>
          <w:numId w:val="19"/>
        </w:numPr>
        <w:textAlignment w:val="center"/>
        <w:rPr>
          <w:rFonts w:ascii="Calibri" w:eastAsia="Times New Roman" w:hAnsi="Calibri" w:cs="Calibri"/>
          <w:sz w:val="22"/>
          <w:szCs w:val="22"/>
        </w:rPr>
      </w:pPr>
      <w:r>
        <w:rPr>
          <w:rFonts w:ascii="Calibri" w:eastAsia="Times New Roman" w:hAnsi="Calibri" w:cs="Calibri"/>
          <w:sz w:val="22"/>
          <w:szCs w:val="22"/>
        </w:rPr>
        <w:t xml:space="preserve">Gains and losses (economic benefits). </w:t>
      </w:r>
      <w:r>
        <w:rPr>
          <w:rFonts w:ascii="Calibri" w:eastAsia="Times New Roman" w:hAnsi="Calibri" w:cs="Calibri"/>
          <w:sz w:val="22"/>
          <w:szCs w:val="22"/>
          <w:shd w:val="clear" w:color="auto" w:fill="FAC08F"/>
        </w:rPr>
        <w:t xml:space="preserve">Interest expense is usually considered an operating expense for financial firms. </w:t>
      </w:r>
    </w:p>
    <w:p w14:paraId="087DDCFB" w14:textId="77777777" w:rsidR="00000000" w:rsidRDefault="007A18E2">
      <w:pPr>
        <w:numPr>
          <w:ilvl w:val="1"/>
          <w:numId w:val="19"/>
        </w:numPr>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14:anchorId="47D3DEEA" wp14:editId="261B97E4">
            <wp:extent cx="6334125" cy="695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695325"/>
                    </a:xfrm>
                    <a:prstGeom prst="rect">
                      <a:avLst/>
                    </a:prstGeom>
                    <a:noFill/>
                    <a:ln>
                      <a:noFill/>
                    </a:ln>
                  </pic:spPr>
                </pic:pic>
              </a:graphicData>
            </a:graphic>
          </wp:inline>
        </w:drawing>
      </w:r>
    </w:p>
    <w:p w14:paraId="5F933551" w14:textId="77777777" w:rsidR="00000000" w:rsidRDefault="007A18E2">
      <w:pPr>
        <w:numPr>
          <w:ilvl w:val="1"/>
          <w:numId w:val="19"/>
        </w:numPr>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14:anchorId="0B9EDA5A" wp14:editId="682B5DF9">
            <wp:extent cx="6286500" cy="44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447675"/>
                    </a:xfrm>
                    <a:prstGeom prst="rect">
                      <a:avLst/>
                    </a:prstGeom>
                    <a:noFill/>
                    <a:ln>
                      <a:noFill/>
                    </a:ln>
                  </pic:spPr>
                </pic:pic>
              </a:graphicData>
            </a:graphic>
          </wp:inline>
        </w:drawing>
      </w:r>
    </w:p>
    <w:p w14:paraId="2D713DBE"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accelerated depreciation</w:t>
      </w:r>
      <w:r>
        <w:rPr>
          <w:rFonts w:ascii="Calibri" w:hAnsi="Calibri" w:cs="Calibri"/>
          <w:sz w:val="22"/>
          <w:szCs w:val="22"/>
        </w:rPr>
        <w:t xml:space="preserve"> (recognize more depreciation exp in early years) 3. </w:t>
      </w:r>
      <w:r>
        <w:rPr>
          <w:rFonts w:ascii="Calibri" w:hAnsi="Calibri" w:cs="Calibri"/>
          <w:b/>
          <w:bCs/>
          <w:sz w:val="22"/>
          <w:szCs w:val="22"/>
        </w:rPr>
        <w:t>declining balance method</w:t>
      </w:r>
      <w:r>
        <w:rPr>
          <w:rFonts w:ascii="Calibri" w:hAnsi="Calibri" w:cs="Calibri"/>
          <w:sz w:val="22"/>
          <w:szCs w:val="22"/>
        </w:rPr>
        <w:t xml:space="preserve"> (of constant rate, </w:t>
      </w:r>
      <w:r>
        <w:rPr>
          <w:rFonts w:ascii="Calibri" w:hAnsi="Calibri" w:cs="Calibri"/>
          <w:sz w:val="22"/>
          <w:szCs w:val="22"/>
          <w:highlight w:val="yellow"/>
        </w:rPr>
        <w:t>if no residual value, DB never fully d</w:t>
      </w:r>
      <w:r>
        <w:rPr>
          <w:rFonts w:ascii="Calibri" w:hAnsi="Calibri" w:cs="Calibri"/>
          <w:sz w:val="22"/>
          <w:szCs w:val="22"/>
          <w:highlight w:val="yellow"/>
        </w:rPr>
        <w:t>epreciate</w:t>
      </w:r>
      <w:r>
        <w:rPr>
          <w:rFonts w:ascii="Calibri" w:hAnsi="Calibri" w:cs="Calibri"/>
          <w:sz w:val="22"/>
          <w:szCs w:val="22"/>
        </w:rPr>
        <w:t xml:space="preserve">), </w:t>
      </w:r>
      <w:r>
        <w:rPr>
          <w:rFonts w:ascii="Calibri" w:hAnsi="Calibri" w:cs="Calibri"/>
          <w:b/>
          <w:bCs/>
          <w:sz w:val="22"/>
          <w:szCs w:val="22"/>
        </w:rPr>
        <w:t>double</w:t>
      </w:r>
      <w:r>
        <w:rPr>
          <w:rFonts w:ascii="Calibri" w:hAnsi="Calibri" w:cs="Calibri"/>
          <w:sz w:val="22"/>
          <w:szCs w:val="22"/>
        </w:rPr>
        <w:t>-</w:t>
      </w:r>
      <w:r>
        <w:rPr>
          <w:rFonts w:ascii="Calibri" w:hAnsi="Calibri" w:cs="Calibri"/>
          <w:b/>
          <w:bCs/>
          <w:sz w:val="22"/>
          <w:szCs w:val="22"/>
        </w:rPr>
        <w:t>declining</w:t>
      </w:r>
      <w:r>
        <w:rPr>
          <w:rFonts w:ascii="Calibri" w:hAnsi="Calibri" w:cs="Calibri"/>
          <w:sz w:val="22"/>
          <w:szCs w:val="22"/>
        </w:rPr>
        <w:t xml:space="preserve"> balance </w:t>
      </w:r>
    </w:p>
    <w:p w14:paraId="6C5A6947" w14:textId="77777777" w:rsidR="00000000" w:rsidRDefault="007A18E2">
      <w:pPr>
        <w:pStyle w:val="NormalWeb"/>
        <w:spacing w:before="0" w:beforeAutospacing="0" w:after="0" w:afterAutospacing="0"/>
        <w:ind w:left="1260"/>
        <w:rPr>
          <w:rFonts w:ascii="Calibri" w:hAnsi="Calibri" w:cs="Calibri"/>
          <w:sz w:val="22"/>
          <w:szCs w:val="22"/>
          <w:lang w:val=""/>
        </w:rPr>
      </w:pPr>
      <w:r>
        <w:rPr>
          <w:rFonts w:ascii="Calibri" w:hAnsi="Calibri" w:cs="Calibri"/>
          <w:noProof/>
          <w:sz w:val="22"/>
          <w:szCs w:val="22"/>
          <w:lang w:val=""/>
        </w:rPr>
        <w:drawing>
          <wp:inline distT="0" distB="0" distL="0" distR="0" wp14:anchorId="62C10AE6" wp14:editId="22CBF38C">
            <wp:extent cx="4810125" cy="352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52425"/>
                    </a:xfrm>
                    <a:prstGeom prst="rect">
                      <a:avLst/>
                    </a:prstGeom>
                    <a:noFill/>
                    <a:ln>
                      <a:noFill/>
                    </a:ln>
                  </pic:spPr>
                </pic:pic>
              </a:graphicData>
            </a:graphic>
          </wp:inline>
        </w:drawing>
      </w:r>
    </w:p>
    <w:p w14:paraId="6385BF07"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054AFB1C" wp14:editId="28900BF5">
            <wp:extent cx="4876800" cy="714375"/>
            <wp:effectExtent l="0" t="0" r="0" b="9525"/>
            <wp:docPr id="12" name="Picture 12" descr="At the beginning of the year, Triple W Corporation purchased a new piece of &#10;equipment to be used in its manufacturing operation. The cost of the equipment &#10;was $25,000. The equipment is expected to be used for 4 years and then sold for &#10;$4,000. Depreciation expense to be reported for the second year using the &#10;double-declining-balance method is closest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 the beginning of the year, Triple W Corporation purchased a new piece of &#10;equipment to be used in its manufacturing operation. The cost of the equipment &#10;was $25,000. The equipment is expected to be used for 4 years and then sold for &#10;$4,000. Depreciation expense to be reported for the second year using the &#10;double-declining-balance method is closest t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714375"/>
                    </a:xfrm>
                    <a:prstGeom prst="rect">
                      <a:avLst/>
                    </a:prstGeom>
                    <a:noFill/>
                    <a:ln>
                      <a:noFill/>
                    </a:ln>
                  </pic:spPr>
                </pic:pic>
              </a:graphicData>
            </a:graphic>
          </wp:inline>
        </w:drawing>
      </w:r>
    </w:p>
    <w:p w14:paraId="1CFE61A9"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highlight w:val="yellow"/>
        </w:rPr>
        <w:t xml:space="preserve">Intangible assets with indefinite lives (e.g., goodwill) are not amortized; however, they must be </w:t>
      </w:r>
      <w:r>
        <w:rPr>
          <w:rFonts w:ascii="Calibri" w:hAnsi="Calibri" w:cs="Calibri"/>
          <w:sz w:val="22"/>
          <w:szCs w:val="22"/>
          <w:highlight w:val="yellow"/>
        </w:rPr>
        <w:t xml:space="preserve">tested for impairment at least annually; if impaired, impairment amount = expense in IS. </w:t>
      </w:r>
    </w:p>
    <w:p w14:paraId="65F55C5F" w14:textId="77777777" w:rsidR="00000000" w:rsidRDefault="007A18E2">
      <w:pPr>
        <w:numPr>
          <w:ilvl w:val="1"/>
          <w:numId w:val="19"/>
        </w:numPr>
        <w:textAlignment w:val="center"/>
        <w:rPr>
          <w:rFonts w:ascii="Calibri" w:eastAsia="Times New Roman" w:hAnsi="Calibri" w:cs="Calibri"/>
          <w:sz w:val="22"/>
          <w:szCs w:val="22"/>
        </w:rPr>
      </w:pPr>
      <w:r>
        <w:rPr>
          <w:rFonts w:ascii="Calibri" w:eastAsia="Times New Roman" w:hAnsi="Calibri" w:cs="Calibri"/>
          <w:sz w:val="22"/>
          <w:szCs w:val="22"/>
        </w:rPr>
        <w:t xml:space="preserve">Bad debt and warranty expense: matching principle to estimate in the period of sale. </w:t>
      </w:r>
    </w:p>
    <w:p w14:paraId="10E58966" w14:textId="77777777" w:rsidR="00000000" w:rsidRDefault="007A18E2">
      <w:pPr>
        <w:numPr>
          <w:ilvl w:val="1"/>
          <w:numId w:val="2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financial reporting treatment and analysis of non-recurring items (</w:t>
      </w:r>
      <w:r>
        <w:rPr>
          <w:rFonts w:ascii="Calibri" w:eastAsia="Times New Roman" w:hAnsi="Calibri" w:cs="Calibri"/>
          <w:color w:val="2E75B5"/>
          <w:sz w:val="22"/>
          <w:szCs w:val="22"/>
        </w:rPr>
        <w:t>including discontinued operations, unusual or infrequent items) and changes in accounting policies</w:t>
      </w:r>
    </w:p>
    <w:p w14:paraId="50D4BC36" w14:textId="77777777" w:rsidR="00000000" w:rsidRDefault="007A18E2">
      <w:pPr>
        <w:numPr>
          <w:ilvl w:val="1"/>
          <w:numId w:val="22"/>
        </w:numPr>
        <w:textAlignment w:val="center"/>
        <w:rPr>
          <w:rFonts w:ascii="Calibri" w:eastAsia="Times New Roman" w:hAnsi="Calibri" w:cs="Calibri"/>
          <w:sz w:val="22"/>
          <w:szCs w:val="22"/>
        </w:rPr>
      </w:pPr>
      <w:r>
        <w:rPr>
          <w:rFonts w:ascii="Calibri" w:eastAsia="Times New Roman" w:hAnsi="Calibri" w:cs="Calibri"/>
          <w:b/>
          <w:bCs/>
          <w:sz w:val="22"/>
          <w:szCs w:val="22"/>
        </w:rPr>
        <w:t>Discontinued operation</w:t>
      </w:r>
      <w:r>
        <w:rPr>
          <w:rFonts w:ascii="Calibri" w:eastAsia="Times New Roman" w:hAnsi="Calibri" w:cs="Calibri"/>
          <w:sz w:val="22"/>
          <w:szCs w:val="22"/>
        </w:rPr>
        <w:t xml:space="preserve">: business must physically and operationally distinct from firm - </w:t>
      </w:r>
      <w:r>
        <w:rPr>
          <w:rFonts w:ascii="Calibri" w:eastAsia="Times New Roman" w:hAnsi="Calibri" w:cs="Calibri"/>
          <w:sz w:val="22"/>
          <w:szCs w:val="22"/>
          <w:highlight w:val="yellow"/>
        </w:rPr>
        <w:t>separate report</w:t>
      </w:r>
      <w:r>
        <w:rPr>
          <w:rFonts w:ascii="Calibri" w:eastAsia="Times New Roman" w:hAnsi="Calibri" w:cs="Calibri"/>
          <w:sz w:val="22"/>
          <w:szCs w:val="22"/>
        </w:rPr>
        <w:t xml:space="preserve">. </w:t>
      </w:r>
      <w:r>
        <w:rPr>
          <w:rFonts w:ascii="Calibri" w:eastAsia="Times New Roman" w:hAnsi="Calibri" w:cs="Calibri"/>
          <w:b/>
          <w:bCs/>
          <w:sz w:val="22"/>
          <w:szCs w:val="22"/>
        </w:rPr>
        <w:t>Measurement date</w:t>
      </w:r>
      <w:r>
        <w:rPr>
          <w:rFonts w:ascii="Calibri" w:eastAsia="Times New Roman" w:hAnsi="Calibri" w:cs="Calibri"/>
          <w:sz w:val="22"/>
          <w:szCs w:val="22"/>
        </w:rPr>
        <w:t>: formal plan of disposing of operat</w:t>
      </w:r>
      <w:r>
        <w:rPr>
          <w:rFonts w:ascii="Calibri" w:eastAsia="Times New Roman" w:hAnsi="Calibri" w:cs="Calibri"/>
          <w:sz w:val="22"/>
          <w:szCs w:val="22"/>
        </w:rPr>
        <w:t xml:space="preserve">ion. Time in between is </w:t>
      </w:r>
      <w:r>
        <w:rPr>
          <w:rFonts w:ascii="Calibri" w:eastAsia="Times New Roman" w:hAnsi="Calibri" w:cs="Calibri"/>
          <w:b/>
          <w:bCs/>
          <w:sz w:val="22"/>
          <w:szCs w:val="22"/>
        </w:rPr>
        <w:t>phaseout period</w:t>
      </w:r>
      <w:r>
        <w:rPr>
          <w:rFonts w:ascii="Calibri" w:eastAsia="Times New Roman" w:hAnsi="Calibri" w:cs="Calibri"/>
          <w:sz w:val="22"/>
          <w:szCs w:val="22"/>
        </w:rPr>
        <w:t xml:space="preserve">. (estimated loss - accrue during phaseout and sale, expected gain cannot reported until complete sale) Analytical implication: not affect net income, but affect future cash flows. </w:t>
      </w:r>
    </w:p>
    <w:p w14:paraId="0C453944" w14:textId="77777777" w:rsidR="00000000" w:rsidRDefault="007A18E2">
      <w:pPr>
        <w:numPr>
          <w:ilvl w:val="1"/>
          <w:numId w:val="22"/>
        </w:numPr>
        <w:textAlignment w:val="center"/>
        <w:rPr>
          <w:rFonts w:ascii="Calibri" w:eastAsia="Times New Roman" w:hAnsi="Calibri" w:cs="Calibri"/>
          <w:sz w:val="22"/>
          <w:szCs w:val="22"/>
        </w:rPr>
      </w:pPr>
      <w:r>
        <w:rPr>
          <w:rFonts w:ascii="Calibri" w:eastAsia="Times New Roman" w:hAnsi="Calibri" w:cs="Calibri"/>
          <w:b/>
          <w:bCs/>
          <w:sz w:val="22"/>
          <w:szCs w:val="22"/>
        </w:rPr>
        <w:t xml:space="preserve">Unusual in nature or infrequent in </w:t>
      </w:r>
      <w:r>
        <w:rPr>
          <w:rFonts w:ascii="Calibri" w:eastAsia="Times New Roman" w:hAnsi="Calibri" w:cs="Calibri"/>
          <w:b/>
          <w:bCs/>
          <w:sz w:val="22"/>
          <w:szCs w:val="22"/>
        </w:rPr>
        <w:t>occurrence</w:t>
      </w:r>
      <w:r>
        <w:rPr>
          <w:rFonts w:ascii="Calibri" w:eastAsia="Times New Roman" w:hAnsi="Calibri" w:cs="Calibri"/>
          <w:sz w:val="22"/>
          <w:szCs w:val="22"/>
        </w:rPr>
        <w:t xml:space="preserve"> items: gain or loss from sale of assets or part of business, which not ordinary operations; impairments, write-offs (of bad debt), write-downs, restructuring costs. Analytical implications: review to decide include or exclude. </w:t>
      </w:r>
    </w:p>
    <w:p w14:paraId="56B28A6B" w14:textId="77777777" w:rsidR="00000000" w:rsidRDefault="007A18E2">
      <w:pPr>
        <w:numPr>
          <w:ilvl w:val="1"/>
          <w:numId w:val="22"/>
        </w:numPr>
        <w:textAlignment w:val="center"/>
        <w:rPr>
          <w:rFonts w:ascii="Calibri" w:eastAsia="Times New Roman" w:hAnsi="Calibri" w:cs="Calibri"/>
          <w:sz w:val="22"/>
          <w:szCs w:val="22"/>
        </w:rPr>
      </w:pPr>
      <w:r>
        <w:rPr>
          <w:rFonts w:ascii="Calibri" w:eastAsia="Times New Roman" w:hAnsi="Calibri" w:cs="Calibri"/>
          <w:b/>
          <w:bCs/>
          <w:sz w:val="22"/>
          <w:szCs w:val="22"/>
        </w:rPr>
        <w:t>Extraordinary</w:t>
      </w:r>
      <w:r>
        <w:rPr>
          <w:rFonts w:ascii="Calibri" w:eastAsia="Times New Roman" w:hAnsi="Calibri" w:cs="Calibri"/>
          <w:sz w:val="22"/>
          <w:szCs w:val="22"/>
        </w:rPr>
        <w:t xml:space="preserve"> ite</w:t>
      </w:r>
      <w:r>
        <w:rPr>
          <w:rFonts w:ascii="Calibri" w:eastAsia="Times New Roman" w:hAnsi="Calibri" w:cs="Calibri"/>
          <w:sz w:val="22"/>
          <w:szCs w:val="22"/>
        </w:rPr>
        <w:t xml:space="preserve">ms: US GAAP material transaction of both unusual and infrequent in occur, reported net of tax, after income from continuing operation, separately in IS; </w:t>
      </w:r>
      <w:r>
        <w:rPr>
          <w:rFonts w:ascii="Calibri" w:eastAsia="Times New Roman" w:hAnsi="Calibri" w:cs="Calibri"/>
          <w:b/>
          <w:bCs/>
          <w:sz w:val="22"/>
          <w:szCs w:val="22"/>
          <w:u w:val="single"/>
        </w:rPr>
        <w:t>stop</w:t>
      </w:r>
      <w:r>
        <w:rPr>
          <w:rFonts w:ascii="Calibri" w:eastAsia="Times New Roman" w:hAnsi="Calibri" w:cs="Calibri"/>
          <w:sz w:val="22"/>
          <w:szCs w:val="22"/>
        </w:rPr>
        <w:t xml:space="preserve"> after 2015/12/15</w:t>
      </w:r>
    </w:p>
    <w:p w14:paraId="1A7504DD" w14:textId="77777777" w:rsidR="00000000" w:rsidRDefault="007A18E2">
      <w:pPr>
        <w:numPr>
          <w:ilvl w:val="1"/>
          <w:numId w:val="22"/>
        </w:numPr>
        <w:textAlignment w:val="center"/>
        <w:rPr>
          <w:rFonts w:ascii="Calibri" w:eastAsia="Times New Roman" w:hAnsi="Calibri" w:cs="Calibri"/>
          <w:sz w:val="22"/>
          <w:szCs w:val="22"/>
        </w:rPr>
      </w:pPr>
      <w:r>
        <w:rPr>
          <w:rFonts w:ascii="Calibri" w:eastAsia="Times New Roman" w:hAnsi="Calibri" w:cs="Calibri"/>
          <w:b/>
          <w:bCs/>
          <w:sz w:val="22"/>
          <w:szCs w:val="22"/>
        </w:rPr>
        <w:t>Changes in accounting principles</w:t>
      </w:r>
      <w:r>
        <w:rPr>
          <w:rFonts w:ascii="Calibri" w:eastAsia="Times New Roman" w:hAnsi="Calibri" w:cs="Calibri"/>
          <w:sz w:val="22"/>
          <w:szCs w:val="22"/>
        </w:rPr>
        <w:t>: from 1 GAAP or IFRS method to another (eg. From</w:t>
      </w:r>
      <w:r>
        <w:rPr>
          <w:rFonts w:ascii="Calibri" w:eastAsia="Times New Roman" w:hAnsi="Calibri" w:cs="Calibri"/>
          <w:sz w:val="22"/>
          <w:szCs w:val="22"/>
        </w:rPr>
        <w:t xml:space="preserve"> LIFO to FIFO), </w:t>
      </w:r>
      <w:r>
        <w:rPr>
          <w:rFonts w:ascii="Calibri" w:eastAsia="Times New Roman" w:hAnsi="Calibri" w:cs="Calibri"/>
          <w:b/>
          <w:bCs/>
          <w:sz w:val="22"/>
          <w:szCs w:val="22"/>
        </w:rPr>
        <w:t>retrospective application</w:t>
      </w:r>
      <w:r>
        <w:rPr>
          <w:rFonts w:ascii="Calibri" w:eastAsia="Times New Roman" w:hAnsi="Calibri" w:cs="Calibri"/>
          <w:sz w:val="22"/>
          <w:szCs w:val="22"/>
        </w:rPr>
        <w:t xml:space="preserve">. </w:t>
      </w:r>
      <w:r>
        <w:rPr>
          <w:rFonts w:ascii="Calibri" w:eastAsia="Times New Roman" w:hAnsi="Calibri" w:cs="Calibri"/>
          <w:b/>
          <w:bCs/>
          <w:sz w:val="22"/>
          <w:szCs w:val="22"/>
        </w:rPr>
        <w:t>Prior-period adjustments</w:t>
      </w:r>
      <w:r>
        <w:rPr>
          <w:rFonts w:ascii="Calibri" w:eastAsia="Times New Roman" w:hAnsi="Calibri" w:cs="Calibri"/>
          <w:sz w:val="22"/>
          <w:szCs w:val="22"/>
        </w:rPr>
        <w:t xml:space="preserve">: change of incorrect errors, restated to reflect. </w:t>
      </w:r>
      <w:r>
        <w:rPr>
          <w:rFonts w:ascii="Calibri" w:eastAsia="Times New Roman" w:hAnsi="Calibri" w:cs="Calibri"/>
          <w:b/>
          <w:bCs/>
          <w:sz w:val="22"/>
          <w:szCs w:val="22"/>
        </w:rPr>
        <w:t>Changes in accounting estimates</w:t>
      </w:r>
      <w:r>
        <w:rPr>
          <w:rFonts w:ascii="Calibri" w:eastAsia="Times New Roman" w:hAnsi="Calibri" w:cs="Calibri"/>
          <w:sz w:val="22"/>
          <w:szCs w:val="22"/>
        </w:rPr>
        <w:t xml:space="preserve">: from management of new info, applied prospectively. </w:t>
      </w:r>
      <w:r>
        <w:rPr>
          <w:rFonts w:ascii="Calibri" w:eastAsia="Times New Roman" w:hAnsi="Calibri" w:cs="Calibri"/>
          <w:sz w:val="22"/>
          <w:szCs w:val="22"/>
          <w:highlight w:val="yellow"/>
        </w:rPr>
        <w:t>Under U.S. GAAP, a firm that changes to LIFO from ano</w:t>
      </w:r>
      <w:r>
        <w:rPr>
          <w:rFonts w:ascii="Calibri" w:eastAsia="Times New Roman" w:hAnsi="Calibri" w:cs="Calibri"/>
          <w:sz w:val="22"/>
          <w:szCs w:val="22"/>
          <w:highlight w:val="yellow"/>
        </w:rPr>
        <w:t>ther inventory cost method does not apply the change retrospectively, but instead uses the carrying value of inventory as the first LIFO layer.</w:t>
      </w:r>
      <w:r>
        <w:rPr>
          <w:rFonts w:ascii="Calibri" w:eastAsia="Times New Roman" w:hAnsi="Calibri" w:cs="Calibri"/>
          <w:sz w:val="22"/>
          <w:szCs w:val="22"/>
        </w:rPr>
        <w:t xml:space="preserve"> Analytical implications: changes not affect cash flows, but in estimate or principles need review to decide impa</w:t>
      </w:r>
      <w:r>
        <w:rPr>
          <w:rFonts w:ascii="Calibri" w:eastAsia="Times New Roman" w:hAnsi="Calibri" w:cs="Calibri"/>
          <w:sz w:val="22"/>
          <w:szCs w:val="22"/>
        </w:rPr>
        <w:t xml:space="preserve">ct on future operations; error show weak of internal control. </w:t>
      </w:r>
    </w:p>
    <w:p w14:paraId="16484B89" w14:textId="77777777" w:rsidR="00000000" w:rsidRDefault="007A18E2">
      <w:pPr>
        <w:numPr>
          <w:ilvl w:val="1"/>
          <w:numId w:val="24"/>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Distinguish between the operating and non-operating components of the income statement</w:t>
      </w:r>
    </w:p>
    <w:p w14:paraId="6E86718D" w14:textId="77777777" w:rsidR="00000000" w:rsidRDefault="007A18E2">
      <w:pPr>
        <w:numPr>
          <w:ilvl w:val="1"/>
          <w:numId w:val="25"/>
        </w:numPr>
        <w:textAlignment w:val="center"/>
        <w:rPr>
          <w:rFonts w:ascii="Calibri" w:eastAsia="Times New Roman" w:hAnsi="Calibri" w:cs="Calibri"/>
          <w:sz w:val="22"/>
          <w:szCs w:val="22"/>
        </w:rPr>
      </w:pPr>
      <w:r>
        <w:rPr>
          <w:rFonts w:ascii="Calibri" w:eastAsia="Times New Roman" w:hAnsi="Calibri" w:cs="Calibri"/>
          <w:sz w:val="22"/>
          <w:szCs w:val="22"/>
        </w:rPr>
        <w:t>For financial firms, investment + financial exp = operating. Non-financial firms, nonoperating include div</w:t>
      </w:r>
      <w:r>
        <w:rPr>
          <w:rFonts w:ascii="Calibri" w:eastAsia="Times New Roman" w:hAnsi="Calibri" w:cs="Calibri"/>
          <w:sz w:val="22"/>
          <w:szCs w:val="22"/>
        </w:rPr>
        <w:t xml:space="preserve">idends and interest from investment, securities, interest expense of capital structure. </w:t>
      </w:r>
    </w:p>
    <w:p w14:paraId="36BF2390" w14:textId="77777777" w:rsidR="00000000" w:rsidRDefault="007A18E2">
      <w:pPr>
        <w:numPr>
          <w:ilvl w:val="1"/>
          <w:numId w:val="2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how earnings per share is calculated and calculate and interpret a company’s earnings per share (both basic and diluted earnings per share) for both simple an</w:t>
      </w:r>
      <w:r>
        <w:rPr>
          <w:rFonts w:ascii="Calibri" w:eastAsia="Times New Roman" w:hAnsi="Calibri" w:cs="Calibri"/>
          <w:color w:val="2E75B5"/>
          <w:sz w:val="22"/>
          <w:szCs w:val="22"/>
        </w:rPr>
        <w:t>d complex capital structures</w:t>
      </w:r>
    </w:p>
    <w:p w14:paraId="5DC4102C" w14:textId="77777777" w:rsidR="00000000" w:rsidRDefault="007A18E2">
      <w:pPr>
        <w:numPr>
          <w:ilvl w:val="1"/>
          <w:numId w:val="2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Distinguish between dilutive and antidilutive securities and describe the implications of each for the earnings per share calculation</w:t>
      </w:r>
    </w:p>
    <w:p w14:paraId="45AD3F0D" w14:textId="77777777" w:rsidR="00000000" w:rsidRDefault="007A18E2">
      <w:pPr>
        <w:numPr>
          <w:ilvl w:val="1"/>
          <w:numId w:val="28"/>
        </w:numPr>
        <w:textAlignment w:val="center"/>
        <w:rPr>
          <w:rFonts w:ascii="Calibri" w:eastAsia="Times New Roman" w:hAnsi="Calibri" w:cs="Calibri"/>
          <w:sz w:val="22"/>
          <w:szCs w:val="22"/>
        </w:rPr>
      </w:pPr>
      <w:r>
        <w:rPr>
          <w:rFonts w:ascii="Calibri" w:eastAsia="Times New Roman" w:hAnsi="Calibri" w:cs="Calibri"/>
          <w:sz w:val="22"/>
          <w:szCs w:val="22"/>
        </w:rPr>
        <w:t>Earnings per share (</w:t>
      </w:r>
      <w:r>
        <w:rPr>
          <w:rFonts w:ascii="Calibri" w:eastAsia="Times New Roman" w:hAnsi="Calibri" w:cs="Calibri"/>
          <w:b/>
          <w:bCs/>
          <w:sz w:val="22"/>
          <w:szCs w:val="22"/>
        </w:rPr>
        <w:t>EPS</w:t>
      </w:r>
      <w:r>
        <w:rPr>
          <w:rFonts w:ascii="Calibri" w:eastAsia="Times New Roman" w:hAnsi="Calibri" w:cs="Calibri"/>
          <w:sz w:val="22"/>
          <w:szCs w:val="22"/>
        </w:rPr>
        <w:t xml:space="preserve">): most commonly profitability performance for public-traded, </w:t>
      </w:r>
      <w:r>
        <w:rPr>
          <w:rFonts w:ascii="Calibri" w:eastAsia="Times New Roman" w:hAnsi="Calibri" w:cs="Calibri"/>
          <w:sz w:val="22"/>
          <w:szCs w:val="22"/>
          <w:highlight w:val="yellow"/>
        </w:rPr>
        <w:t>shares o</w:t>
      </w:r>
      <w:r>
        <w:rPr>
          <w:rFonts w:ascii="Calibri" w:eastAsia="Times New Roman" w:hAnsi="Calibri" w:cs="Calibri"/>
          <w:sz w:val="22"/>
          <w:szCs w:val="22"/>
          <w:highlight w:val="yellow"/>
        </w:rPr>
        <w:t>f common stock</w:t>
      </w:r>
      <w:r>
        <w:rPr>
          <w:rFonts w:ascii="Calibri" w:eastAsia="Times New Roman" w:hAnsi="Calibri" w:cs="Calibri"/>
          <w:sz w:val="22"/>
          <w:szCs w:val="22"/>
        </w:rPr>
        <w:t xml:space="preserve">(aka ordinary stocks). </w:t>
      </w:r>
      <w:r>
        <w:rPr>
          <w:rFonts w:ascii="Calibri" w:eastAsia="Times New Roman" w:hAnsi="Calibri" w:cs="Calibri"/>
          <w:b/>
          <w:bCs/>
          <w:sz w:val="22"/>
          <w:szCs w:val="22"/>
          <w:highlight w:val="yellow"/>
        </w:rPr>
        <w:t>Simple capital structure</w:t>
      </w:r>
      <w:r>
        <w:rPr>
          <w:rFonts w:ascii="Calibri" w:eastAsia="Times New Roman" w:hAnsi="Calibri" w:cs="Calibri"/>
          <w:sz w:val="22"/>
          <w:szCs w:val="22"/>
          <w:highlight w:val="yellow"/>
        </w:rPr>
        <w:t xml:space="preserve"> contain no </w:t>
      </w:r>
      <w:r>
        <w:rPr>
          <w:rFonts w:ascii="Calibri" w:eastAsia="Times New Roman" w:hAnsi="Calibri" w:cs="Calibri"/>
          <w:b/>
          <w:bCs/>
          <w:i/>
          <w:iCs/>
          <w:sz w:val="22"/>
          <w:szCs w:val="22"/>
          <w:highlight w:val="yellow"/>
        </w:rPr>
        <w:t>potentially dilutive</w:t>
      </w:r>
      <w:r>
        <w:rPr>
          <w:rFonts w:ascii="Calibri" w:eastAsia="Times New Roman" w:hAnsi="Calibri" w:cs="Calibri"/>
          <w:sz w:val="22"/>
          <w:szCs w:val="22"/>
          <w:highlight w:val="yellow"/>
        </w:rPr>
        <w:t xml:space="preserve"> securities, only common stock + nonconvertible debt + nonconvertible preferred stock. </w:t>
      </w:r>
      <w:r>
        <w:rPr>
          <w:rFonts w:ascii="Calibri" w:eastAsia="Times New Roman" w:hAnsi="Calibri" w:cs="Calibri"/>
          <w:b/>
          <w:bCs/>
          <w:sz w:val="22"/>
          <w:szCs w:val="22"/>
        </w:rPr>
        <w:t>Complex capital structure</w:t>
      </w:r>
      <w:r>
        <w:rPr>
          <w:rFonts w:ascii="Calibri" w:eastAsia="Times New Roman" w:hAnsi="Calibri" w:cs="Calibri"/>
          <w:sz w:val="22"/>
          <w:szCs w:val="22"/>
        </w:rPr>
        <w:t xml:space="preserve"> contain potentially </w:t>
      </w:r>
      <w:r>
        <w:rPr>
          <w:rFonts w:ascii="Calibri" w:eastAsia="Times New Roman" w:hAnsi="Calibri" w:cs="Calibri"/>
          <w:sz w:val="22"/>
          <w:szCs w:val="22"/>
        </w:rPr>
        <w:t xml:space="preserve">dilutive securities(eg. </w:t>
      </w:r>
      <w:r>
        <w:rPr>
          <w:rFonts w:ascii="Calibri" w:eastAsia="Times New Roman" w:hAnsi="Calibri" w:cs="Calibri"/>
          <w:sz w:val="22"/>
          <w:szCs w:val="22"/>
          <w:shd w:val="clear" w:color="auto" w:fill="FAC08F"/>
        </w:rPr>
        <w:t>Employee stock options</w:t>
      </w:r>
      <w:r>
        <w:rPr>
          <w:rFonts w:ascii="Calibri" w:eastAsia="Times New Roman" w:hAnsi="Calibri" w:cs="Calibri"/>
          <w:sz w:val="22"/>
          <w:szCs w:val="22"/>
        </w:rPr>
        <w:t xml:space="preserve">, warrants, or convertible securities). - </w:t>
      </w:r>
      <w:r>
        <w:rPr>
          <w:rFonts w:ascii="Calibri" w:eastAsia="Times New Roman" w:hAnsi="Calibri" w:cs="Calibri"/>
          <w:sz w:val="22"/>
          <w:szCs w:val="22"/>
          <w:highlight w:val="yellow"/>
        </w:rPr>
        <w:t xml:space="preserve">firms with complex must report </w:t>
      </w:r>
      <w:r>
        <w:rPr>
          <w:rFonts w:ascii="Calibri" w:eastAsia="Times New Roman" w:hAnsi="Calibri" w:cs="Calibri"/>
          <w:b/>
          <w:bCs/>
          <w:sz w:val="22"/>
          <w:szCs w:val="22"/>
          <w:highlight w:val="yellow"/>
        </w:rPr>
        <w:t>basic &amp; diluted EPS</w:t>
      </w:r>
      <w:r>
        <w:rPr>
          <w:rFonts w:ascii="Calibri" w:eastAsia="Times New Roman" w:hAnsi="Calibri" w:cs="Calibri"/>
          <w:sz w:val="22"/>
          <w:szCs w:val="22"/>
          <w:highlight w:val="yellow"/>
        </w:rPr>
        <w:t xml:space="preserve">, </w:t>
      </w:r>
      <w:r>
        <w:rPr>
          <w:rFonts w:ascii="Calibri" w:eastAsia="Times New Roman" w:hAnsi="Calibri" w:cs="Calibri"/>
          <w:b/>
          <w:bCs/>
          <w:sz w:val="22"/>
          <w:szCs w:val="22"/>
          <w:shd w:val="clear" w:color="auto" w:fill="FAC08F"/>
        </w:rPr>
        <w:t xml:space="preserve">diluted EPS is </w:t>
      </w:r>
      <w:r>
        <w:rPr>
          <w:rFonts w:ascii="Calibri" w:eastAsia="Times New Roman" w:hAnsi="Calibri" w:cs="Calibri"/>
          <w:b/>
          <w:bCs/>
          <w:sz w:val="22"/>
          <w:szCs w:val="22"/>
          <w:u w:val="single"/>
          <w:shd w:val="clear" w:color="auto" w:fill="FAC08F"/>
        </w:rPr>
        <w:t>less</w:t>
      </w:r>
      <w:r>
        <w:rPr>
          <w:rFonts w:ascii="Calibri" w:eastAsia="Times New Roman" w:hAnsi="Calibri" w:cs="Calibri"/>
          <w:b/>
          <w:bCs/>
          <w:sz w:val="22"/>
          <w:szCs w:val="22"/>
          <w:shd w:val="clear" w:color="auto" w:fill="FAC08F"/>
        </w:rPr>
        <w:t xml:space="preserve"> than or equal to its basic EPS</w:t>
      </w:r>
      <w:r>
        <w:rPr>
          <w:rFonts w:ascii="Calibri" w:eastAsia="Times New Roman" w:hAnsi="Calibri" w:cs="Calibri"/>
          <w:sz w:val="22"/>
          <w:szCs w:val="22"/>
          <w:shd w:val="clear" w:color="auto" w:fill="FAC08F"/>
        </w:rPr>
        <w:t>(always remember to compare)</w:t>
      </w:r>
      <w:r>
        <w:rPr>
          <w:rFonts w:ascii="Calibri" w:eastAsia="Times New Roman" w:hAnsi="Calibri" w:cs="Calibri"/>
          <w:sz w:val="22"/>
          <w:szCs w:val="22"/>
        </w:rPr>
        <w:t xml:space="preserve">. </w:t>
      </w:r>
    </w:p>
    <w:p w14:paraId="2258B21D" w14:textId="77777777" w:rsidR="00000000" w:rsidRDefault="007A18E2">
      <w:pPr>
        <w:pStyle w:val="NormalWeb"/>
        <w:spacing w:before="0" w:beforeAutospacing="0" w:after="0" w:afterAutospacing="0"/>
        <w:ind w:left="1260"/>
        <w:rPr>
          <w:rFonts w:ascii="Calibri" w:hAnsi="Calibri" w:cs="Calibri"/>
          <w:color w:val="000000"/>
          <w:sz w:val="22"/>
          <w:szCs w:val="22"/>
        </w:rPr>
      </w:pPr>
      <w:r>
        <w:rPr>
          <w:rFonts w:ascii="Calibri" w:hAnsi="Calibri" w:cs="Calibri"/>
          <w:noProof/>
          <w:color w:val="000000"/>
          <w:sz w:val="22"/>
          <w:szCs w:val="22"/>
        </w:rPr>
        <w:drawing>
          <wp:inline distT="0" distB="0" distL="0" distR="0" wp14:anchorId="392784FB" wp14:editId="3C2555E5">
            <wp:extent cx="624840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276225"/>
                    </a:xfrm>
                    <a:prstGeom prst="rect">
                      <a:avLst/>
                    </a:prstGeom>
                    <a:noFill/>
                    <a:ln>
                      <a:noFill/>
                    </a:ln>
                  </pic:spPr>
                </pic:pic>
              </a:graphicData>
            </a:graphic>
          </wp:inline>
        </w:drawing>
      </w:r>
    </w:p>
    <w:p w14:paraId="3FB5B496"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shd w:val="clear" w:color="auto" w:fill="FAC08F"/>
        </w:rPr>
        <w:t>Payment of a cash dividend on common shares is</w:t>
      </w:r>
      <w:r>
        <w:rPr>
          <w:rFonts w:ascii="Calibri" w:hAnsi="Calibri" w:cs="Calibri"/>
          <w:sz w:val="22"/>
          <w:szCs w:val="22"/>
          <w:shd w:val="clear" w:color="auto" w:fill="FAC08F"/>
        </w:rPr>
        <w:t xml:space="preserve"> </w:t>
      </w:r>
      <w:r>
        <w:rPr>
          <w:rFonts w:ascii="Calibri" w:hAnsi="Calibri" w:cs="Calibri"/>
          <w:b/>
          <w:bCs/>
          <w:sz w:val="22"/>
          <w:szCs w:val="22"/>
          <w:shd w:val="clear" w:color="auto" w:fill="FAC08F"/>
        </w:rPr>
        <w:t>NOT</w:t>
      </w:r>
      <w:r>
        <w:rPr>
          <w:rFonts w:ascii="Calibri" w:hAnsi="Calibri" w:cs="Calibri"/>
          <w:sz w:val="22"/>
          <w:szCs w:val="22"/>
          <w:shd w:val="clear" w:color="auto" w:fill="FAC08F"/>
        </w:rPr>
        <w:t xml:space="preserve"> considered in the calculation of EPS. </w:t>
      </w:r>
    </w:p>
    <w:p w14:paraId="38DDC538" w14:textId="77777777" w:rsidR="00000000" w:rsidRDefault="007A18E2">
      <w:pPr>
        <w:numPr>
          <w:ilvl w:val="1"/>
          <w:numId w:val="28"/>
        </w:numPr>
        <w:textAlignment w:val="center"/>
        <w:rPr>
          <w:rFonts w:ascii="Calibri" w:eastAsia="Times New Roman" w:hAnsi="Calibri" w:cs="Calibri"/>
          <w:sz w:val="22"/>
          <w:szCs w:val="22"/>
        </w:rPr>
      </w:pPr>
      <w:r>
        <w:rPr>
          <w:rFonts w:ascii="Calibri" w:eastAsia="Times New Roman" w:hAnsi="Calibri" w:cs="Calibri"/>
          <w:b/>
          <w:bCs/>
          <w:sz w:val="22"/>
          <w:szCs w:val="22"/>
        </w:rPr>
        <w:t>Stock dividend</w:t>
      </w:r>
      <w:r>
        <w:rPr>
          <w:rFonts w:ascii="Calibri" w:eastAsia="Times New Roman" w:hAnsi="Calibri" w:cs="Calibri"/>
          <w:sz w:val="22"/>
          <w:szCs w:val="22"/>
        </w:rPr>
        <w:t xml:space="preserve">: distribution of additional shares, eg. 10% means holder of 100 shares receive 10 more shares. </w:t>
      </w:r>
      <w:r>
        <w:rPr>
          <w:rFonts w:ascii="Calibri" w:eastAsia="Times New Roman" w:hAnsi="Calibri" w:cs="Calibri"/>
          <w:b/>
          <w:bCs/>
          <w:sz w:val="22"/>
          <w:szCs w:val="22"/>
        </w:rPr>
        <w:t>Stock split</w:t>
      </w:r>
      <w:r>
        <w:rPr>
          <w:rFonts w:ascii="Calibri" w:eastAsia="Times New Roman" w:hAnsi="Calibri" w:cs="Calibri"/>
          <w:sz w:val="22"/>
          <w:szCs w:val="22"/>
        </w:rPr>
        <w:t>: division of "old" shares into "new"(post-split) shares, create more shares but price drop</w:t>
      </w:r>
      <w:r>
        <w:rPr>
          <w:rFonts w:ascii="Calibri" w:eastAsia="Times New Roman" w:hAnsi="Calibri" w:cs="Calibri"/>
          <w:sz w:val="22"/>
          <w:szCs w:val="22"/>
        </w:rPr>
        <w:t xml:space="preserve">s, eg. 100 shares will 200 shares for 2-for-1 split, and 150 shares for 3-for-2-split. - SO proportional ownership NOT CHANGED, same % of shares outstanding with more shares: a 50% stock dividend and a 3-for-2 stock split both result in three 'new' shares </w:t>
      </w:r>
      <w:r>
        <w:rPr>
          <w:rFonts w:ascii="Calibri" w:eastAsia="Times New Roman" w:hAnsi="Calibri" w:cs="Calibri"/>
          <w:sz w:val="22"/>
          <w:szCs w:val="22"/>
        </w:rPr>
        <w:t xml:space="preserve">for every two “old” shares. </w:t>
      </w:r>
    </w:p>
    <w:p w14:paraId="2EE3D04F"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7F5CFB51" wp14:editId="2D225D6B">
            <wp:extent cx="5800725" cy="800100"/>
            <wp:effectExtent l="0" t="0" r="9525" b="0"/>
            <wp:docPr id="14" name="Picture 14" descr="example, assume a company began the year with 2,000,000 common shares outstanding and repurchased &#10;100,000 common shares on 1 July. The weighted average number of common shares outstanding would be &#10;the sum of 2,000,000 shares x 1/2 year + 1,900,000 shares x 1/2 year, or 1 shares. So the &#10;company would use 1 shares as the weighted average number of shares in calculating its bas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assume a company began the year with 2,000,000 common shares outstanding and repurchased &#10;100,000 common shares on 1 July. The weighted average number of common shares outstanding would be &#10;the sum of 2,000,000 shares x 1/2 year + 1,900,000 shares x 1/2 year, or 1 shares. So the &#10;company would use 1 shares as the weighted average number of shares in calculating its basic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800100"/>
                    </a:xfrm>
                    <a:prstGeom prst="rect">
                      <a:avLst/>
                    </a:prstGeom>
                    <a:noFill/>
                    <a:ln>
                      <a:noFill/>
                    </a:ln>
                  </pic:spPr>
                </pic:pic>
              </a:graphicData>
            </a:graphic>
          </wp:inline>
        </w:drawing>
      </w:r>
    </w:p>
    <w:p w14:paraId="74BB2DCE" w14:textId="77777777" w:rsidR="00000000" w:rsidRDefault="007A18E2">
      <w:pPr>
        <w:pStyle w:val="NormalWeb"/>
        <w:spacing w:before="0" w:beforeAutospacing="0" w:after="0" w:afterAutospacing="0"/>
        <w:ind w:left="1260"/>
        <w:rPr>
          <w:rFonts w:ascii="Calibri" w:hAnsi="Calibri" w:cs="Calibri"/>
          <w:color w:val="000000"/>
          <w:sz w:val="22"/>
          <w:szCs w:val="22"/>
        </w:rPr>
      </w:pPr>
      <w:r>
        <w:rPr>
          <w:rFonts w:ascii="Calibri" w:hAnsi="Calibri" w:cs="Calibri"/>
          <w:color w:val="000000"/>
          <w:sz w:val="22"/>
          <w:szCs w:val="22"/>
          <w:u w:val="single"/>
        </w:rPr>
        <w:t>Assuming all other evens the same, a previously declared 2-for-1 stock split took effect.</w:t>
      </w:r>
      <w:r>
        <w:rPr>
          <w:rFonts w:ascii="Calibri" w:hAnsi="Calibri" w:cs="Calibri"/>
          <w:color w:val="000000"/>
          <w:sz w:val="22"/>
          <w:szCs w:val="22"/>
        </w:rPr>
        <w:t xml:space="preserve"> Each shareholder of record receives two shares in exchange for each curr</w:t>
      </w:r>
      <w:r>
        <w:rPr>
          <w:rFonts w:ascii="Calibri" w:hAnsi="Calibri" w:cs="Calibri"/>
          <w:color w:val="000000"/>
          <w:sz w:val="22"/>
          <w:szCs w:val="22"/>
        </w:rPr>
        <w:t xml:space="preserve">ent share that he or she owns. </w:t>
      </w:r>
    </w:p>
    <w:p w14:paraId="4BD92023"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shd w:val="clear" w:color="auto" w:fill="FAC08F"/>
        </w:rPr>
        <w:t>For EPS calculation purposes, a stock split is treated as if it occurred at the beginning of the period.</w:t>
      </w:r>
      <w:r>
        <w:rPr>
          <w:rFonts w:ascii="Calibri" w:hAnsi="Calibri" w:cs="Calibri"/>
          <w:sz w:val="22"/>
          <w:szCs w:val="22"/>
        </w:rPr>
        <w:t xml:space="preserve"> The weighted average number of shares would, therefore, be 1,950,000 * 2 = 3,900,000 shares. </w:t>
      </w:r>
    </w:p>
    <w:p w14:paraId="63B2B28F"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1A66A99D" wp14:editId="6F85BA68">
            <wp:extent cx="4572000" cy="3143250"/>
            <wp:effectExtent l="0" t="0" r="0" b="0"/>
            <wp:docPr id="15" name="Picture 15" descr="Johnson Company has 10,000 shares outstanding at the beginning of the year. On April 1, Johnson &#10;issues 4,000 new shares. On July 1, Johnson distributes a 10% stock dividend. On September 1, &#10;Johnson repurchases 3,000 shares. Calculate Johnson's weighted average number of shares &#10;outstanding for the year, for its reporting of basic earnings per share. &#10;Shares outstanding are weighted by the portion of the year the shares were outstanding. Any shares &#10;that were outstanding before the 10% stock dividend must be adjusted for it. Transactions that &#10;occur after the stock dividend do not need to be adjusted. &#10;PROFESSOR'S NOTE &#10;Think of the shares before the stock dividend as &quot;old&quot; shares and shares after the &#10;stock dividend as &quot;new&quot; shares that each represent ownership of a smaller portion of &#10;the company, in this example 10/1 Iths of that of an old (pre-stock dividend) share. &#10;The weighted average number of shares for the year will be in new shares. &#10;Shares outstanding on January 1: 10,000 x 1.10 x 12/12 of the year = 11,000 &#10;Shares issued April 1: 4,000 x 1.10 x 9/12 of the year &#10;Shares repurchased September 1: —3,000 x 4/12 of the year &#10;= 3,300 &#10;- -1 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ohnson Company has 10,000 shares outstanding at the beginning of the year. On April 1, Johnson &#10;issues 4,000 new shares. On July 1, Johnson distributes a 10% stock dividend. On September 1, &#10;Johnson repurchases 3,000 shares. Calculate Johnson's weighted average number of shares &#10;outstanding for the year, for its reporting of basic earnings per share. &#10;Shares outstanding are weighted by the portion of the year the shares were outstanding. Any shares &#10;that were outstanding before the 10% stock dividend must be adjusted for it. Transactions that &#10;occur after the stock dividend do not need to be adjusted. &#10;PROFESSOR'S NOTE &#10;Think of the shares before the stock dividend as &quot;old&quot; shares and shares after the &#10;stock dividend as &quot;new&quot; shares that each represent ownership of a smaller portion of &#10;the company, in this example 10/1 Iths of that of an old (pre-stock dividend) share. &#10;The weighted average number of shares for the year will be in new shares. &#10;Shares outstanding on January 1: 10,000 x 1.10 x 12/12 of the year = 11,000 &#10;Shares issued April 1: 4,000 x 1.10 x 9/12 of the year &#10;Shares repurchased September 1: —3,000 x 4/12 of the year &#10;= 3,300 &#10;- -1 00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143250"/>
                    </a:xfrm>
                    <a:prstGeom prst="rect">
                      <a:avLst/>
                    </a:prstGeom>
                    <a:noFill/>
                    <a:ln>
                      <a:noFill/>
                    </a:ln>
                  </pic:spPr>
                </pic:pic>
              </a:graphicData>
            </a:graphic>
          </wp:inline>
        </w:drawing>
      </w:r>
    </w:p>
    <w:p w14:paraId="5978FB9A" w14:textId="77777777" w:rsidR="00000000" w:rsidRDefault="007A18E2">
      <w:pPr>
        <w:numPr>
          <w:ilvl w:val="1"/>
          <w:numId w:val="30"/>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84D27D5" wp14:editId="42FE008D">
            <wp:extent cx="563880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276225"/>
                    </a:xfrm>
                    <a:prstGeom prst="rect">
                      <a:avLst/>
                    </a:prstGeom>
                    <a:noFill/>
                    <a:ln>
                      <a:noFill/>
                    </a:ln>
                  </pic:spPr>
                </pic:pic>
              </a:graphicData>
            </a:graphic>
          </wp:inline>
        </w:drawing>
      </w:r>
    </w:p>
    <w:p w14:paraId="1159331E" w14:textId="77777777" w:rsidR="00000000" w:rsidRDefault="007A18E2">
      <w:pPr>
        <w:numPr>
          <w:ilvl w:val="1"/>
          <w:numId w:val="32"/>
        </w:numPr>
        <w:textAlignment w:val="center"/>
        <w:rPr>
          <w:rFonts w:ascii="Cambria Math" w:eastAsia="Times New Roman" w:hAnsi="Cambria Math" w:cs="Calibri"/>
          <w:sz w:val="22"/>
          <w:szCs w:val="22"/>
        </w:rPr>
      </w:pPr>
      <w:r>
        <w:rPr>
          <w:rFonts w:ascii="Calibri" w:eastAsia="Times New Roman" w:hAnsi="Calibri" w:cs="Calibri"/>
          <w:sz w:val="22"/>
          <w:szCs w:val="22"/>
        </w:rPr>
        <w:t xml:space="preserve">Reacquired shares excluded from computation from date of reacquisition </w:t>
      </w:r>
    </w:p>
    <w:p w14:paraId="260AB627" w14:textId="77777777" w:rsidR="00000000" w:rsidRDefault="007A18E2">
      <w:pPr>
        <w:numPr>
          <w:ilvl w:val="1"/>
          <w:numId w:val="32"/>
        </w:numPr>
        <w:textAlignment w:val="center"/>
        <w:rPr>
          <w:rFonts w:ascii="Cambria Math" w:eastAsia="Times New Roman" w:hAnsi="Cambria Math" w:cs="Calibri"/>
          <w:sz w:val="22"/>
          <w:szCs w:val="22"/>
        </w:rPr>
      </w:pPr>
      <w:r>
        <w:rPr>
          <w:rFonts w:ascii="Calibri" w:eastAsia="Times New Roman" w:hAnsi="Calibri" w:cs="Calibri"/>
          <w:sz w:val="22"/>
          <w:szCs w:val="22"/>
        </w:rPr>
        <w:t>Shares sold or issued in purchase of assets included</w:t>
      </w:r>
    </w:p>
    <w:p w14:paraId="03FACF1D" w14:textId="77777777" w:rsidR="00000000" w:rsidRDefault="007A18E2">
      <w:pPr>
        <w:numPr>
          <w:ilvl w:val="1"/>
          <w:numId w:val="32"/>
        </w:numPr>
        <w:textAlignment w:val="center"/>
        <w:rPr>
          <w:rFonts w:ascii="Cambria Math" w:eastAsia="Times New Roman" w:hAnsi="Cambria Math" w:cs="Calibri"/>
          <w:sz w:val="22"/>
          <w:szCs w:val="22"/>
        </w:rPr>
      </w:pPr>
      <w:r>
        <w:rPr>
          <w:rFonts w:ascii="Calibri" w:eastAsia="Times New Roman" w:hAnsi="Calibri" w:cs="Calibri"/>
          <w:sz w:val="22"/>
          <w:szCs w:val="22"/>
        </w:rPr>
        <w:t xml:space="preserve">Stock split or stock </w:t>
      </w:r>
      <w:r>
        <w:rPr>
          <w:rFonts w:ascii="Calibri" w:eastAsia="Times New Roman" w:hAnsi="Calibri" w:cs="Calibri"/>
          <w:sz w:val="22"/>
          <w:szCs w:val="22"/>
        </w:rPr>
        <w:t xml:space="preserve">dividend applied to all shares outstanding prior to beginning weighted average shares, but not applied to shares issued or repurchased after split/dividend date. </w:t>
      </w:r>
    </w:p>
    <w:tbl>
      <w:tblPr>
        <w:tblW w:w="0" w:type="auto"/>
        <w:tblCellSpacing w:w="0" w:type="dxa"/>
        <w:tblInd w:w="1200" w:type="dxa"/>
        <w:tblCellMar>
          <w:left w:w="0" w:type="dxa"/>
          <w:right w:w="0" w:type="dxa"/>
        </w:tblCellMar>
        <w:tblLook w:val="04A0" w:firstRow="1" w:lastRow="0" w:firstColumn="1" w:lastColumn="0" w:noHBand="0" w:noVBand="1"/>
      </w:tblPr>
      <w:tblGrid>
        <w:gridCol w:w="6"/>
        <w:gridCol w:w="8154"/>
      </w:tblGrid>
      <w:tr w:rsidR="00000000" w14:paraId="4A14E5FC" w14:textId="77777777">
        <w:trPr>
          <w:divId w:val="284849386"/>
          <w:tblCellSpacing w:w="0" w:type="dxa"/>
        </w:trPr>
        <w:tc>
          <w:tcPr>
            <w:tcW w:w="0" w:type="auto"/>
            <w:vAlign w:val="center"/>
            <w:hideMark/>
          </w:tcPr>
          <w:p w14:paraId="47E82FF3" w14:textId="77777777" w:rsidR="00000000" w:rsidRDefault="007A18E2">
            <w:pPr>
              <w:numPr>
                <w:ilvl w:val="1"/>
                <w:numId w:val="32"/>
              </w:numPr>
              <w:textAlignment w:val="center"/>
              <w:rPr>
                <w:rFonts w:ascii="Cambria Math" w:eastAsia="Times New Roman" w:hAnsi="Cambria Math" w:cs="Calibri"/>
                <w:sz w:val="22"/>
                <w:szCs w:val="22"/>
              </w:rPr>
            </w:pPr>
          </w:p>
        </w:tc>
        <w:tc>
          <w:tcPr>
            <w:tcW w:w="0" w:type="auto"/>
            <w:vAlign w:val="cente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10"/>
              <w:gridCol w:w="1986"/>
              <w:gridCol w:w="3138"/>
            </w:tblGrid>
            <w:tr w:rsidR="00000000" w14:paraId="3C63F697" w14:textId="77777777">
              <w:trPr>
                <w:divId w:val="1260068727"/>
              </w:trPr>
              <w:tc>
                <w:tcPr>
                  <w:tcW w:w="2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8461C2" w14:textId="77777777" w:rsidR="00000000" w:rsidRDefault="007A18E2">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Dilutive</w:t>
                  </w:r>
                  <w:r>
                    <w:rPr>
                      <w:rFonts w:ascii="Calibri" w:hAnsi="Calibri" w:cs="Calibri"/>
                      <w:sz w:val="22"/>
                      <w:szCs w:val="22"/>
                    </w:rPr>
                    <w:t xml:space="preserve"> securities</w:t>
                  </w:r>
                </w:p>
              </w:tc>
              <w:tc>
                <w:tcPr>
                  <w:tcW w:w="2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A71935"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46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7ED5E7" w14:textId="77777777" w:rsidR="00000000" w:rsidRDefault="007A18E2">
                  <w:pPr>
                    <w:pStyle w:val="NormalWeb"/>
                    <w:spacing w:before="0" w:beforeAutospacing="0" w:after="0" w:afterAutospacing="0"/>
                    <w:jc w:val="center"/>
                    <w:rPr>
                      <w:rFonts w:ascii="Arial" w:hAnsi="Arial" w:cs="Arial"/>
                      <w:sz w:val="20"/>
                      <w:szCs w:val="20"/>
                    </w:rPr>
                  </w:pPr>
                  <w:r>
                    <w:rPr>
                      <w:rFonts w:ascii="Arial" w:hAnsi="Arial" w:cs="Arial"/>
                      <w:b/>
                      <w:bCs/>
                      <w:sz w:val="20"/>
                      <w:szCs w:val="20"/>
                    </w:rPr>
                    <w:t>Anti-dilutive</w:t>
                  </w:r>
                  <w:r>
                    <w:rPr>
                      <w:rFonts w:ascii="Arial" w:hAnsi="Arial" w:cs="Arial"/>
                      <w:sz w:val="20"/>
                      <w:szCs w:val="20"/>
                    </w:rPr>
                    <w:t xml:space="preserve"> securities </w:t>
                  </w:r>
                </w:p>
                <w:p w14:paraId="3BE0DBFB" w14:textId="77777777" w:rsidR="00000000" w:rsidRDefault="007A18E2">
                  <w:pPr>
                    <w:pStyle w:val="NormalWeb"/>
                    <w:spacing w:before="0" w:beforeAutospacing="0" w:after="0" w:afterAutospacing="0"/>
                    <w:rPr>
                      <w:rFonts w:ascii="Arial" w:hAnsi="Arial" w:cs="Arial"/>
                      <w:sz w:val="20"/>
                      <w:szCs w:val="20"/>
                    </w:rPr>
                  </w:pPr>
                  <w:r>
                    <w:rPr>
                      <w:rFonts w:ascii="Arial" w:hAnsi="Arial" w:cs="Arial"/>
                      <w:sz w:val="20"/>
                      <w:szCs w:val="20"/>
                    </w:rPr>
                    <w:t xml:space="preserve">↑EPS if exercised </w:t>
                  </w:r>
                  <w:r>
                    <w:rPr>
                      <w:rFonts w:ascii="Arial" w:hAnsi="Arial" w:cs="Arial"/>
                      <w:sz w:val="20"/>
                      <w:szCs w:val="20"/>
                    </w:rPr>
                    <w:t xml:space="preserve">or converted to common stock. </w:t>
                  </w:r>
                </w:p>
              </w:tc>
            </w:tr>
            <w:tr w:rsidR="00000000" w14:paraId="2ABC55BC" w14:textId="77777777">
              <w:trPr>
                <w:divId w:val="1260068727"/>
              </w:trPr>
              <w:tc>
                <w:tcPr>
                  <w:tcW w:w="2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7C07E"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If-Converted Method</w:t>
                  </w:r>
                </w:p>
              </w:tc>
              <w:tc>
                <w:tcPr>
                  <w:tcW w:w="2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A0801B" w14:textId="77777777" w:rsidR="00000000" w:rsidRDefault="007A18E2">
                  <w:pPr>
                    <w:pStyle w:val="NormalWeb"/>
                    <w:spacing w:before="0" w:beforeAutospacing="0" w:after="0" w:afterAutospacing="0"/>
                    <w:rPr>
                      <w:rFonts w:ascii="Arial" w:hAnsi="Arial" w:cs="Arial"/>
                      <w:sz w:val="20"/>
                      <w:szCs w:val="20"/>
                    </w:rPr>
                  </w:pPr>
                  <w:r>
                    <w:rPr>
                      <w:rFonts w:ascii="Arial" w:hAnsi="Arial" w:cs="Arial"/>
                      <w:sz w:val="20"/>
                      <w:szCs w:val="20"/>
                    </w:rPr>
                    <w:t>Treasury Stock Method</w:t>
                  </w:r>
                </w:p>
              </w:tc>
              <w:tc>
                <w:tcPr>
                  <w:tcW w:w="44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5F7FF3"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5BC95657" w14:textId="77777777">
              <w:trPr>
                <w:divId w:val="1260068727"/>
              </w:trPr>
              <w:tc>
                <w:tcPr>
                  <w:tcW w:w="2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31D994"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convertible debt</w:t>
                  </w:r>
                </w:p>
                <w:p w14:paraId="1174B2CC"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(which may be dilutive or antidilutive)</w:t>
                  </w:r>
                </w:p>
              </w:tc>
              <w:tc>
                <w:tcPr>
                  <w:tcW w:w="2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FC0025"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stock options</w:t>
                  </w:r>
                </w:p>
                <w:p w14:paraId="129E6296"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(which are always dilutive)</w:t>
                  </w:r>
                </w:p>
              </w:tc>
              <w:tc>
                <w:tcPr>
                  <w:tcW w:w="4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8D17B"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`same`</w:t>
                  </w:r>
                </w:p>
              </w:tc>
            </w:tr>
            <w:tr w:rsidR="00000000" w14:paraId="5F1266B7" w14:textId="77777777">
              <w:trPr>
                <w:divId w:val="1260068727"/>
              </w:trPr>
              <w:tc>
                <w:tcPr>
                  <w:tcW w:w="2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022EB5" w14:textId="77777777" w:rsidR="00000000" w:rsidRDefault="007A18E2">
                  <w:pPr>
                    <w:pStyle w:val="NormalWeb"/>
                    <w:spacing w:before="0" w:beforeAutospacing="0" w:after="0" w:afterAutospacing="0"/>
                    <w:rPr>
                      <w:sz w:val="22"/>
                      <w:szCs w:val="22"/>
                    </w:rPr>
                  </w:pPr>
                  <w:r>
                    <w:rPr>
                      <w:noProof/>
                      <w:sz w:val="22"/>
                      <w:szCs w:val="22"/>
                    </w:rPr>
                    <w:drawing>
                      <wp:inline distT="0" distB="0" distL="0" distR="0" wp14:anchorId="256809E6" wp14:editId="23508CE1">
                        <wp:extent cx="1800225" cy="352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352425"/>
                                </a:xfrm>
                                <a:prstGeom prst="rect">
                                  <a:avLst/>
                                </a:prstGeom>
                                <a:noFill/>
                                <a:ln>
                                  <a:noFill/>
                                </a:ln>
                              </pic:spPr>
                            </pic:pic>
                          </a:graphicData>
                        </a:graphic>
                      </wp:inline>
                    </w:drawing>
                  </w:r>
                </w:p>
              </w:tc>
              <w:tc>
                <w:tcPr>
                  <w:tcW w:w="2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6AD32"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b/>
                      <w:bCs/>
                      <w:sz w:val="22"/>
                      <w:szCs w:val="22"/>
                      <w:shd w:val="clear" w:color="auto" w:fill="FAC08F"/>
                    </w:rPr>
                    <w:t>warrants</w:t>
                  </w:r>
                </w:p>
              </w:tc>
              <w:tc>
                <w:tcPr>
                  <w:tcW w:w="4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EF3007"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`same`</w:t>
                  </w:r>
                </w:p>
              </w:tc>
            </w:tr>
          </w:tbl>
          <w:p w14:paraId="5FFB6314" w14:textId="77777777" w:rsidR="00000000" w:rsidRDefault="007A18E2">
            <w:pPr>
              <w:rPr>
                <w:rFonts w:eastAsia="Times New Roman"/>
              </w:rPr>
            </w:pPr>
          </w:p>
        </w:tc>
      </w:tr>
    </w:tbl>
    <w:p w14:paraId="1EC7C7B8" w14:textId="77777777" w:rsidR="00000000" w:rsidRDefault="007A18E2">
      <w:pPr>
        <w:numPr>
          <w:ilvl w:val="1"/>
          <w:numId w:val="33"/>
        </w:numPr>
        <w:textAlignment w:val="center"/>
        <w:rPr>
          <w:rFonts w:ascii="Calibri" w:eastAsia="Times New Roman" w:hAnsi="Calibri" w:cs="Calibri"/>
          <w:sz w:val="22"/>
          <w:szCs w:val="22"/>
        </w:rPr>
      </w:pPr>
      <w:r>
        <w:rPr>
          <w:rFonts w:ascii="Calibri" w:eastAsia="Times New Roman" w:hAnsi="Calibri" w:cs="Calibri"/>
          <w:sz w:val="22"/>
          <w:szCs w:val="22"/>
          <w:highlight w:val="yellow"/>
        </w:rPr>
        <w:t>If the exercise price is gr</w:t>
      </w:r>
      <w:r>
        <w:rPr>
          <w:rFonts w:ascii="Calibri" w:eastAsia="Times New Roman" w:hAnsi="Calibri" w:cs="Calibri"/>
          <w:sz w:val="22"/>
          <w:szCs w:val="22"/>
          <w:highlight w:val="yellow"/>
        </w:rPr>
        <w:t xml:space="preserve">eater than the weighted average market price, the effect of their conversion is anti-dilutive. Any </w:t>
      </w:r>
      <w:r>
        <w:rPr>
          <w:rFonts w:ascii="Calibri" w:eastAsia="Times New Roman" w:hAnsi="Calibri" w:cs="Calibri"/>
          <w:b/>
          <w:bCs/>
          <w:sz w:val="22"/>
          <w:szCs w:val="22"/>
          <w:highlight w:val="yellow"/>
        </w:rPr>
        <w:t>antidilutive</w:t>
      </w:r>
      <w:r>
        <w:rPr>
          <w:rFonts w:ascii="Calibri" w:eastAsia="Times New Roman" w:hAnsi="Calibri" w:cs="Calibri"/>
          <w:sz w:val="22"/>
          <w:szCs w:val="22"/>
          <w:highlight w:val="yellow"/>
        </w:rPr>
        <w:t xml:space="preserve"> effect of a convertible security only relates to the calculation of EPS, antidilutive is not part of the distinction of </w:t>
      </w:r>
      <w:r>
        <w:rPr>
          <w:rFonts w:ascii="Calibri" w:eastAsia="Times New Roman" w:hAnsi="Calibri" w:cs="Calibri"/>
          <w:sz w:val="22"/>
          <w:szCs w:val="22"/>
          <w:highlight w:val="yellow"/>
          <w:u w:val="single"/>
        </w:rPr>
        <w:t>simple vs. complex capit</w:t>
      </w:r>
      <w:r>
        <w:rPr>
          <w:rFonts w:ascii="Calibri" w:eastAsia="Times New Roman" w:hAnsi="Calibri" w:cs="Calibri"/>
          <w:sz w:val="22"/>
          <w:szCs w:val="22"/>
          <w:highlight w:val="yellow"/>
          <w:u w:val="single"/>
        </w:rPr>
        <w:t>al structure</w:t>
      </w:r>
      <w:r>
        <w:rPr>
          <w:rFonts w:ascii="Calibri" w:eastAsia="Times New Roman" w:hAnsi="Calibri" w:cs="Calibri"/>
          <w:sz w:val="22"/>
          <w:szCs w:val="22"/>
          <w:highlight w:val="yellow"/>
        </w:rPr>
        <w:t xml:space="preserve">. </w:t>
      </w:r>
    </w:p>
    <w:p w14:paraId="7145A925" w14:textId="77777777" w:rsidR="00000000" w:rsidRDefault="007A18E2">
      <w:pPr>
        <w:numPr>
          <w:ilvl w:val="1"/>
          <w:numId w:val="3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43962C9" wp14:editId="088FAB10">
            <wp:extent cx="62865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800100"/>
                    </a:xfrm>
                    <a:prstGeom prst="rect">
                      <a:avLst/>
                    </a:prstGeom>
                    <a:noFill/>
                    <a:ln>
                      <a:noFill/>
                    </a:ln>
                  </pic:spPr>
                </pic:pic>
              </a:graphicData>
            </a:graphic>
          </wp:inline>
        </w:drawing>
      </w:r>
    </w:p>
    <w:p w14:paraId="1876DF57"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0AA249D3" wp14:editId="0EF6E24C">
            <wp:extent cx="3733800" cy="4457700"/>
            <wp:effectExtent l="0" t="0" r="0" b="0"/>
            <wp:docPr id="19" name="Picture 19" descr="A Diluted EPS Calculation Using the If-Converted Method for Preferred Stock &#10;For the year ended 31 December 2018, Bright-Warm Utility Company (fictitious) had net income of &#10;Sl The company had an average of 500,000 shares of common stock outstanding, 20,000 &#10;shares of convertible preferred, and no other potentially dilutive securities. Each share of preferred &#10;pays a dividend of SIO per share, and each is convertible into five shares of the company's common &#10;stock. Calculate the company's basic and diluted EPS. &#10;Hide Solution &#10;Solution: &#10;If the 20000 shares of convertible preferred had each converted into 5 shares of the company's &#10;common stock, the company would have had an additional 100,000 shares of common stock (5 &#10;shares of common for each of the 20,000 shares of preferred). If the conversion had taken place, &#10;the company would not have paid preferred dividends of $200,000 (SIO per share for each of the &#10;20,000 shares of preferred) As shown in Exhibit 11 , the company's basic EPS was and its &#10;diluted EPS was $2.92 &#10;Exhibit 11 &#10;Net income &#10;Calculation of Diluted EPS for Bright-Warm Utility Company Using &#10;the If-Converted Method: Case of Preferred Stock &#10;Preferred dividend &#10;Numerator &#10;Weighted average number of shares &#10;outstanding &#10;Additional shares issued if preferred &#10;converted &#10;Denominator &#10;EPS &#10;Basic EPS &#10;$1 , 750,000 &#10;-200000 &#10;500,000 &#10;0 &#10;500,000 &#10;$3.10 &#10;Diluted EPS Using If-Converted &#10;Method &#10;Sli750;ooo &#10;0 &#10;Sli750;ooo &#10;500; 000 &#10;100000 &#10;600; 000 &#10;$2.9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luted EPS Calculation Using the If-Converted Method for Preferred Stock &#10;For the year ended 31 December 2018, Bright-Warm Utility Company (fictitious) had net income of &#10;Sl The company had an average of 500,000 shares of common stock outstanding, 20,000 &#10;shares of convertible preferred, and no other potentially dilutive securities. Each share of preferred &#10;pays a dividend of SIO per share, and each is convertible into five shares of the company's common &#10;stock. Calculate the company's basic and diluted EPS. &#10;Hide Solution &#10;Solution: &#10;If the 20000 shares of convertible preferred had each converted into 5 shares of the company's &#10;common stock, the company would have had an additional 100,000 shares of common stock (5 &#10;shares of common for each of the 20,000 shares of preferred). If the conversion had taken place, &#10;the company would not have paid preferred dividends of $200,000 (SIO per share for each of the &#10;20,000 shares of preferred) As shown in Exhibit 11 , the company's basic EPS was and its &#10;diluted EPS was $2.92 &#10;Exhibit 11 &#10;Net income &#10;Calculation of Diluted EPS for Bright-Warm Utility Company Using &#10;the If-Converted Method: Case of Preferred Stock &#10;Preferred dividend &#10;Numerator &#10;Weighted average number of shares &#10;outstanding &#10;Additional shares issued if preferred &#10;converted &#10;Denominator &#10;EPS &#10;Basic EPS &#10;$1 , 750,000 &#10;-200000 &#10;500,000 &#10;0 &#10;500,000 &#10;$3.10 &#10;Diluted EPS Using If-Converted &#10;Method &#10;Sli750;ooo &#10;0 &#10;Sli750;ooo &#10;500; 000 &#10;100000 &#10;600; 000 &#10;$2.92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4457700"/>
                    </a:xfrm>
                    <a:prstGeom prst="rect">
                      <a:avLst/>
                    </a:prstGeom>
                    <a:noFill/>
                    <a:ln>
                      <a:noFill/>
                    </a:ln>
                  </pic:spPr>
                </pic:pic>
              </a:graphicData>
            </a:graphic>
          </wp:inline>
        </w:drawing>
      </w:r>
    </w:p>
    <w:p w14:paraId="2362B97D" w14:textId="77777777" w:rsidR="00000000" w:rsidRDefault="007A18E2">
      <w:pPr>
        <w:numPr>
          <w:ilvl w:val="1"/>
          <w:numId w:val="33"/>
        </w:numPr>
        <w:spacing w:after="140"/>
        <w:textAlignment w:val="center"/>
        <w:rPr>
          <w:rFonts w:ascii="Calibri" w:eastAsia="Times New Roman" w:hAnsi="Calibri" w:cs="Calibri"/>
          <w:color w:val="5B78CD"/>
          <w:sz w:val="22"/>
          <w:szCs w:val="22"/>
        </w:rPr>
      </w:pPr>
      <w:r>
        <w:rPr>
          <w:rFonts w:ascii="Arial" w:eastAsia="Times New Roman" w:hAnsi="Arial" w:cs="Arial"/>
          <w:color w:val="5B78CD"/>
          <w:sz w:val="28"/>
          <w:szCs w:val="28"/>
          <w:shd w:val="clear" w:color="auto" w:fill="E5FFF7"/>
        </w:rPr>
        <w:t xml:space="preserve">A Diluted EPS Calculation Using </w:t>
      </w:r>
      <w:r>
        <w:rPr>
          <w:rFonts w:ascii="Arial" w:eastAsia="Times New Roman" w:hAnsi="Arial" w:cs="Arial"/>
          <w:color w:val="5B78CD"/>
          <w:sz w:val="28"/>
          <w:szCs w:val="28"/>
          <w:highlight w:val="yellow"/>
        </w:rPr>
        <w:t>If-Converted</w:t>
      </w:r>
      <w:r>
        <w:rPr>
          <w:rFonts w:ascii="Arial" w:eastAsia="Times New Roman" w:hAnsi="Arial" w:cs="Arial"/>
          <w:color w:val="5B78CD"/>
          <w:sz w:val="28"/>
          <w:szCs w:val="28"/>
          <w:shd w:val="clear" w:color="auto" w:fill="E5FFF7"/>
        </w:rPr>
        <w:t xml:space="preserve"> Method for Convertible Debt </w:t>
      </w:r>
      <w:r>
        <w:rPr>
          <w:rFonts w:ascii="Arial" w:eastAsia="Times New Roman" w:hAnsi="Arial" w:cs="Arial"/>
          <w:color w:val="53565A"/>
          <w:sz w:val="21"/>
          <w:szCs w:val="21"/>
          <w:shd w:val="clear" w:color="auto" w:fill="E5FFF7"/>
        </w:rPr>
        <w:t>Company O(fictitious) reported net income o</w:t>
      </w:r>
      <w:r>
        <w:rPr>
          <w:rFonts w:ascii="Arial" w:eastAsia="Times New Roman" w:hAnsi="Arial" w:cs="Arial"/>
          <w:color w:val="53565A"/>
          <w:sz w:val="21"/>
          <w:szCs w:val="21"/>
          <w:shd w:val="clear" w:color="auto" w:fill="E5FFF7"/>
        </w:rPr>
        <w:t>f $750,000 for year ended 31 December 2018. The company had a weighted average of 690,000 shares of common stock outstanding. In addition, it has only one potentially dilutive security:</w:t>
      </w:r>
      <w:r>
        <w:rPr>
          <w:rFonts w:ascii="inherit" w:eastAsia="Times New Roman" w:hAnsi="inherit" w:cs="Calibri"/>
          <w:color w:val="53565A"/>
          <w:sz w:val="21"/>
          <w:szCs w:val="21"/>
          <w:shd w:val="clear" w:color="auto" w:fill="FDEADA"/>
        </w:rPr>
        <w:t> $50,000 of 6 percent convertible bonds, convertible into a total of 10</w:t>
      </w:r>
      <w:r>
        <w:rPr>
          <w:rFonts w:ascii="inherit" w:eastAsia="Times New Roman" w:hAnsi="inherit" w:cs="Calibri"/>
          <w:color w:val="53565A"/>
          <w:sz w:val="21"/>
          <w:szCs w:val="21"/>
          <w:shd w:val="clear" w:color="auto" w:fill="FDEADA"/>
        </w:rPr>
        <w:t>,000 shares.</w:t>
      </w:r>
      <w:r>
        <w:rPr>
          <w:rFonts w:ascii="Arial" w:eastAsia="Times New Roman" w:hAnsi="Arial" w:cs="Arial"/>
          <w:color w:val="53565A"/>
          <w:sz w:val="21"/>
          <w:szCs w:val="21"/>
          <w:shd w:val="clear" w:color="auto" w:fill="E5FFF7"/>
        </w:rPr>
        <w:t> Assuming a tax rate of 30 percent, calculate Company O's basic and diluted EPS.</w:t>
      </w:r>
    </w:p>
    <w:p w14:paraId="1D72C2AF"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30542B64" wp14:editId="2811747F">
            <wp:extent cx="3686175" cy="1704975"/>
            <wp:effectExtent l="0" t="0" r="9525" b="9525"/>
            <wp:docPr id="20" name="Picture 20" descr="Basic &#10;EPS &#10;$750;ooo &#10;Net income &#10;After-tax cost of interest &#10;$750;ooo &#10;Numerator &#10;Weighted average number of shares &#10;690,000 &#10;outstanding &#10;If converted &#10;Denominator &#10;690,000 &#10;$1.09 &#10;EPS &#10;Diluted EPS Using If-Converted &#10;Method &#10;S750,ooo &#10;2,100 &#10;S752, 100 &#10;690,000 &#10;10000 &#10;7007000 &#10;$1.0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sic &#10;EPS &#10;$750;ooo &#10;Net income &#10;After-tax cost of interest &#10;$750;ooo &#10;Numerator &#10;Weighted average number of shares &#10;690,000 &#10;outstanding &#10;If converted &#10;Denominator &#10;690,000 &#10;$1.09 &#10;EPS &#10;Diluted EPS Using If-Converted &#10;Method &#10;S750,ooo &#10;2,100 &#10;S752, 100 &#10;690,000 &#10;10000 &#10;7007000 &#10;$1.07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175" cy="1704975"/>
                    </a:xfrm>
                    <a:prstGeom prst="rect">
                      <a:avLst/>
                    </a:prstGeom>
                    <a:noFill/>
                    <a:ln>
                      <a:noFill/>
                    </a:ln>
                  </pic:spPr>
                </pic:pic>
              </a:graphicData>
            </a:graphic>
          </wp:inline>
        </w:drawing>
      </w:r>
    </w:p>
    <w:p w14:paraId="56A377FC"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40AEE575" wp14:editId="10A5919F">
            <wp:extent cx="4791075" cy="3438525"/>
            <wp:effectExtent l="0" t="0" r="9525" b="9525"/>
            <wp:docPr id="21" name="Picture 21" descr="A Diluted EPS Calculation Using the Treasury Stock Method for Options &#10;Hihotech Company (fictitious) reported net income of $2.3 million for the year ended 30 June 2018 and &#10;had a weighted average of 800,000 common shares outstanding. At the beginning of the fiscal year, the &#10;company has outstanding 30,000 options with an exercise price of $35. No other potentially dilutive &#10;financial instruments are outstanding. Over the fiscal year, the company's market price has averaged &#10;$55 per share. Calculate the company's basic and diluted EPS. &#10;Hide Solution &#10;Solution: &#10;Using the treasury stock method, we first calculate that the company would have received &#10;$1 ($35 for each of the 30,000 options exercised) if all the options had been exercised. &#10;The options would no longer be outstanding; instead, 30,000 shares of common stock would be &#10;outstanding. Under the treasury stock method, we assume that shares would be repurchased with &#10;the cash received upon exercise of the options. At an average market price of $55 per share, the &#10;$1 proceeds from option exercise, the company could have repurchased 19,091 shares. &#10;Therefore, the incremental number of shares issued is 10,909 (calculated as 30,000 minus 19,091). &#10;For the diluted EPS calculation, no change is made to the numerator. As shown in Exhibit 13, the &#10;company's basic EPS was $2.88 and the diluted EPS was $2.8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Diluted EPS Calculation Using the Treasury Stock Method for Options &#10;Hihotech Company (fictitious) reported net income of $2.3 million for the year ended 30 June 2018 and &#10;had a weighted average of 800,000 common shares outstanding. At the beginning of the fiscal year, the &#10;company has outstanding 30,000 options with an exercise price of $35. No other potentially dilutive &#10;financial instruments are outstanding. Over the fiscal year, the company's market price has averaged &#10;$55 per share. Calculate the company's basic and diluted EPS. &#10;Hide Solution &#10;Solution: &#10;Using the treasury stock method, we first calculate that the company would have received &#10;$1 ($35 for each of the 30,000 options exercised) if all the options had been exercised. &#10;The options would no longer be outstanding; instead, 30,000 shares of common stock would be &#10;outstanding. Under the treasury stock method, we assume that shares would be repurchased with &#10;the cash received upon exercise of the options. At an average market price of $55 per share, the &#10;$1 proceeds from option exercise, the company could have repurchased 19,091 shares. &#10;Therefore, the incremental number of shares issued is 10,909 (calculated as 30,000 minus 19,091). &#10;For the diluted EPS calculation, no change is made to the numerator. As shown in Exhibit 13, the &#10;company's basic EPS was $2.88 and the diluted EPS was $2.84.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75" cy="3438525"/>
                    </a:xfrm>
                    <a:prstGeom prst="rect">
                      <a:avLst/>
                    </a:prstGeom>
                    <a:noFill/>
                    <a:ln>
                      <a:noFill/>
                    </a:ln>
                  </pic:spPr>
                </pic:pic>
              </a:graphicData>
            </a:graphic>
          </wp:inline>
        </w:drawing>
      </w:r>
    </w:p>
    <w:p w14:paraId="583ED22A"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As noted, IFRS require company to consider that any assumed proceeds are received from the i</w:t>
      </w:r>
      <w:r>
        <w:rPr>
          <w:rFonts w:ascii="Calibri" w:hAnsi="Calibri" w:cs="Calibri"/>
          <w:sz w:val="22"/>
          <w:szCs w:val="22"/>
        </w:rPr>
        <w:t>ssuance of new shares at the average market price for the period. These new “</w:t>
      </w:r>
      <w:r>
        <w:rPr>
          <w:rFonts w:ascii="Calibri" w:hAnsi="Calibri" w:cs="Calibri"/>
          <w:b/>
          <w:bCs/>
          <w:sz w:val="22"/>
          <w:szCs w:val="22"/>
        </w:rPr>
        <w:t>inferred</w:t>
      </w:r>
      <w:r>
        <w:rPr>
          <w:rFonts w:ascii="Calibri" w:hAnsi="Calibri" w:cs="Calibri"/>
          <w:sz w:val="22"/>
          <w:szCs w:val="22"/>
        </w:rPr>
        <w:t>” shares would be disregarded in the computation of diluted EPS, but the excess of the new shares that would be issued under options contracts minus the new inferred share</w:t>
      </w:r>
      <w:r>
        <w:rPr>
          <w:rFonts w:ascii="Calibri" w:hAnsi="Calibri" w:cs="Calibri"/>
          <w:sz w:val="22"/>
          <w:szCs w:val="22"/>
        </w:rPr>
        <w:t xml:space="preserve">s would be added to the weighted average number of shares outstanding. </w:t>
      </w:r>
    </w:p>
    <w:p w14:paraId="7D118A5E"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Note that this is the same result as that obtained under US GAAP; it is just derived in a different manner. </w:t>
      </w:r>
      <w:r>
        <w:rPr>
          <w:rFonts w:ascii="Calibri" w:hAnsi="Calibri" w:cs="Calibri"/>
          <w:sz w:val="22"/>
          <w:szCs w:val="22"/>
          <w:shd w:val="clear" w:color="auto" w:fill="FAC08F"/>
        </w:rPr>
        <w:t>IFRS refer to 19,091 shares the company would have issued at market prices a</w:t>
      </w:r>
      <w:r>
        <w:rPr>
          <w:rFonts w:ascii="Calibri" w:hAnsi="Calibri" w:cs="Calibri"/>
          <w:sz w:val="22"/>
          <w:szCs w:val="22"/>
          <w:shd w:val="clear" w:color="auto" w:fill="FAC08F"/>
        </w:rPr>
        <w:t>s inferred shares.</w:t>
      </w:r>
      <w:r>
        <w:rPr>
          <w:rFonts w:ascii="Calibri" w:hAnsi="Calibri" w:cs="Calibri"/>
          <w:sz w:val="22"/>
          <w:szCs w:val="22"/>
          <w:lang w:val="x-none"/>
        </w:rPr>
        <w:t> </w:t>
      </w:r>
    </w:p>
    <w:p w14:paraId="24F634AE" w14:textId="77777777" w:rsidR="00000000" w:rsidRDefault="007A18E2">
      <w:pPr>
        <w:numPr>
          <w:ilvl w:val="1"/>
          <w:numId w:val="33"/>
        </w:numPr>
        <w:textAlignment w:val="center"/>
        <w:rPr>
          <w:rFonts w:ascii="Calibri" w:eastAsia="Times New Roman" w:hAnsi="Calibri" w:cs="Calibri"/>
          <w:color w:val="5B78CD"/>
          <w:sz w:val="22"/>
          <w:szCs w:val="22"/>
        </w:rPr>
      </w:pPr>
      <w:r>
        <w:rPr>
          <w:rFonts w:ascii="Arial" w:eastAsia="Times New Roman" w:hAnsi="Arial" w:cs="Arial"/>
          <w:color w:val="5B78CD"/>
          <w:sz w:val="28"/>
          <w:szCs w:val="28"/>
          <w:shd w:val="clear" w:color="auto" w:fill="E5FFF7"/>
        </w:rPr>
        <w:t xml:space="preserve">An </w:t>
      </w:r>
      <w:r>
        <w:rPr>
          <w:rFonts w:ascii="Arial" w:eastAsia="Times New Roman" w:hAnsi="Arial" w:cs="Arial"/>
          <w:color w:val="5B78CD"/>
          <w:sz w:val="28"/>
          <w:szCs w:val="28"/>
          <w:highlight w:val="yellow"/>
        </w:rPr>
        <w:t>Antidilutive</w:t>
      </w:r>
      <w:r>
        <w:rPr>
          <w:rFonts w:ascii="Arial" w:eastAsia="Times New Roman" w:hAnsi="Arial" w:cs="Arial"/>
          <w:color w:val="5B78CD"/>
          <w:sz w:val="28"/>
          <w:szCs w:val="28"/>
          <w:shd w:val="clear" w:color="auto" w:fill="E5FFF7"/>
        </w:rPr>
        <w:t xml:space="preserve"> Security</w:t>
      </w:r>
    </w:p>
    <w:p w14:paraId="144FCCDB" w14:textId="77777777" w:rsidR="00000000" w:rsidRDefault="007A18E2">
      <w:pPr>
        <w:pStyle w:val="NormalWeb"/>
        <w:spacing w:before="0" w:beforeAutospacing="0" w:after="0" w:afterAutospacing="0"/>
        <w:ind w:left="1260"/>
        <w:rPr>
          <w:rFonts w:ascii="Arial" w:hAnsi="Arial" w:cs="Arial"/>
          <w:sz w:val="22"/>
          <w:szCs w:val="22"/>
        </w:rPr>
      </w:pPr>
      <w:r>
        <w:rPr>
          <w:rFonts w:ascii="Arial" w:hAnsi="Arial" w:cs="Arial"/>
          <w:color w:val="53565A"/>
          <w:sz w:val="21"/>
          <w:szCs w:val="21"/>
          <w:shd w:val="clear" w:color="auto" w:fill="E5FFF7"/>
        </w:rPr>
        <w:t xml:space="preserve">For the year ended 31 December 2018, Dim-Cool Utility Company (fictitious) had net income of </w:t>
      </w:r>
      <w:r>
        <w:rPr>
          <w:rFonts w:ascii="Arial" w:hAnsi="Arial" w:cs="Arial"/>
          <w:color w:val="53565A"/>
          <w:sz w:val="21"/>
          <w:szCs w:val="21"/>
          <w:shd w:val="clear" w:color="auto" w:fill="E5FFF7"/>
        </w:rPr>
        <w:t>$1,750,000. The company had an average of 500,000 shares of common stock outstanding, 20,000 shares of convertible preferred, and no other potentially dilutive securities. Each share of preferred pays a dividend of $10 per share, and each is convertible in</w:t>
      </w:r>
      <w:r>
        <w:rPr>
          <w:rFonts w:ascii="Arial" w:hAnsi="Arial" w:cs="Arial"/>
          <w:color w:val="53565A"/>
          <w:sz w:val="21"/>
          <w:szCs w:val="21"/>
          <w:shd w:val="clear" w:color="auto" w:fill="E5FFF7"/>
        </w:rPr>
        <w:t xml:space="preserve">to three shares of the company’s common stock. What was the company’s basic and diluted EPS? </w:t>
      </w:r>
      <w:r>
        <w:rPr>
          <w:rFonts w:ascii="Arial" w:hAnsi="Arial" w:cs="Arial"/>
          <w:color w:val="000000"/>
          <w:sz w:val="21"/>
          <w:szCs w:val="21"/>
          <w:shd w:val="clear" w:color="auto" w:fill="E5FFF7"/>
        </w:rPr>
        <w:t xml:space="preserve">- </w:t>
      </w:r>
      <w:r>
        <w:rPr>
          <w:rFonts w:ascii="Arial" w:hAnsi="Arial" w:cs="Arial"/>
          <w:color w:val="000000"/>
          <w:sz w:val="20"/>
          <w:szCs w:val="20"/>
          <w:shd w:val="clear" w:color="auto" w:fill="E5FFF7"/>
        </w:rPr>
        <w:t>effect of Antidilutive security conversion not included</w:t>
      </w:r>
    </w:p>
    <w:p w14:paraId="5472B8A3"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3AD04B9E" wp14:editId="63F1B17B">
            <wp:extent cx="3267075" cy="2114550"/>
            <wp:effectExtent l="0" t="0" r="9525" b="0"/>
            <wp:docPr id="22" name="Picture 22" descr="Net income &#10;Preferred dividend &#10;Numerator &#10;Weighted average &#10;number of shares &#10;outstanding &#10;If converted &#10;Denominator &#10;EPS &#10;Basic EPS &#10;$1 , 750,000 &#10;-200,000 &#10;500,000 &#10;500,000 &#10;$3.10 &#10;Diluted EPS &#10;using If- &#10;Converted &#10;Method &#10;500,000 &#10;60,000 &#10;560,000 &#10;$3.13 &#10;—Exceeds basic EPS; security is &#10;antidilutive and the effect of &#10;their conversion, therefore, not &#10;included. Reported diluted EPS = &#10;$3.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t income &#10;Preferred dividend &#10;Numerator &#10;Weighted average &#10;number of shares &#10;outstanding &#10;If converted &#10;Denominator &#10;EPS &#10;Basic EPS &#10;$1 , 750,000 &#10;-200,000 &#10;500,000 &#10;500,000 &#10;$3.10 &#10;Diluted EPS &#10;using If- &#10;Converted &#10;Method &#10;500,000 &#10;60,000 &#10;560,000 &#10;$3.13 &#10;—Exceeds basic EPS; security is &#10;antidilutive and the effect of &#10;their conversion, therefore, not &#10;included. Reported diluted EPS = &#10;$3.10.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67075" cy="2114550"/>
                    </a:xfrm>
                    <a:prstGeom prst="rect">
                      <a:avLst/>
                    </a:prstGeom>
                    <a:noFill/>
                    <a:ln>
                      <a:noFill/>
                    </a:ln>
                  </pic:spPr>
                </pic:pic>
              </a:graphicData>
            </a:graphic>
          </wp:inline>
        </w:drawing>
      </w:r>
    </w:p>
    <w:p w14:paraId="50221F34" w14:textId="77777777" w:rsidR="00000000" w:rsidRDefault="007A18E2">
      <w:pPr>
        <w:numPr>
          <w:ilvl w:val="1"/>
          <w:numId w:val="3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Convert income statements to common-size incom</w:t>
      </w:r>
      <w:r>
        <w:rPr>
          <w:rFonts w:ascii="Calibri" w:eastAsia="Times New Roman" w:hAnsi="Calibri" w:cs="Calibri"/>
          <w:color w:val="2E75B5"/>
          <w:sz w:val="22"/>
          <w:szCs w:val="22"/>
        </w:rPr>
        <w:t>e statements</w:t>
      </w:r>
    </w:p>
    <w:p w14:paraId="4813ED80" w14:textId="77777777" w:rsidR="00000000" w:rsidRDefault="007A18E2">
      <w:pPr>
        <w:numPr>
          <w:ilvl w:val="1"/>
          <w:numId w:val="3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Evaluate a company’s financial performance using common-size income statements and financial ratios based on the income statement</w:t>
      </w:r>
    </w:p>
    <w:p w14:paraId="3F8B18A6" w14:textId="77777777" w:rsidR="00000000" w:rsidRDefault="007A18E2">
      <w:pPr>
        <w:numPr>
          <w:ilvl w:val="1"/>
          <w:numId w:val="36"/>
        </w:numPr>
        <w:textAlignment w:val="center"/>
        <w:rPr>
          <w:rFonts w:ascii="Calibri" w:eastAsia="Times New Roman" w:hAnsi="Calibri" w:cs="Calibri"/>
          <w:sz w:val="22"/>
          <w:szCs w:val="22"/>
        </w:rPr>
      </w:pPr>
      <w:r>
        <w:rPr>
          <w:rFonts w:ascii="Calibri" w:eastAsia="Times New Roman" w:hAnsi="Calibri" w:cs="Calibri"/>
          <w:sz w:val="22"/>
          <w:szCs w:val="22"/>
        </w:rPr>
        <w:t xml:space="preserve">A vertical </w:t>
      </w:r>
      <w:r>
        <w:rPr>
          <w:rFonts w:ascii="Calibri" w:eastAsia="Times New Roman" w:hAnsi="Calibri" w:cs="Calibri"/>
          <w:b/>
          <w:bCs/>
          <w:sz w:val="22"/>
          <w:szCs w:val="22"/>
        </w:rPr>
        <w:t>common</w:t>
      </w:r>
      <w:r>
        <w:rPr>
          <w:rFonts w:ascii="Calibri" w:eastAsia="Times New Roman" w:hAnsi="Calibri" w:cs="Calibri"/>
          <w:sz w:val="22"/>
          <w:szCs w:val="22"/>
        </w:rPr>
        <w:t>-</w:t>
      </w:r>
      <w:r>
        <w:rPr>
          <w:rFonts w:ascii="Calibri" w:eastAsia="Times New Roman" w:hAnsi="Calibri" w:cs="Calibri"/>
          <w:b/>
          <w:bCs/>
          <w:sz w:val="22"/>
          <w:szCs w:val="22"/>
        </w:rPr>
        <w:t>size</w:t>
      </w:r>
      <w:r>
        <w:rPr>
          <w:rFonts w:ascii="Calibri" w:eastAsia="Times New Roman" w:hAnsi="Calibri" w:cs="Calibri"/>
          <w:sz w:val="22"/>
          <w:szCs w:val="22"/>
        </w:rPr>
        <w:t xml:space="preserve"> expresses category of income statement as a percentage of </w:t>
      </w:r>
      <w:r>
        <w:rPr>
          <w:rFonts w:ascii="Calibri" w:eastAsia="Times New Roman" w:hAnsi="Calibri" w:cs="Calibri"/>
          <w:b/>
          <w:bCs/>
          <w:sz w:val="22"/>
          <w:szCs w:val="22"/>
          <w:u w:val="single"/>
        </w:rPr>
        <w:t>revenue</w:t>
      </w:r>
      <w:r>
        <w:rPr>
          <w:rFonts w:ascii="Calibri" w:eastAsia="Times New Roman" w:hAnsi="Calibri" w:cs="Calibri"/>
          <w:sz w:val="22"/>
          <w:szCs w:val="22"/>
        </w:rPr>
        <w:t>. One exception is income</w:t>
      </w:r>
      <w:r>
        <w:rPr>
          <w:rFonts w:ascii="Calibri" w:eastAsia="Times New Roman" w:hAnsi="Calibri" w:cs="Calibri"/>
          <w:sz w:val="22"/>
          <w:szCs w:val="22"/>
        </w:rPr>
        <w:t xml:space="preserve"> tax expense, expressed as a percentage of pretax income; the result known meaningfully as the </w:t>
      </w:r>
      <w:r>
        <w:rPr>
          <w:rFonts w:ascii="Calibri" w:eastAsia="Times New Roman" w:hAnsi="Calibri" w:cs="Calibri"/>
          <w:b/>
          <w:bCs/>
          <w:sz w:val="22"/>
          <w:szCs w:val="22"/>
        </w:rPr>
        <w:t>effective tax rate</w:t>
      </w:r>
      <w:r>
        <w:rPr>
          <w:rFonts w:ascii="Calibri" w:eastAsia="Times New Roman" w:hAnsi="Calibri" w:cs="Calibri"/>
          <w:sz w:val="22"/>
          <w:szCs w:val="22"/>
        </w:rPr>
        <w:t xml:space="preserve">. </w:t>
      </w:r>
    </w:p>
    <w:p w14:paraId="563D6747" w14:textId="77777777" w:rsidR="00000000" w:rsidRDefault="007A18E2">
      <w:pPr>
        <w:numPr>
          <w:ilvl w:val="1"/>
          <w:numId w:val="36"/>
        </w:numPr>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14:anchorId="4A32A7A8" wp14:editId="1456A80F">
            <wp:extent cx="6381750" cy="485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0" cy="485775"/>
                    </a:xfrm>
                    <a:prstGeom prst="rect">
                      <a:avLst/>
                    </a:prstGeom>
                    <a:noFill/>
                    <a:ln>
                      <a:noFill/>
                    </a:ln>
                  </pic:spPr>
                </pic:pic>
              </a:graphicData>
            </a:graphic>
          </wp:inline>
        </w:drawing>
      </w:r>
    </w:p>
    <w:p w14:paraId="0CAFF9DE" w14:textId="77777777" w:rsidR="00000000" w:rsidRDefault="007A18E2">
      <w:pPr>
        <w:numPr>
          <w:ilvl w:val="1"/>
          <w:numId w:val="3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calculate, and interpret comprehensi</w:t>
      </w:r>
      <w:r>
        <w:rPr>
          <w:rFonts w:ascii="Calibri" w:eastAsia="Times New Roman" w:hAnsi="Calibri" w:cs="Calibri"/>
          <w:color w:val="2E75B5"/>
          <w:sz w:val="22"/>
          <w:szCs w:val="22"/>
        </w:rPr>
        <w:t>ve income</w:t>
      </w:r>
    </w:p>
    <w:p w14:paraId="561182C7" w14:textId="77777777" w:rsidR="00000000" w:rsidRDefault="007A18E2">
      <w:pPr>
        <w:numPr>
          <w:ilvl w:val="1"/>
          <w:numId w:val="3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other comprehensive income and identify major types of items included in it </w:t>
      </w:r>
    </w:p>
    <w:p w14:paraId="78D2F0EB" w14:textId="77777777" w:rsidR="00000000" w:rsidRDefault="007A18E2">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t xml:space="preserve">Anything affects IS (net income) will be added to shareholders' equity - </w:t>
      </w:r>
      <w:r>
        <w:rPr>
          <w:rFonts w:ascii="Calibri" w:eastAsia="Times New Roman" w:hAnsi="Calibri" w:cs="Calibri"/>
          <w:b/>
          <w:bCs/>
          <w:sz w:val="22"/>
          <w:szCs w:val="22"/>
        </w:rPr>
        <w:t>retained earnings</w:t>
      </w:r>
      <w:r>
        <w:rPr>
          <w:rFonts w:ascii="Calibri" w:eastAsia="Times New Roman" w:hAnsi="Calibri" w:cs="Calibri"/>
          <w:sz w:val="22"/>
          <w:szCs w:val="22"/>
        </w:rPr>
        <w:t xml:space="preserve">. </w:t>
      </w:r>
      <w:r>
        <w:rPr>
          <w:rFonts w:ascii="Calibri" w:eastAsia="Times New Roman" w:hAnsi="Calibri" w:cs="Calibri"/>
          <w:b/>
          <w:bCs/>
          <w:sz w:val="22"/>
          <w:szCs w:val="22"/>
        </w:rPr>
        <w:t>Comprehensive income</w:t>
      </w:r>
      <w:r>
        <w:rPr>
          <w:rFonts w:ascii="Calibri" w:eastAsia="Times New Roman" w:hAnsi="Calibri" w:cs="Calibri"/>
          <w:sz w:val="22"/>
          <w:szCs w:val="22"/>
        </w:rPr>
        <w:t xml:space="preserve"> is a more inclusive measure that includes all c</w:t>
      </w:r>
      <w:r>
        <w:rPr>
          <w:rFonts w:ascii="Calibri" w:eastAsia="Times New Roman" w:hAnsi="Calibri" w:cs="Calibri"/>
          <w:sz w:val="22"/>
          <w:szCs w:val="22"/>
        </w:rPr>
        <w:t xml:space="preserve">hanges in equity </w:t>
      </w:r>
      <w:r>
        <w:rPr>
          <w:rFonts w:ascii="Calibri" w:eastAsia="Times New Roman" w:hAnsi="Calibri" w:cs="Calibri"/>
          <w:sz w:val="22"/>
          <w:szCs w:val="22"/>
          <w:u w:val="single"/>
        </w:rPr>
        <w:t>except for owner contributions and distributions</w:t>
      </w:r>
      <w:r>
        <w:rPr>
          <w:rFonts w:ascii="Calibri" w:eastAsia="Times New Roman" w:hAnsi="Calibri" w:cs="Calibri"/>
          <w:sz w:val="22"/>
          <w:szCs w:val="22"/>
        </w:rPr>
        <w:t xml:space="preserve">, therefore sum of Net Income + Other comprehensive income: </w:t>
      </w:r>
    </w:p>
    <w:p w14:paraId="4F716566"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highlight w:val="yellow"/>
        </w:rPr>
        <w:t>Comprehensive income = (Ending shareholders equity – Beginning shareholders equity) + Dividends paid</w:t>
      </w:r>
    </w:p>
    <w:p w14:paraId="4C4BE7F9"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1. </w:t>
      </w:r>
      <w:r>
        <w:rPr>
          <w:rFonts w:ascii="Calibri" w:hAnsi="Calibri" w:cs="Calibri"/>
          <w:sz w:val="22"/>
          <w:szCs w:val="22"/>
          <w:u w:val="single"/>
        </w:rPr>
        <w:t>Foreign</w:t>
      </w:r>
      <w:r>
        <w:rPr>
          <w:rFonts w:ascii="Calibri" w:hAnsi="Calibri" w:cs="Calibri"/>
          <w:sz w:val="22"/>
          <w:szCs w:val="22"/>
        </w:rPr>
        <w:t xml:space="preserve"> </w:t>
      </w:r>
      <w:r>
        <w:rPr>
          <w:rFonts w:ascii="Calibri" w:hAnsi="Calibri" w:cs="Calibri"/>
          <w:sz w:val="22"/>
          <w:szCs w:val="22"/>
        </w:rPr>
        <w:t xml:space="preserve">currency translation gains and losses. </w:t>
      </w:r>
    </w:p>
    <w:p w14:paraId="170F2735"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2. Adjustments for minimum </w:t>
      </w:r>
      <w:r>
        <w:rPr>
          <w:rFonts w:ascii="Calibri" w:hAnsi="Calibri" w:cs="Calibri"/>
          <w:sz w:val="22"/>
          <w:szCs w:val="22"/>
          <w:u w:val="single"/>
        </w:rPr>
        <w:t>pension liability</w:t>
      </w:r>
      <w:r>
        <w:rPr>
          <w:rFonts w:ascii="Calibri" w:hAnsi="Calibri" w:cs="Calibri"/>
          <w:sz w:val="22"/>
          <w:szCs w:val="22"/>
        </w:rPr>
        <w:t xml:space="preserve">. </w:t>
      </w:r>
    </w:p>
    <w:p w14:paraId="3B5FD75F"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3. Unrealized gains and losses from cash flow hedging </w:t>
      </w:r>
      <w:r>
        <w:rPr>
          <w:rFonts w:ascii="Calibri" w:hAnsi="Calibri" w:cs="Calibri"/>
          <w:sz w:val="22"/>
          <w:szCs w:val="22"/>
          <w:u w:val="single"/>
        </w:rPr>
        <w:t>derivatives</w:t>
      </w:r>
      <w:r>
        <w:rPr>
          <w:rFonts w:ascii="Calibri" w:hAnsi="Calibri" w:cs="Calibri"/>
          <w:sz w:val="22"/>
          <w:szCs w:val="22"/>
        </w:rPr>
        <w:t xml:space="preserve">. </w:t>
      </w:r>
    </w:p>
    <w:p w14:paraId="66D63D6A" w14:textId="77777777" w:rsidR="00000000" w:rsidRDefault="007A18E2">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t xml:space="preserve">4. Unrealized gains and losses from </w:t>
      </w:r>
      <w:r>
        <w:rPr>
          <w:rFonts w:ascii="Calibri" w:eastAsia="Times New Roman" w:hAnsi="Calibri" w:cs="Calibri"/>
          <w:b/>
          <w:bCs/>
          <w:sz w:val="22"/>
          <w:szCs w:val="22"/>
        </w:rPr>
        <w:t xml:space="preserve">available-for-sale </w:t>
      </w:r>
      <w:r>
        <w:rPr>
          <w:rFonts w:ascii="Calibri" w:eastAsia="Times New Roman" w:hAnsi="Calibri" w:cs="Calibri"/>
          <w:b/>
          <w:bCs/>
          <w:sz w:val="22"/>
          <w:szCs w:val="22"/>
          <w:u w:val="single"/>
        </w:rPr>
        <w:t>securities</w:t>
      </w:r>
      <w:r>
        <w:rPr>
          <w:rFonts w:ascii="Calibri" w:eastAsia="Times New Roman" w:hAnsi="Calibri" w:cs="Calibri"/>
          <w:sz w:val="22"/>
          <w:szCs w:val="22"/>
        </w:rPr>
        <w:t xml:space="preserve">(investment not held to maturity or </w:t>
      </w:r>
      <w:r>
        <w:rPr>
          <w:rFonts w:ascii="Calibri" w:eastAsia="Times New Roman" w:hAnsi="Calibri" w:cs="Calibri"/>
          <w:sz w:val="22"/>
          <w:szCs w:val="22"/>
        </w:rPr>
        <w:t xml:space="preserve">just sold), realized securities report on BS at fair value, unrealized aren't reported in IS but under share's equity as </w:t>
      </w:r>
    </w:p>
    <w:p w14:paraId="43FEE68C"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b/>
          <w:bCs/>
          <w:sz w:val="22"/>
          <w:szCs w:val="22"/>
          <w:shd w:val="clear" w:color="auto" w:fill="FAC08F"/>
        </w:rPr>
        <w:t>other comprehensive income</w:t>
      </w:r>
      <w:r>
        <w:rPr>
          <w:rFonts w:ascii="Calibri" w:hAnsi="Calibri" w:cs="Calibri"/>
          <w:sz w:val="22"/>
          <w:szCs w:val="22"/>
          <w:shd w:val="clear" w:color="auto" w:fill="FAC08F"/>
        </w:rPr>
        <w:t xml:space="preserve"> - revenue less expense items excluded from the net income calculation</w:t>
      </w:r>
      <w:r>
        <w:rPr>
          <w:rFonts w:ascii="Calibri" w:hAnsi="Calibri" w:cs="Calibri"/>
          <w:sz w:val="22"/>
          <w:szCs w:val="22"/>
        </w:rPr>
        <w:t xml:space="preserve">; </w:t>
      </w:r>
      <w:r>
        <w:rPr>
          <w:rFonts w:ascii="Calibri" w:hAnsi="Calibri" w:cs="Calibri"/>
          <w:sz w:val="22"/>
          <w:szCs w:val="22"/>
          <w:u w:val="single"/>
        </w:rPr>
        <w:t>securities held for trading</w:t>
      </w:r>
      <w:r>
        <w:rPr>
          <w:rFonts w:ascii="Calibri" w:hAnsi="Calibri" w:cs="Calibri"/>
          <w:sz w:val="22"/>
          <w:szCs w:val="22"/>
        </w:rPr>
        <w:t xml:space="preserve"> recogniz</w:t>
      </w:r>
      <w:r>
        <w:rPr>
          <w:rFonts w:ascii="Calibri" w:hAnsi="Calibri" w:cs="Calibri"/>
          <w:sz w:val="22"/>
          <w:szCs w:val="22"/>
        </w:rPr>
        <w:t>ed in net income and NOT OCI.</w:t>
      </w:r>
    </w:p>
    <w:p w14:paraId="24DF56F0"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5B79FAA0" wp14:editId="7190A849">
            <wp:extent cx="6286500" cy="32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323850"/>
                    </a:xfrm>
                    <a:prstGeom prst="rect">
                      <a:avLst/>
                    </a:prstGeom>
                    <a:noFill/>
                    <a:ln>
                      <a:noFill/>
                    </a:ln>
                  </pic:spPr>
                </pic:pic>
              </a:graphicData>
            </a:graphic>
          </wp:inline>
        </w:drawing>
      </w:r>
    </w:p>
    <w:p w14:paraId="2716F301" w14:textId="77777777" w:rsidR="00000000" w:rsidRDefault="007A18E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5594E264" wp14:editId="4BBE097E">
            <wp:extent cx="6162675" cy="5353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62675" cy="5353050"/>
                    </a:xfrm>
                    <a:prstGeom prst="rect">
                      <a:avLst/>
                    </a:prstGeom>
                    <a:noFill/>
                    <a:ln>
                      <a:noFill/>
                    </a:ln>
                  </pic:spPr>
                </pic:pic>
              </a:graphicData>
            </a:graphic>
          </wp:inline>
        </w:drawing>
      </w:r>
    </w:p>
    <w:p w14:paraId="36754195" w14:textId="77777777" w:rsidR="00000000" w:rsidRDefault="007A18E2">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47F0794" wp14:editId="2852ACAE">
            <wp:extent cx="685800"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6B768FB" wp14:editId="45430986">
            <wp:extent cx="885825" cy="304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825" cy="304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7D13731" wp14:editId="703F20A6">
            <wp:extent cx="571500" cy="314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 cy="3143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0D475F1" wp14:editId="31BD7F49">
            <wp:extent cx="6858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304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DC8DA1A" wp14:editId="2D63F555">
            <wp:extent cx="1009650"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9650" cy="342900"/>
                    </a:xfrm>
                    <a:prstGeom prst="rect">
                      <a:avLst/>
                    </a:prstGeom>
                    <a:noFill/>
                    <a:ln>
                      <a:noFill/>
                    </a:ln>
                  </pic:spPr>
                </pic:pic>
              </a:graphicData>
            </a:graphic>
          </wp:inline>
        </w:drawing>
      </w:r>
    </w:p>
    <w:p w14:paraId="4B61D143"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A5D2E8" w14:textId="77777777" w:rsidR="00000000" w:rsidRDefault="007A18E2">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EC78835" wp14:editId="77C13A48">
            <wp:extent cx="1362075" cy="352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2075" cy="352425"/>
                    </a:xfrm>
                    <a:prstGeom prst="rect">
                      <a:avLst/>
                    </a:prstGeom>
                    <a:noFill/>
                    <a:ln>
                      <a:noFill/>
                    </a:ln>
                  </pic:spPr>
                </pic:pic>
              </a:graphicData>
            </a:graphic>
          </wp:inline>
        </w:drawing>
      </w:r>
    </w:p>
    <w:p w14:paraId="2E98C069"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51A437B" w14:textId="77777777" w:rsidR="00000000" w:rsidRDefault="007A18E2">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AE5E50D" wp14:editId="7090F82A">
            <wp:extent cx="638175" cy="314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 cy="314325"/>
                    </a:xfrm>
                    <a:prstGeom prst="rect">
                      <a:avLst/>
                    </a:prstGeom>
                    <a:noFill/>
                    <a:ln>
                      <a:noFill/>
                    </a:ln>
                  </pic:spPr>
                </pic:pic>
              </a:graphicData>
            </a:graphic>
          </wp:inline>
        </w:drawing>
      </w:r>
    </w:p>
    <w:p w14:paraId="4B9B8D2A"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83690A" w14:textId="77777777" w:rsidR="00000000" w:rsidRDefault="007A18E2">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48D584D" wp14:editId="3D812AF5">
            <wp:extent cx="13335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3238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F59E08F" wp14:editId="56088279">
            <wp:extent cx="266700" cy="219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F824276" wp14:editId="633C6EEC">
            <wp:extent cx="16192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0784D92" wp14:editId="42449ADA">
            <wp:extent cx="200025" cy="276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025" cy="276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5CF57B9B" wp14:editId="5093BE0D">
            <wp:extent cx="21907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EEEE345" wp14:editId="3D91B325">
            <wp:extent cx="200025" cy="200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9926D8F" wp14:editId="2181B5A2">
            <wp:extent cx="190500" cy="171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821C18D" wp14:editId="120AEC75">
            <wp:extent cx="133350" cy="142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p w14:paraId="316163E0"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41478B" w14:textId="77777777" w:rsidR="00000000" w:rsidRDefault="007A18E2">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81DFAC0" wp14:editId="41298512">
            <wp:extent cx="142875" cy="257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2571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0E2DDE6" wp14:editId="4A67C301">
            <wp:extent cx="209550" cy="20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9B0E059" wp14:editId="619B67C8">
            <wp:extent cx="104775" cy="104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1E95F5D" wp14:editId="10FC485B">
            <wp:extent cx="209550" cy="247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550" cy="247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9708F2B" wp14:editId="2E3142BC">
            <wp:extent cx="24765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2D9DF2B" wp14:editId="6B53494A">
            <wp:extent cx="104775" cy="171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 cy="171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52F7F76" wp14:editId="3A39BB24">
            <wp:extent cx="23812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53CD35DC" wp14:editId="02981457">
            <wp:extent cx="24765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 cy="304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F50F1CC" wp14:editId="7F58EEAF">
            <wp:extent cx="180975" cy="361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1C99CAC" wp14:editId="7E8C37F0">
            <wp:extent cx="123825" cy="276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276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44B0100" wp14:editId="2C723EEF">
            <wp:extent cx="2571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175" cy="2857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5E519D0" wp14:editId="311C02E0">
            <wp:extent cx="200025" cy="428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025" cy="4286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AA71BB3" wp14:editId="17DE7114">
            <wp:extent cx="219075" cy="276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075" cy="276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BA4D7F1" wp14:editId="0DFD23ED">
            <wp:extent cx="24765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357F9BD" wp14:editId="21149BCF">
            <wp:extent cx="161925" cy="114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EAA0701" wp14:editId="4BDB6AAF">
            <wp:extent cx="190500" cy="171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B9893B1" wp14:editId="6766B827">
            <wp:extent cx="247650" cy="257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AB39B9D" wp14:editId="0765C203">
            <wp:extent cx="104775" cy="104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5D096BF" wp14:editId="0E341D4B">
            <wp:extent cx="104775" cy="104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0547C0C" wp14:editId="44279BDF">
            <wp:extent cx="219075" cy="276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276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E9386BD" wp14:editId="3CA4E8E3">
            <wp:extent cx="219075" cy="200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D871958" wp14:editId="62E40661">
            <wp:extent cx="109537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95375" cy="1333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0D5A708" wp14:editId="7F75B80B">
            <wp:extent cx="209550" cy="257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2226B8A" wp14:editId="5D847C8D">
            <wp:extent cx="190500" cy="247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EAB0AE2" wp14:editId="42CD5BE4">
            <wp:extent cx="180975" cy="133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5B4B00DC" wp14:editId="676CD940">
            <wp:extent cx="114300" cy="200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55D76A94" wp14:editId="4420930C">
            <wp:extent cx="180975" cy="114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0B600B0" wp14:editId="514524CC">
            <wp:extent cx="257175" cy="333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4A17D2D" wp14:editId="224C03BD">
            <wp:extent cx="104775" cy="104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59381BB6" wp14:editId="588BFBD8">
            <wp:extent cx="171450" cy="1238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D49686F" wp14:editId="5438316E">
            <wp:extent cx="219075" cy="304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075" cy="304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ACD3144" wp14:editId="7CE7AB2E">
            <wp:extent cx="104775" cy="104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5E9F0DBA" wp14:editId="16DE88E4">
            <wp:extent cx="20002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025" cy="247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2365104" wp14:editId="28CEFD84">
            <wp:extent cx="123825" cy="238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7E07C8F" wp14:editId="6A1737FD">
            <wp:extent cx="190500" cy="1047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7CBCE0A" wp14:editId="00AC030B">
            <wp:extent cx="219075" cy="2190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1FD7351" wp14:editId="533DDEB7">
            <wp:extent cx="1171575" cy="1333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71575" cy="1333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795F431" wp14:editId="1EC5A9E2">
            <wp:extent cx="171450" cy="200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01311C7" wp14:editId="169DCE7F">
            <wp:extent cx="104775" cy="104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F079163" wp14:editId="20616619">
            <wp:extent cx="361950" cy="2000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950" cy="200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53968C78" wp14:editId="5197CB0F">
            <wp:extent cx="219075" cy="2476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075" cy="247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755D4C4" wp14:editId="42D046A2">
            <wp:extent cx="247650" cy="247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B32901D" wp14:editId="6DCF8B83">
            <wp:extent cx="219075" cy="2571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E281EC5" wp14:editId="743140E8">
            <wp:extent cx="152400" cy="171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p w14:paraId="636257B1"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CB03FB" w14:textId="77777777" w:rsidR="00000000" w:rsidRDefault="007A18E2">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0940037" wp14:editId="68D9023D">
            <wp:extent cx="4019550" cy="419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19550" cy="419100"/>
                    </a:xfrm>
                    <a:prstGeom prst="rect">
                      <a:avLst/>
                    </a:prstGeom>
                    <a:noFill/>
                    <a:ln>
                      <a:noFill/>
                    </a:ln>
                  </pic:spPr>
                </pic:pic>
              </a:graphicData>
            </a:graphic>
          </wp:inline>
        </w:drawing>
      </w:r>
    </w:p>
    <w:p w14:paraId="5D64A4E0" w14:textId="77777777" w:rsidR="00000000" w:rsidRDefault="007A18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160667" w14:textId="77777777" w:rsidR="00000000" w:rsidRDefault="007A18E2">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837CA34" wp14:editId="3F552A3F">
            <wp:extent cx="3067050" cy="2047875"/>
            <wp:effectExtent l="0" t="0" r="0" b="9525"/>
            <wp:docPr id="86" name="Picture 86" descr="ورث/ (ه &#10;NL .ربر &#10;لن 1/ناعها &#10;أS ب ها ا كره &#10;٣ بم . وهو D &#10;٢ &#10;؟.لهةا &#10;( .( فسد سعد . &#10;اج ؟ ٨،مم ٥ ٨ ١ &#10;]i 60 -رح &#10;و .لا «إلا . &#10;بندا:0 لمه &#10;و ر &#10;و ( سرو رح &#10;.2و بر سم &#10;لا حم؟ دن ا مص. &#10;,)optim &#10;Je لا æ€ &#10;٣ مصو &#10;الوععءم7 ( مم Inu &#10;ممنهe» مذلا p محمم ٧٧ &#10;إ// p ) وسه باد، &#10;50 &#10;أ- لمعاعم٨) &#10;S ٥9. &#10;hon &#10;m,.-nqatM : لا نن &#10;١١. &#10;٤ &#10;eلا«.٥ؤلا ر.م &#10;٥ . ( l &#10;. &#10;لآلا ٩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ورث/ (ه &#10;NL .ربر &#10;لن 1/ناعها &#10;أS ب ها ا كره &#10;٣ بم . وهو D &#10;٢ &#10;؟.لهةا &#10;( .( فسد سعد . &#10;اج ؟ ٨،مم ٥ ٨ ١ &#10;]i 60 -رح &#10;و .لا «إلا . &#10;بندا:0 لمه &#10;و ر &#10;و ( سرو رح &#10;.2و بر سم &#10;لا حم؟ دن ا مص. &#10;,)optim &#10;Je لا æ€ &#10;٣ مصو &#10;الوععءم7 ( مم Inu &#10;ممنهe» مذلا p محمم ٧٧ &#10;إ// p ) وسه باد، &#10;50 &#10;أ- لمعاعم٨) &#10;S ٥9. &#10;hon &#10;m,.-nqatM : لا نن &#10;١١. &#10;٤ &#10;eلا«.٥ؤلا ر.م &#10;٥ . ( l &#10;. &#10;لآلا ٩3■ "/>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67050" cy="2047875"/>
                    </a:xfrm>
                    <a:prstGeom prst="rect">
                      <a:avLst/>
                    </a:prstGeom>
                    <a:noFill/>
                    <a:ln>
                      <a:noFill/>
                    </a:ln>
                  </pic:spPr>
                </pic:pic>
              </a:graphicData>
            </a:graphic>
          </wp:inline>
        </w:drawing>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1514F"/>
    <w:multiLevelType w:val="multilevel"/>
    <w:tmpl w:val="FF4A7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decimal"/>
        <w:lvlText w:val="%2."/>
        <w:lvlJc w:val="left"/>
      </w:lvl>
    </w:lvlOverride>
  </w:num>
  <w:num w:numId="3">
    <w:abstractNumId w:val="0"/>
    <w:lvlOverride w:ilvl="1">
      <w:startOverride w:val="1"/>
    </w:lvlOverride>
  </w:num>
  <w:num w:numId="4">
    <w:abstractNumId w:val="0"/>
    <w:lvlOverride w:ilvl="1">
      <w:lvl w:ilvl="1">
        <w:numFmt w:val="decimal"/>
        <w:lvlText w:val="%2."/>
        <w:lvlJc w:val="left"/>
      </w:lvl>
    </w:lvlOverride>
  </w:num>
  <w:num w:numId="5">
    <w:abstractNumId w:val="0"/>
    <w:lvlOverride w:ilvl="1">
      <w:startOverride w:val="3"/>
    </w:lvlOverride>
  </w:num>
  <w:num w:numId="6">
    <w:abstractNumId w:val="0"/>
    <w:lvlOverride w:ilvl="1">
      <w:lvl w:ilvl="1">
        <w:numFmt w:val="bullet"/>
        <w:lvlText w:val=""/>
        <w:lvlJc w:val="left"/>
        <w:pPr>
          <w:tabs>
            <w:tab w:val="num" w:pos="1440"/>
          </w:tabs>
          <w:ind w:left="1440" w:hanging="360"/>
        </w:pPr>
        <w:rPr>
          <w:rFonts w:ascii="Symbol" w:hAnsi="Symbol" w:hint="default"/>
          <w:sz w:val="20"/>
        </w:rPr>
      </w:lvl>
    </w:lvlOverride>
  </w:num>
  <w:num w:numId="7">
    <w:abstractNumId w:val="0"/>
    <w:lvlOverride w:ilvl="1">
      <w:lvl w:ilvl="1">
        <w:numFmt w:val="decimal"/>
        <w:lvlText w:val="%2."/>
        <w:lvlJc w:val="left"/>
        <w:pPr>
          <w:tabs>
            <w:tab w:val="num" w:pos="1440"/>
          </w:tabs>
          <w:ind w:left="1440" w:hanging="360"/>
        </w:pPr>
      </w:lvl>
    </w:lvlOverride>
  </w:num>
  <w:num w:numId="8">
    <w:abstractNumId w:val="0"/>
    <w:lvlOverride w:ilvl="1">
      <w:startOverride w:val="10"/>
    </w:lvlOverride>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0"/>
    <w:lvlOverride w:ilvl="1">
      <w:lvl w:ilvl="1">
        <w:numFmt w:val="decimal"/>
        <w:lvlText w:val="%2."/>
        <w:lvlJc w:val="left"/>
        <w:pPr>
          <w:tabs>
            <w:tab w:val="num" w:pos="1440"/>
          </w:tabs>
          <w:ind w:left="1440" w:hanging="360"/>
        </w:pPr>
      </w:lvl>
    </w:lvlOverride>
  </w:num>
  <w:num w:numId="11">
    <w:abstractNumId w:val="0"/>
    <w:lvlOverride w:ilvl="1">
      <w:startOverride w:val="1"/>
    </w:lvlOverride>
  </w:num>
  <w:num w:numId="12">
    <w:abstractNumId w:val="0"/>
    <w:lvlOverride w:ilvl="1">
      <w:lvl w:ilvl="1">
        <w:numFmt w:val="upperLetter"/>
        <w:lvlText w:val="%2."/>
        <w:lvlJc w:val="left"/>
      </w:lvl>
    </w:lvlOverride>
  </w:num>
  <w:num w:numId="13">
    <w:abstractNumId w:val="0"/>
    <w:lvlOverride w:ilvl="1">
      <w:startOverride w:val="1"/>
    </w:lvlOverride>
  </w:num>
  <w:num w:numId="14">
    <w:abstractNumId w:val="0"/>
    <w:lvlOverride w:ilvl="1">
      <w:lvl w:ilvl="1">
        <w:numFmt w:val="upperLetter"/>
        <w:lvlText w:val="%2."/>
        <w:lvlJc w:val="left"/>
      </w:lvl>
    </w:lvlOverride>
  </w:num>
  <w:num w:numId="15">
    <w:abstractNumId w:val="0"/>
    <w:lvlOverride w:ilvl="1">
      <w:startOverride w:val="2"/>
    </w:lvlOverride>
  </w:num>
  <w:num w:numId="16">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abstractNumId w:val="0"/>
    <w:lvlOverride w:ilvl="1">
      <w:lvl w:ilvl="1">
        <w:numFmt w:val="upperLetter"/>
        <w:lvlText w:val="%2."/>
        <w:lvlJc w:val="left"/>
        <w:pPr>
          <w:tabs>
            <w:tab w:val="num" w:pos="1440"/>
          </w:tabs>
          <w:ind w:left="1440" w:hanging="360"/>
        </w:pPr>
      </w:lvl>
    </w:lvlOverride>
  </w:num>
  <w:num w:numId="18">
    <w:abstractNumId w:val="0"/>
    <w:lvlOverride w:ilvl="1">
      <w:startOverride w:val="4"/>
    </w:lvlOverride>
  </w:num>
  <w:num w:numId="19">
    <w:abstractNumId w:val="0"/>
    <w:lvlOverride w:ilvl="1">
      <w:lvl w:ilvl="1">
        <w:numFmt w:val="bullet"/>
        <w:lvlText w:val=""/>
        <w:lvlJc w:val="left"/>
        <w:pPr>
          <w:tabs>
            <w:tab w:val="num" w:pos="1440"/>
          </w:tabs>
          <w:ind w:left="1440" w:hanging="360"/>
        </w:pPr>
        <w:rPr>
          <w:rFonts w:ascii="Symbol" w:hAnsi="Symbol" w:hint="default"/>
          <w:sz w:val="20"/>
        </w:rPr>
      </w:lvl>
    </w:lvlOverride>
  </w:num>
  <w:num w:numId="20">
    <w:abstractNumId w:val="0"/>
    <w:lvlOverride w:ilvl="1">
      <w:lvl w:ilvl="1">
        <w:numFmt w:val="upperLetter"/>
        <w:lvlText w:val="%2."/>
        <w:lvlJc w:val="left"/>
        <w:pPr>
          <w:tabs>
            <w:tab w:val="num" w:pos="1440"/>
          </w:tabs>
          <w:ind w:left="1440" w:hanging="360"/>
        </w:pPr>
      </w:lvl>
    </w:lvlOverride>
  </w:num>
  <w:num w:numId="21">
    <w:abstractNumId w:val="0"/>
    <w:lvlOverride w:ilvl="1">
      <w:startOverride w:val="5"/>
    </w:lvlOverride>
  </w:num>
  <w:num w:numId="22">
    <w:abstractNumId w:val="0"/>
    <w:lvlOverride w:ilvl="1">
      <w:lvl w:ilvl="1">
        <w:numFmt w:val="bullet"/>
        <w:lvlText w:val=""/>
        <w:lvlJc w:val="left"/>
        <w:pPr>
          <w:tabs>
            <w:tab w:val="num" w:pos="1440"/>
          </w:tabs>
          <w:ind w:left="1440" w:hanging="360"/>
        </w:pPr>
        <w:rPr>
          <w:rFonts w:ascii="Symbol" w:hAnsi="Symbol" w:hint="default"/>
          <w:sz w:val="20"/>
        </w:rPr>
      </w:lvl>
    </w:lvlOverride>
  </w:num>
  <w:num w:numId="23">
    <w:abstractNumId w:val="0"/>
    <w:lvlOverride w:ilvl="1">
      <w:lvl w:ilvl="1">
        <w:numFmt w:val="upperLetter"/>
        <w:lvlText w:val="%2."/>
        <w:lvlJc w:val="left"/>
        <w:pPr>
          <w:tabs>
            <w:tab w:val="num" w:pos="1440"/>
          </w:tabs>
          <w:ind w:left="1440" w:hanging="360"/>
        </w:pPr>
      </w:lvl>
    </w:lvlOverride>
  </w:num>
  <w:num w:numId="24">
    <w:abstractNumId w:val="0"/>
    <w:lvlOverride w:ilvl="1">
      <w:startOverride w:val="6"/>
    </w:lvlOverride>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0"/>
    <w:lvlOverride w:ilvl="1">
      <w:lvl w:ilvl="1">
        <w:numFmt w:val="upperLetter"/>
        <w:lvlText w:val="%2."/>
        <w:lvlJc w:val="left"/>
        <w:pPr>
          <w:tabs>
            <w:tab w:val="num" w:pos="1440"/>
          </w:tabs>
          <w:ind w:left="1440" w:hanging="360"/>
        </w:pPr>
      </w:lvl>
    </w:lvlOverride>
  </w:num>
  <w:num w:numId="27">
    <w:abstractNumId w:val="0"/>
    <w:lvlOverride w:ilvl="1">
      <w:startOverride w:val="7"/>
    </w:lvlOverride>
  </w:num>
  <w:num w:numId="28">
    <w:abstractNumId w:val="0"/>
    <w:lvlOverride w:ilvl="1">
      <w:lvl w:ilvl="1">
        <w:numFmt w:val="bullet"/>
        <w:lvlText w:val=""/>
        <w:lvlJc w:val="left"/>
        <w:pPr>
          <w:tabs>
            <w:tab w:val="num" w:pos="1440"/>
          </w:tabs>
          <w:ind w:left="1440" w:hanging="360"/>
        </w:pPr>
        <w:rPr>
          <w:rFonts w:ascii="Symbol" w:hAnsi="Symbol" w:hint="default"/>
          <w:sz w:val="20"/>
        </w:rPr>
      </w:lvl>
    </w:lvlOverride>
  </w:num>
  <w:num w:numId="29">
    <w:abstractNumId w:val="0"/>
    <w:lvlOverride w:ilvl="1">
      <w:lvl w:ilvl="1">
        <w:numFmt w:val="decimal"/>
        <w:lvlText w:val="%2."/>
        <w:lvlJc w:val="left"/>
        <w:pPr>
          <w:tabs>
            <w:tab w:val="num" w:pos="1440"/>
          </w:tabs>
          <w:ind w:left="1440" w:hanging="360"/>
        </w:pPr>
      </w:lvl>
    </w:lvlOverride>
  </w:num>
  <w:num w:numId="30">
    <w:abstractNumId w:val="0"/>
    <w:lvlOverride w:ilvl="1">
      <w:startOverride w:val="1"/>
    </w:lvlOverride>
  </w:num>
  <w:num w:numId="31">
    <w:abstractNumId w:val="0"/>
    <w:lvlOverride w:ilvl="1">
      <w:lvl w:ilvl="1">
        <w:numFmt w:val="decimal"/>
        <w:lvlText w:val="%2."/>
        <w:lvlJc w:val="left"/>
      </w:lvl>
    </w:lvlOverride>
  </w:num>
  <w:num w:numId="32">
    <w:abstractNumId w:val="0"/>
    <w:lvlOverride w:ilvl="1">
      <w:startOverride w:val="2"/>
    </w:lvlOverride>
  </w:num>
  <w:num w:numId="33">
    <w:abstractNumId w:val="0"/>
    <w:lvlOverride w:ilvl="1">
      <w:lvl w:ilvl="1">
        <w:numFmt w:val="bullet"/>
        <w:lvlText w:val=""/>
        <w:lvlJc w:val="left"/>
        <w:pPr>
          <w:tabs>
            <w:tab w:val="num" w:pos="1440"/>
          </w:tabs>
          <w:ind w:left="1440" w:hanging="360"/>
        </w:pPr>
        <w:rPr>
          <w:rFonts w:ascii="Symbol" w:hAnsi="Symbol" w:hint="default"/>
          <w:sz w:val="20"/>
        </w:rPr>
      </w:lvl>
    </w:lvlOverride>
  </w:num>
  <w:num w:numId="34">
    <w:abstractNumId w:val="0"/>
    <w:lvlOverride w:ilvl="1">
      <w:lvl w:ilvl="1">
        <w:numFmt w:val="upperLetter"/>
        <w:lvlText w:val="%2."/>
        <w:lvlJc w:val="left"/>
        <w:pPr>
          <w:tabs>
            <w:tab w:val="num" w:pos="1440"/>
          </w:tabs>
          <w:ind w:left="1440" w:hanging="360"/>
        </w:pPr>
      </w:lvl>
    </w:lvlOverride>
  </w:num>
  <w:num w:numId="35">
    <w:abstractNumId w:val="0"/>
    <w:lvlOverride w:ilvl="1">
      <w:startOverride w:val="9"/>
    </w:lvlOverride>
  </w:num>
  <w:num w:numId="36">
    <w:abstractNumId w:val="0"/>
    <w:lvlOverride w:ilvl="1">
      <w:lvl w:ilvl="1">
        <w:numFmt w:val="bullet"/>
        <w:lvlText w:val=""/>
        <w:lvlJc w:val="left"/>
        <w:pPr>
          <w:tabs>
            <w:tab w:val="num" w:pos="1440"/>
          </w:tabs>
          <w:ind w:left="1440" w:hanging="360"/>
        </w:pPr>
        <w:rPr>
          <w:rFonts w:ascii="Symbol" w:hAnsi="Symbol" w:hint="default"/>
          <w:sz w:val="20"/>
        </w:rPr>
      </w:lvl>
    </w:lvlOverride>
  </w:num>
  <w:num w:numId="37">
    <w:abstractNumId w:val="0"/>
    <w:lvlOverride w:ilvl="1">
      <w:lvl w:ilvl="1">
        <w:numFmt w:val="upperLetter"/>
        <w:lvlText w:val="%2."/>
        <w:lvlJc w:val="left"/>
        <w:pPr>
          <w:tabs>
            <w:tab w:val="num" w:pos="1440"/>
          </w:tabs>
          <w:ind w:left="1440" w:hanging="360"/>
        </w:pPr>
      </w:lvl>
    </w:lvlOverride>
  </w:num>
  <w:num w:numId="38">
    <w:abstractNumId w:val="0"/>
    <w:lvlOverride w:ilvl="1">
      <w:startOverride w:val="11"/>
    </w:lvlOverride>
  </w:num>
  <w:num w:numId="39">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7A18E2"/>
    <w:rsid w:val="007A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73F4E0"/>
  <w15:chartTrackingRefBased/>
  <w15:docId w15:val="{09DE785E-F86E-463A-BFEE-97B9737A6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49386">
      <w:marLeft w:val="0"/>
      <w:marRight w:val="0"/>
      <w:marTop w:val="0"/>
      <w:marBottom w:val="0"/>
      <w:divBdr>
        <w:top w:val="none" w:sz="0" w:space="0" w:color="auto"/>
        <w:left w:val="none" w:sz="0" w:space="0" w:color="auto"/>
        <w:bottom w:val="none" w:sz="0" w:space="0" w:color="auto"/>
        <w:right w:val="none" w:sz="0" w:space="0" w:color="auto"/>
      </w:divBdr>
      <w:divsChild>
        <w:div w:id="1260068727">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3098</Words>
  <Characters>17663</Characters>
  <Application>Microsoft Office Word</Application>
  <DocSecurity>0</DocSecurity>
  <Lines>147</Lines>
  <Paragraphs>41</Paragraphs>
  <ScaleCrop>false</ScaleCrop>
  <Company/>
  <LinksUpToDate>false</LinksUpToDate>
  <CharactersWithSpaces>20720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Peng</dc:creator>
  <cp:keywords/>
  <dc:description/>
  <cp:lastModifiedBy>Tian Peng</cp:lastModifiedBy>
  <cp:revision>2</cp:revision>
  <dcterms:created xsi:type="dcterms:W3CDTF">2021-10-02T23:49:00Z</dcterms:created>
  <dcterms:modified xsi:type="dcterms:W3CDTF">2021-10-02T23:49:00Z</dcterms:modified>
</cp:coreProperties>
</file>