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A8F8D" w14:textId="77777777" w:rsidR="00000000" w:rsidRDefault="001875C9">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SS7 Financial Report and Analysis</w:t>
      </w:r>
    </w:p>
    <w:p w14:paraId="3B41FDF2" w14:textId="77777777" w:rsidR="00000000" w:rsidRDefault="001875C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July 16, 2021</w:t>
      </w:r>
    </w:p>
    <w:p w14:paraId="6DB81211" w14:textId="77777777" w:rsidR="00000000" w:rsidRDefault="001875C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10:05 PM</w:t>
      </w:r>
    </w:p>
    <w:p w14:paraId="4999F842"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D5CCFA" w14:textId="77777777" w:rsidR="00000000" w:rsidRDefault="001875C9">
      <w:pPr>
        <w:pStyle w:val="Heading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 xml:space="preserve">READING 22. UNDERSTANDING BALANCE SHEETS </w:t>
      </w:r>
    </w:p>
    <w:p w14:paraId="4F2553DC" w14:textId="77777777" w:rsidR="00000000" w:rsidRDefault="001875C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60EEBDF" w14:textId="77777777" w:rsidR="00000000" w:rsidRDefault="001875C9">
      <w:pPr>
        <w:numPr>
          <w:ilvl w:val="1"/>
          <w:numId w:val="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elements of the balance sheet: assets, liabilities, and equity</w:t>
      </w:r>
    </w:p>
    <w:p w14:paraId="657BB8C1" w14:textId="77777777" w:rsidR="00000000" w:rsidRDefault="001875C9">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 xml:space="preserve">The balance sheet (also </w:t>
      </w:r>
      <w:r>
        <w:rPr>
          <w:rFonts w:ascii="Calibri" w:eastAsia="Times New Roman" w:hAnsi="Calibri" w:cs="Calibri"/>
          <w:sz w:val="22"/>
          <w:szCs w:val="22"/>
        </w:rPr>
        <w:t xml:space="preserve">known as the statement of financial position or statement of financial condition) reports the firm’s financial position at a point in time, consisting- </w:t>
      </w:r>
      <w:r>
        <w:rPr>
          <w:rFonts w:ascii="Calibri" w:eastAsia="Times New Roman" w:hAnsi="Calibri" w:cs="Calibri"/>
          <w:b/>
          <w:bCs/>
          <w:sz w:val="22"/>
          <w:szCs w:val="22"/>
        </w:rPr>
        <w:t>Assets</w:t>
      </w:r>
      <w:r>
        <w:rPr>
          <w:rFonts w:ascii="Calibri" w:eastAsia="Times New Roman" w:hAnsi="Calibri" w:cs="Calibri"/>
          <w:sz w:val="22"/>
          <w:szCs w:val="22"/>
        </w:rPr>
        <w:t>: Resources controlled as a result of past transactions that are expected to provide future econom</w:t>
      </w:r>
      <w:r>
        <w:rPr>
          <w:rFonts w:ascii="Calibri" w:eastAsia="Times New Roman" w:hAnsi="Calibri" w:cs="Calibri"/>
          <w:sz w:val="22"/>
          <w:szCs w:val="22"/>
        </w:rPr>
        <w:t xml:space="preserve">ic benefits. </w:t>
      </w:r>
      <w:r>
        <w:rPr>
          <w:rFonts w:ascii="Calibri" w:eastAsia="Times New Roman" w:hAnsi="Calibri" w:cs="Calibri"/>
          <w:sz w:val="22"/>
          <w:szCs w:val="22"/>
          <w:shd w:val="clear" w:color="auto" w:fill="FAC08F"/>
        </w:rPr>
        <w:t xml:space="preserve">BS omits important aspects of a company’s ability to generate future cash flows, such as its </w:t>
      </w:r>
      <w:r>
        <w:rPr>
          <w:rFonts w:ascii="Calibri" w:eastAsia="Times New Roman" w:hAnsi="Calibri" w:cs="Calibri"/>
          <w:sz w:val="22"/>
          <w:szCs w:val="22"/>
          <w:u w:val="single"/>
          <w:shd w:val="clear" w:color="auto" w:fill="FAC08F"/>
        </w:rPr>
        <w:t>reputation and management</w:t>
      </w:r>
      <w:r>
        <w:rPr>
          <w:rFonts w:ascii="Calibri" w:eastAsia="Times New Roman" w:hAnsi="Calibri" w:cs="Calibri"/>
          <w:sz w:val="22"/>
          <w:szCs w:val="22"/>
          <w:shd w:val="clear" w:color="auto" w:fill="FAC08F"/>
        </w:rPr>
        <w:t xml:space="preserve"> skills, so differs from market value of shareholders’ equity. </w:t>
      </w:r>
      <w:r>
        <w:rPr>
          <w:rFonts w:ascii="Calibri" w:eastAsia="Times New Roman" w:hAnsi="Calibri" w:cs="Calibri"/>
          <w:b/>
          <w:bCs/>
          <w:sz w:val="22"/>
          <w:szCs w:val="22"/>
        </w:rPr>
        <w:t>Liabilities</w:t>
      </w:r>
      <w:r>
        <w:rPr>
          <w:rFonts w:ascii="Calibri" w:eastAsia="Times New Roman" w:hAnsi="Calibri" w:cs="Calibri"/>
          <w:sz w:val="22"/>
          <w:szCs w:val="22"/>
        </w:rPr>
        <w:t>: Obligations as a result of past events that are e</w:t>
      </w:r>
      <w:r>
        <w:rPr>
          <w:rFonts w:ascii="Calibri" w:eastAsia="Times New Roman" w:hAnsi="Calibri" w:cs="Calibri"/>
          <w:sz w:val="22"/>
          <w:szCs w:val="22"/>
        </w:rPr>
        <w:t xml:space="preserve">xpected to require an outflow of economic resources. </w:t>
      </w:r>
      <w:r>
        <w:rPr>
          <w:rFonts w:ascii="Calibri" w:eastAsia="Times New Roman" w:hAnsi="Calibri" w:cs="Calibri"/>
          <w:b/>
          <w:bCs/>
          <w:sz w:val="22"/>
          <w:szCs w:val="22"/>
        </w:rPr>
        <w:t>Equity, aka "net assets"</w:t>
      </w:r>
      <w:r>
        <w:rPr>
          <w:rFonts w:ascii="Calibri" w:eastAsia="Times New Roman" w:hAnsi="Calibri" w:cs="Calibri"/>
          <w:sz w:val="22"/>
          <w:szCs w:val="22"/>
        </w:rPr>
        <w:t xml:space="preserve">: The owners’ residual interest in the assets after deducting the liabilities. </w:t>
      </w:r>
    </w:p>
    <w:p w14:paraId="566BAFC9" w14:textId="77777777" w:rsidR="00000000" w:rsidRDefault="001875C9">
      <w:pPr>
        <w:numPr>
          <w:ilvl w:val="1"/>
          <w:numId w:val="3"/>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uses and limitations of the balance sheet in financial analysis</w:t>
      </w:r>
    </w:p>
    <w:p w14:paraId="7C438C88" w14:textId="77777777" w:rsidR="00000000" w:rsidRDefault="001875C9">
      <w:pPr>
        <w:numPr>
          <w:ilvl w:val="1"/>
          <w:numId w:val="4"/>
        </w:numPr>
        <w:textAlignment w:val="center"/>
        <w:rPr>
          <w:rFonts w:ascii="Calibri" w:eastAsia="Times New Roman" w:hAnsi="Calibri" w:cs="Calibri"/>
          <w:sz w:val="22"/>
          <w:szCs w:val="22"/>
        </w:rPr>
      </w:pPr>
      <w:r>
        <w:rPr>
          <w:rFonts w:ascii="Calibri" w:eastAsia="Times New Roman" w:hAnsi="Calibri" w:cs="Calibri"/>
          <w:sz w:val="22"/>
          <w:szCs w:val="22"/>
        </w:rPr>
        <w:t>Used to asses a firm's abi</w:t>
      </w:r>
      <w:r>
        <w:rPr>
          <w:rFonts w:ascii="Calibri" w:eastAsia="Times New Roman" w:hAnsi="Calibri" w:cs="Calibri"/>
          <w:sz w:val="22"/>
          <w:szCs w:val="22"/>
        </w:rPr>
        <w:t xml:space="preserve">lity to make distributions to shareholders and </w:t>
      </w:r>
      <w:r>
        <w:rPr>
          <w:rFonts w:ascii="Calibri" w:eastAsia="Times New Roman" w:hAnsi="Calibri" w:cs="Calibri"/>
          <w:b/>
          <w:bCs/>
          <w:sz w:val="22"/>
          <w:szCs w:val="22"/>
        </w:rPr>
        <w:t>liquidity</w:t>
      </w:r>
      <w:r>
        <w:rPr>
          <w:rFonts w:ascii="Calibri" w:eastAsia="Times New Roman" w:hAnsi="Calibri" w:cs="Calibri"/>
          <w:sz w:val="22"/>
          <w:szCs w:val="22"/>
        </w:rPr>
        <w:t xml:space="preserve"> (ability to meet short-term obligations) and </w:t>
      </w:r>
      <w:r>
        <w:rPr>
          <w:rFonts w:ascii="Calibri" w:eastAsia="Times New Roman" w:hAnsi="Calibri" w:cs="Calibri"/>
          <w:b/>
          <w:bCs/>
          <w:sz w:val="22"/>
          <w:szCs w:val="22"/>
        </w:rPr>
        <w:t>solvency</w:t>
      </w:r>
      <w:r>
        <w:rPr>
          <w:rFonts w:ascii="Calibri" w:eastAsia="Times New Roman" w:hAnsi="Calibri" w:cs="Calibri"/>
          <w:sz w:val="22"/>
          <w:szCs w:val="22"/>
        </w:rPr>
        <w:t xml:space="preserve"> (ability to meet long-term obligations). </w:t>
      </w:r>
    </w:p>
    <w:p w14:paraId="4673276E"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sz w:val="22"/>
          <w:szCs w:val="22"/>
          <w:highlight w:val="yellow"/>
        </w:rPr>
        <w:t xml:space="preserve">The balance sheet elements (assets, liabilities, and equity) should </w:t>
      </w:r>
      <w:r>
        <w:rPr>
          <w:rFonts w:ascii="Calibri" w:hAnsi="Calibri" w:cs="Calibri"/>
          <w:sz w:val="22"/>
          <w:szCs w:val="22"/>
          <w:highlight w:val="yellow"/>
          <w:u w:val="single"/>
        </w:rPr>
        <w:t>NOT</w:t>
      </w:r>
      <w:r>
        <w:rPr>
          <w:rFonts w:ascii="Calibri" w:hAnsi="Calibri" w:cs="Calibri"/>
          <w:sz w:val="22"/>
          <w:szCs w:val="22"/>
          <w:highlight w:val="yellow"/>
        </w:rPr>
        <w:t xml:space="preserve"> be interpreted as </w:t>
      </w:r>
      <w:r>
        <w:rPr>
          <w:rFonts w:ascii="Calibri" w:hAnsi="Calibri" w:cs="Calibri"/>
          <w:sz w:val="22"/>
          <w:szCs w:val="22"/>
          <w:highlight w:val="yellow"/>
          <w:u w:val="single"/>
        </w:rPr>
        <w:t xml:space="preserve">market value </w:t>
      </w:r>
      <w:r>
        <w:rPr>
          <w:rFonts w:ascii="Calibri" w:hAnsi="Calibri" w:cs="Calibri"/>
          <w:sz w:val="22"/>
          <w:szCs w:val="22"/>
          <w:highlight w:val="yellow"/>
          <w:u w:val="single"/>
        </w:rPr>
        <w:t>or intrinsic value</w:t>
      </w:r>
      <w:r>
        <w:rPr>
          <w:rFonts w:ascii="Calibri" w:hAnsi="Calibri" w:cs="Calibri"/>
          <w:sz w:val="22"/>
          <w:szCs w:val="22"/>
          <w:highlight w:val="yellow"/>
        </w:rPr>
        <w:t xml:space="preserve">, but historical cost, amortized cost or </w:t>
      </w:r>
      <w:r>
        <w:rPr>
          <w:rFonts w:ascii="Calibri" w:hAnsi="Calibri" w:cs="Calibri"/>
          <w:sz w:val="22"/>
          <w:szCs w:val="22"/>
          <w:highlight w:val="yellow"/>
          <w:u w:val="single"/>
        </w:rPr>
        <w:t>fair</w:t>
      </w:r>
      <w:r>
        <w:rPr>
          <w:rFonts w:ascii="Calibri" w:hAnsi="Calibri" w:cs="Calibri"/>
          <w:sz w:val="22"/>
          <w:szCs w:val="22"/>
          <w:highlight w:val="yellow"/>
        </w:rPr>
        <w:t xml:space="preserve"> current value. </w:t>
      </w:r>
    </w:p>
    <w:p w14:paraId="4ABC81B3" w14:textId="77777777" w:rsidR="00000000" w:rsidRDefault="001875C9">
      <w:pPr>
        <w:numPr>
          <w:ilvl w:val="1"/>
          <w:numId w:val="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alternative formats of balance sheet presentation</w:t>
      </w:r>
    </w:p>
    <w:p w14:paraId="3CC88898" w14:textId="77777777" w:rsidR="00000000" w:rsidRDefault="001875C9">
      <w:pPr>
        <w:numPr>
          <w:ilvl w:val="1"/>
          <w:numId w:val="6"/>
        </w:numPr>
        <w:textAlignment w:val="center"/>
        <w:rPr>
          <w:rFonts w:ascii="Calibri" w:eastAsia="Times New Roman" w:hAnsi="Calibri" w:cs="Calibri"/>
          <w:sz w:val="22"/>
          <w:szCs w:val="22"/>
        </w:rPr>
      </w:pPr>
      <w:r>
        <w:rPr>
          <w:rFonts w:ascii="Calibri" w:eastAsia="Times New Roman" w:hAnsi="Calibri" w:cs="Calibri"/>
          <w:b/>
          <w:bCs/>
          <w:sz w:val="22"/>
          <w:szCs w:val="22"/>
        </w:rPr>
        <w:t>Classified</w:t>
      </w:r>
      <w:r>
        <w:rPr>
          <w:rFonts w:ascii="Calibri" w:eastAsia="Times New Roman" w:hAnsi="Calibri" w:cs="Calibri"/>
          <w:sz w:val="22"/>
          <w:szCs w:val="22"/>
        </w:rPr>
        <w:t xml:space="preserve"> BS: current/non-current; </w:t>
      </w:r>
      <w:r>
        <w:rPr>
          <w:rFonts w:ascii="Calibri" w:eastAsia="Times New Roman" w:hAnsi="Calibri" w:cs="Calibri"/>
          <w:b/>
          <w:bCs/>
          <w:sz w:val="22"/>
          <w:szCs w:val="22"/>
        </w:rPr>
        <w:t>liquidity-based(IFRS)</w:t>
      </w:r>
      <w:r>
        <w:rPr>
          <w:rFonts w:ascii="Calibri" w:eastAsia="Times New Roman" w:hAnsi="Calibri" w:cs="Calibri"/>
          <w:sz w:val="22"/>
          <w:szCs w:val="22"/>
        </w:rPr>
        <w:t xml:space="preserve"> BS: present in order of </w:t>
      </w:r>
      <w:r>
        <w:rPr>
          <w:rFonts w:ascii="Calibri" w:eastAsia="Times New Roman" w:hAnsi="Calibri" w:cs="Calibri"/>
          <w:sz w:val="22"/>
          <w:szCs w:val="22"/>
        </w:rPr>
        <w:t>liquidity, in banking industry</w:t>
      </w:r>
    </w:p>
    <w:p w14:paraId="742CFD84" w14:textId="77777777" w:rsidR="00000000" w:rsidRDefault="001875C9">
      <w:pPr>
        <w:numPr>
          <w:ilvl w:val="1"/>
          <w:numId w:val="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Distinguish between current and non-current assets and current and non-current liabilities</w:t>
      </w:r>
    </w:p>
    <w:p w14:paraId="7D06AA09" w14:textId="77777777" w:rsidR="00000000" w:rsidRDefault="001875C9">
      <w:pPr>
        <w:numPr>
          <w:ilvl w:val="1"/>
          <w:numId w:val="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different types of assets and liabilities and the measurement bases of each</w:t>
      </w:r>
    </w:p>
    <w:p w14:paraId="03B6097E" w14:textId="77777777" w:rsidR="00000000" w:rsidRDefault="001875C9">
      <w:pPr>
        <w:numPr>
          <w:ilvl w:val="1"/>
          <w:numId w:val="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61E47A5" wp14:editId="02AF7EA1">
            <wp:extent cx="62865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514350"/>
                    </a:xfrm>
                    <a:prstGeom prst="rect">
                      <a:avLst/>
                    </a:prstGeom>
                    <a:noFill/>
                    <a:ln>
                      <a:noFill/>
                    </a:ln>
                  </pic:spPr>
                </pic:pic>
              </a:graphicData>
            </a:graphic>
          </wp:inline>
        </w:drawing>
      </w:r>
    </w:p>
    <w:p w14:paraId="7996E1BD" w14:textId="77777777" w:rsidR="00000000" w:rsidRDefault="001875C9">
      <w:pPr>
        <w:numPr>
          <w:ilvl w:val="2"/>
          <w:numId w:val="8"/>
        </w:numPr>
        <w:textAlignment w:val="center"/>
        <w:rPr>
          <w:rFonts w:ascii="Calibri" w:eastAsia="Times New Roman" w:hAnsi="Calibri" w:cs="Calibri"/>
          <w:sz w:val="22"/>
          <w:szCs w:val="22"/>
        </w:rPr>
      </w:pPr>
      <w:r>
        <w:rPr>
          <w:rFonts w:ascii="Calibri" w:eastAsia="Times New Roman" w:hAnsi="Calibri" w:cs="Calibri"/>
          <w:b/>
          <w:bCs/>
          <w:i/>
          <w:iCs/>
          <w:sz w:val="22"/>
          <w:szCs w:val="22"/>
        </w:rPr>
        <w:t>Cash equivalents</w:t>
      </w:r>
      <w:r>
        <w:rPr>
          <w:rFonts w:ascii="Calibri" w:eastAsia="Times New Roman" w:hAnsi="Calibri" w:cs="Calibri"/>
          <w:sz w:val="22"/>
          <w:szCs w:val="22"/>
        </w:rPr>
        <w:t>: treasury bills, commercial paper, money market funds - little interest rate ri</w:t>
      </w:r>
      <w:r>
        <w:rPr>
          <w:rFonts w:ascii="Calibri" w:eastAsia="Times New Roman" w:hAnsi="Calibri" w:cs="Calibri"/>
          <w:sz w:val="22"/>
          <w:szCs w:val="22"/>
        </w:rPr>
        <w:t xml:space="preserve">sk; financial asset aka FA, amortized cost or fair value. </w:t>
      </w:r>
    </w:p>
    <w:p w14:paraId="2C5F0DFE" w14:textId="77777777" w:rsidR="00000000" w:rsidRDefault="001875C9">
      <w:pPr>
        <w:numPr>
          <w:ilvl w:val="2"/>
          <w:numId w:val="8"/>
        </w:numPr>
        <w:textAlignment w:val="center"/>
        <w:rPr>
          <w:rFonts w:ascii="Calibri" w:eastAsia="Times New Roman" w:hAnsi="Calibri" w:cs="Calibri"/>
          <w:color w:val="000000"/>
          <w:sz w:val="22"/>
          <w:szCs w:val="22"/>
        </w:rPr>
      </w:pPr>
      <w:r>
        <w:rPr>
          <w:rFonts w:ascii="Calibri" w:eastAsia="Times New Roman" w:hAnsi="Calibri" w:cs="Calibri"/>
          <w:b/>
          <w:bCs/>
          <w:i/>
          <w:iCs/>
          <w:color w:val="000000"/>
          <w:sz w:val="22"/>
          <w:szCs w:val="22"/>
        </w:rPr>
        <w:t>Marketable securities</w:t>
      </w:r>
      <w:r>
        <w:rPr>
          <w:rFonts w:ascii="Calibri" w:eastAsia="Times New Roman" w:hAnsi="Calibri" w:cs="Calibri"/>
          <w:color w:val="000000"/>
          <w:sz w:val="22"/>
          <w:szCs w:val="22"/>
        </w:rPr>
        <w:t xml:space="preserve">: FA traded in public market, treasury bills notes, bonds, equity securities, derivatives, loans, receivables. </w:t>
      </w:r>
      <w:r>
        <w:rPr>
          <w:rFonts w:ascii="Calibri" w:eastAsia="Times New Roman" w:hAnsi="Calibri" w:cs="Calibri"/>
          <w:b/>
          <w:bCs/>
          <w:color w:val="000000"/>
          <w:sz w:val="22"/>
          <w:szCs w:val="22"/>
        </w:rPr>
        <w:t>Held-to-maturity</w:t>
      </w:r>
      <w:r>
        <w:rPr>
          <w:rFonts w:ascii="Calibri" w:eastAsia="Times New Roman" w:hAnsi="Calibri" w:cs="Calibri"/>
          <w:color w:val="000000"/>
          <w:sz w:val="22"/>
          <w:szCs w:val="22"/>
        </w:rPr>
        <w:t xml:space="preserve"> securities: @</w:t>
      </w:r>
      <w:r>
        <w:rPr>
          <w:rFonts w:ascii="Calibri" w:eastAsia="Times New Roman" w:hAnsi="Calibri" w:cs="Calibri"/>
          <w:b/>
          <w:bCs/>
          <w:color w:val="000000"/>
          <w:sz w:val="22"/>
          <w:szCs w:val="22"/>
        </w:rPr>
        <w:t>amortized</w:t>
      </w:r>
      <w:r>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 xml:space="preserve">cost = issue price - principal payments + amortized discount - impairment ± amortized. </w:t>
      </w:r>
      <w:r>
        <w:rPr>
          <w:rFonts w:ascii="Calibri" w:eastAsia="Times New Roman" w:hAnsi="Calibri" w:cs="Calibri"/>
          <w:b/>
          <w:bCs/>
          <w:color w:val="000000"/>
          <w:sz w:val="22"/>
          <w:szCs w:val="22"/>
        </w:rPr>
        <w:t>Market-to-market (held-for-trading, available-for-sale</w:t>
      </w:r>
      <w:r>
        <w:rPr>
          <w:rFonts w:ascii="Calibri" w:eastAsia="Times New Roman" w:hAnsi="Calibri" w:cs="Calibri"/>
          <w:color w:val="000000"/>
          <w:sz w:val="22"/>
          <w:szCs w:val="22"/>
        </w:rPr>
        <w:t>, derivatives): @</w:t>
      </w:r>
      <w:r>
        <w:rPr>
          <w:rFonts w:ascii="Calibri" w:eastAsia="Times New Roman" w:hAnsi="Calibri" w:cs="Calibri"/>
          <w:b/>
          <w:bCs/>
          <w:color w:val="000000"/>
          <w:sz w:val="22"/>
          <w:szCs w:val="22"/>
        </w:rPr>
        <w:t>fair market value</w:t>
      </w:r>
      <w:r>
        <w:rPr>
          <w:rFonts w:ascii="Calibri" w:eastAsia="Times New Roman" w:hAnsi="Calibri" w:cs="Calibri"/>
          <w:color w:val="000000"/>
          <w:sz w:val="22"/>
          <w:szCs w:val="22"/>
        </w:rPr>
        <w:t xml:space="preserve"> Unrealized gain/loss aka holding period gain/loss of [HFT &amp; derivatives] recogni</w:t>
      </w:r>
      <w:r>
        <w:rPr>
          <w:rFonts w:ascii="Calibri" w:eastAsia="Times New Roman" w:hAnsi="Calibri" w:cs="Calibri"/>
          <w:color w:val="000000"/>
          <w:sz w:val="22"/>
          <w:szCs w:val="22"/>
        </w:rPr>
        <w:t xml:space="preserve">ze in IS; of AFS(IFRS NO longer exists) report in other comprehensive income under equity in BS. Dividend, interest income, realized gains and losses (actual gains or losses when the securities are sold) record in IS. </w:t>
      </w:r>
      <w:r>
        <w:rPr>
          <w:rFonts w:ascii="Calibri" w:eastAsia="Times New Roman" w:hAnsi="Calibri" w:cs="Calibri"/>
          <w:b/>
          <w:bCs/>
          <w:i/>
          <w:iCs/>
          <w:color w:val="000000"/>
          <w:sz w:val="22"/>
          <w:szCs w:val="22"/>
        </w:rPr>
        <w:t>[in BS as CA/NCL]</w:t>
      </w:r>
    </w:p>
    <w:p w14:paraId="55A88657" w14:textId="77777777" w:rsidR="00000000" w:rsidRDefault="001875C9">
      <w:pPr>
        <w:pStyle w:val="NormalWeb"/>
        <w:spacing w:before="0" w:beforeAutospacing="0" w:after="0" w:afterAutospacing="0"/>
        <w:ind w:left="2340"/>
        <w:rPr>
          <w:rFonts w:ascii="Calibri" w:hAnsi="Calibri" w:cs="Calibri"/>
          <w:sz w:val="22"/>
          <w:szCs w:val="22"/>
        </w:rPr>
      </w:pPr>
      <w:r>
        <w:rPr>
          <w:rFonts w:ascii="Calibri" w:hAnsi="Calibri" w:cs="Calibri"/>
          <w:noProof/>
          <w:sz w:val="22"/>
          <w:szCs w:val="22"/>
        </w:rPr>
        <w:drawing>
          <wp:inline distT="0" distB="0" distL="0" distR="0" wp14:anchorId="2199995E" wp14:editId="1C9D6B71">
            <wp:extent cx="4552950" cy="942975"/>
            <wp:effectExtent l="0" t="0" r="0" b="9525"/>
            <wp:docPr id="2" name="Picture 2" descr="Historical Cost &#10;Unlisted equity investments &#10;Loans and receivables &#10;Amortized Cost &#10;Held-to-maturity securities &#10;Fair Value &#10;Trading securities &#10;Available-for-sale securities &#10;Derivativ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rical Cost &#10;Unlisted equity investments &#10;Loans and receivables &#10;Amortized Cost &#10;Held-to-maturity securities &#10;Fair Value &#10;Trading securities &#10;Available-for-sale securities &#10;Derivative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2950" cy="942975"/>
                    </a:xfrm>
                    <a:prstGeom prst="rect">
                      <a:avLst/>
                    </a:prstGeom>
                    <a:noFill/>
                    <a:ln>
                      <a:noFill/>
                    </a:ln>
                  </pic:spPr>
                </pic:pic>
              </a:graphicData>
            </a:graphic>
          </wp:inline>
        </w:drawing>
      </w:r>
    </w:p>
    <w:p w14:paraId="3D3692DE" w14:textId="77777777" w:rsidR="00000000" w:rsidRDefault="001875C9">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A 6% bond, at par, for $1,000,000 at the beginning of the year. In</w:t>
      </w:r>
      <w:r>
        <w:rPr>
          <w:rFonts w:ascii="Calibri" w:eastAsia="Times New Roman" w:hAnsi="Calibri" w:cs="Calibri"/>
          <w:sz w:val="22"/>
          <w:szCs w:val="22"/>
        </w:rPr>
        <w:t xml:space="preserve">terest rates have recently increased and the market value of the bond declined $20,000. </w:t>
      </w:r>
    </w:p>
    <w:p w14:paraId="71AD31A0" w14:textId="77777777" w:rsidR="00000000" w:rsidRDefault="001875C9">
      <w:pPr>
        <w:pStyle w:val="NormalWeb"/>
        <w:spacing w:before="0" w:beforeAutospacing="0" w:after="0" w:afterAutospacing="0"/>
        <w:ind w:left="2340"/>
        <w:rPr>
          <w:rFonts w:ascii="Calibri" w:hAnsi="Calibri" w:cs="Calibri"/>
          <w:sz w:val="22"/>
          <w:szCs w:val="22"/>
        </w:rPr>
      </w:pPr>
      <w:r>
        <w:rPr>
          <w:rFonts w:ascii="Calibri" w:hAnsi="Calibri" w:cs="Calibri"/>
          <w:noProof/>
          <w:sz w:val="22"/>
          <w:szCs w:val="22"/>
        </w:rPr>
        <w:drawing>
          <wp:inline distT="0" distB="0" distL="0" distR="0" wp14:anchorId="5E2F92AF" wp14:editId="621B2C19">
            <wp:extent cx="5191125" cy="1419225"/>
            <wp:effectExtent l="0" t="0" r="9525" b="9525"/>
            <wp:docPr id="3" name="Picture 3" descr="If the bond is classified as a held-to-maturity security, the bond is reported on the balance sheet at &#10;Interest income of $60,000 x 6%] is reported in the income statement. &#10;If the bond is classified as a trading security, the bond is reported on the balance sheet at $980,000. &#10;The $20,000 unrealized loss and $60,000 of interest income are both recognized in the income &#10;statement. &#10;If the bond is classified as an available-for-sale security, the bond is reported on the balance sheet &#10;at $980,000. Interest income Of $60,000 is recognized in the income statement. The $20,000 &#10;unrealized loss is not recognized in the income statement. Rather, it is reported as a change in &#10;stockholders' equ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the bond is classified as a held-to-maturity security, the bond is reported on the balance sheet at &#10;Interest income of $60,000 x 6%] is reported in the income statement. &#10;If the bond is classified as a trading security, the bond is reported on the balance sheet at $980,000. &#10;The $20,000 unrealized loss and $60,000 of interest income are both recognized in the income &#10;statement. &#10;If the bond is classified as an available-for-sale security, the bond is reported on the balance sheet &#10;at $980,000. Interest income Of $60,000 is recognized in the income statement. The $20,000 &#10;unrealized loss is not recognized in the income statement. Rather, it is reported as a change in &#10;stockholders' equit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1125" cy="1419225"/>
                    </a:xfrm>
                    <a:prstGeom prst="rect">
                      <a:avLst/>
                    </a:prstGeom>
                    <a:noFill/>
                    <a:ln>
                      <a:noFill/>
                    </a:ln>
                  </pic:spPr>
                </pic:pic>
              </a:graphicData>
            </a:graphic>
          </wp:inline>
        </w:drawing>
      </w:r>
    </w:p>
    <w:p w14:paraId="1C55C54F" w14:textId="77777777" w:rsidR="00000000" w:rsidRDefault="001875C9">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Beginning of year, Company P purchased 1,000 s</w:t>
      </w:r>
      <w:r>
        <w:rPr>
          <w:rFonts w:ascii="Calibri" w:eastAsia="Times New Roman" w:hAnsi="Calibri" w:cs="Calibri"/>
          <w:sz w:val="22"/>
          <w:szCs w:val="22"/>
        </w:rPr>
        <w:t xml:space="preserve">hares of Company S for $80 per share. During year, Company S paid a dividend of $4 per share. At the end of the year, Company S’s share price was $75. </w:t>
      </w:r>
      <w:r>
        <w:rPr>
          <w:rFonts w:ascii="Calibri" w:eastAsia="Times New Roman" w:hAnsi="Calibri" w:cs="Calibri"/>
          <w:sz w:val="22"/>
          <w:szCs w:val="22"/>
          <w:shd w:val="clear" w:color="auto" w:fill="FAC08F"/>
        </w:rPr>
        <w:t xml:space="preserve">Both trading securities and available-for-sale securities are reported </w:t>
      </w:r>
      <w:r>
        <w:rPr>
          <w:rFonts w:ascii="Calibri" w:eastAsia="Times New Roman" w:hAnsi="Calibri" w:cs="Calibri"/>
          <w:sz w:val="22"/>
          <w:szCs w:val="22"/>
          <w:u w:val="single"/>
          <w:shd w:val="clear" w:color="auto" w:fill="FAC08F"/>
        </w:rPr>
        <w:t>SAME</w:t>
      </w:r>
      <w:r>
        <w:rPr>
          <w:rFonts w:ascii="Calibri" w:eastAsia="Times New Roman" w:hAnsi="Calibri" w:cs="Calibri"/>
          <w:sz w:val="22"/>
          <w:szCs w:val="22"/>
          <w:shd w:val="clear" w:color="auto" w:fill="FAC08F"/>
        </w:rPr>
        <w:t xml:space="preserve"> on the balance sheet at their</w:t>
      </w:r>
      <w:r>
        <w:rPr>
          <w:rFonts w:ascii="Calibri" w:eastAsia="Times New Roman" w:hAnsi="Calibri" w:cs="Calibri"/>
          <w:sz w:val="22"/>
          <w:szCs w:val="22"/>
          <w:shd w:val="clear" w:color="auto" w:fill="FAC08F"/>
        </w:rPr>
        <w:t xml:space="preserve"> fair values.</w:t>
      </w:r>
      <w:r>
        <w:rPr>
          <w:rFonts w:ascii="Calibri" w:eastAsia="Times New Roman" w:hAnsi="Calibri" w:cs="Calibri"/>
          <w:sz w:val="22"/>
          <w:szCs w:val="22"/>
        </w:rPr>
        <w:t xml:space="preserve"> At year-end, the fair value is $75,000 [$75 per share × 1,000 shares]. For IS: a loss of $1,000 is recognized if securities are considered trading securities ($4 dividend × $1,000 shares) – ($5 unrealized loss × 1,000 shares); if investment i</w:t>
      </w:r>
      <w:r>
        <w:rPr>
          <w:rFonts w:ascii="Calibri" w:eastAsia="Times New Roman" w:hAnsi="Calibri" w:cs="Calibri"/>
          <w:sz w:val="22"/>
          <w:szCs w:val="22"/>
        </w:rPr>
        <w:t>s available-for-sale, $4,000 [$4 dividend × $1,000].</w:t>
      </w:r>
    </w:p>
    <w:p w14:paraId="217F16AE" w14:textId="77777777" w:rsidR="00000000" w:rsidRDefault="001875C9">
      <w:pPr>
        <w:numPr>
          <w:ilvl w:val="1"/>
          <w:numId w:val="9"/>
        </w:numPr>
        <w:textAlignment w:val="center"/>
        <w:rPr>
          <w:rFonts w:ascii="Calibri" w:eastAsia="Times New Roman" w:hAnsi="Calibri" w:cs="Calibri"/>
          <w:color w:val="000000"/>
          <w:sz w:val="22"/>
          <w:szCs w:val="22"/>
        </w:rPr>
      </w:pPr>
      <w:r>
        <w:rPr>
          <w:rFonts w:ascii="Calibri" w:eastAsia="Times New Roman" w:hAnsi="Calibri" w:cs="Calibri"/>
          <w:noProof/>
          <w:color w:val="000000"/>
          <w:sz w:val="22"/>
          <w:szCs w:val="22"/>
        </w:rPr>
        <w:drawing>
          <wp:inline distT="0" distB="0" distL="0" distR="0" wp14:anchorId="4777A3D5" wp14:editId="53D4F9AB">
            <wp:extent cx="594360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14:paraId="2395E6C8" w14:textId="77777777" w:rsidR="00000000" w:rsidRDefault="001875C9">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2C7B066A" wp14:editId="06B1DC90">
            <wp:extent cx="5943600" cy="18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p>
    <w:p w14:paraId="48C34AC4" w14:textId="77777777" w:rsidR="00000000" w:rsidRDefault="001875C9">
      <w:pPr>
        <w:numPr>
          <w:ilvl w:val="1"/>
          <w:numId w:val="10"/>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06741CC" wp14:editId="445425DF">
            <wp:extent cx="5200650" cy="180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180975"/>
                    </a:xfrm>
                    <a:prstGeom prst="rect">
                      <a:avLst/>
                    </a:prstGeom>
                    <a:noFill/>
                    <a:ln>
                      <a:noFill/>
                    </a:ln>
                  </pic:spPr>
                </pic:pic>
              </a:graphicData>
            </a:graphic>
          </wp:inline>
        </w:drawing>
      </w:r>
    </w:p>
    <w:p w14:paraId="07181F51" w14:textId="77777777" w:rsidR="00000000" w:rsidRDefault="001875C9">
      <w:pPr>
        <w:numPr>
          <w:ilvl w:val="1"/>
          <w:numId w:val="10"/>
        </w:numPr>
        <w:textAlignment w:val="center"/>
        <w:rPr>
          <w:rFonts w:ascii="Calibri" w:eastAsia="Times New Roman" w:hAnsi="Calibri" w:cs="Calibri"/>
          <w:sz w:val="22"/>
          <w:szCs w:val="22"/>
        </w:rPr>
      </w:pPr>
      <w:r>
        <w:rPr>
          <w:rFonts w:ascii="Calibri" w:eastAsia="Times New Roman" w:hAnsi="Calibri" w:cs="Calibri"/>
          <w:b/>
          <w:bCs/>
          <w:i/>
          <w:iCs/>
          <w:sz w:val="22"/>
          <w:szCs w:val="22"/>
        </w:rPr>
        <w:t>Inventories</w:t>
      </w:r>
      <w:r>
        <w:rPr>
          <w:rFonts w:ascii="Calibri" w:eastAsia="Times New Roman" w:hAnsi="Calibri" w:cs="Calibri"/>
          <w:sz w:val="22"/>
          <w:szCs w:val="22"/>
        </w:rPr>
        <w:t xml:space="preserve">: goods held for sale or use in manufacturing(raw material, work-in-process, finished goods)  </w:t>
      </w:r>
      <w:r>
        <w:rPr>
          <w:rFonts w:ascii="Calibri" w:eastAsia="Times New Roman" w:hAnsi="Calibri" w:cs="Calibri"/>
          <w:b/>
          <w:bCs/>
          <w:sz w:val="22"/>
          <w:szCs w:val="22"/>
        </w:rPr>
        <w:t xml:space="preserve">Product costs </w:t>
      </w:r>
      <w:r>
        <w:rPr>
          <w:rFonts w:ascii="Calibri" w:eastAsia="Times New Roman" w:hAnsi="Calibri" w:cs="Calibri"/>
          <w:sz w:val="22"/>
          <w:szCs w:val="22"/>
        </w:rPr>
        <w:t>(capitalize under BS): 1. purchase cost-dis</w:t>
      </w:r>
      <w:r>
        <w:rPr>
          <w:rFonts w:ascii="Calibri" w:eastAsia="Times New Roman" w:hAnsi="Calibri" w:cs="Calibri"/>
          <w:sz w:val="22"/>
          <w:szCs w:val="22"/>
        </w:rPr>
        <w:t xml:space="preserve">counts, 2. conversion of labor overhead, 3. delivery; </w:t>
      </w:r>
      <w:r>
        <w:rPr>
          <w:rFonts w:ascii="Calibri" w:eastAsia="Times New Roman" w:hAnsi="Calibri" w:cs="Calibri"/>
          <w:b/>
          <w:bCs/>
          <w:sz w:val="22"/>
          <w:szCs w:val="22"/>
        </w:rPr>
        <w:t>Period costs</w:t>
      </w:r>
      <w:r>
        <w:rPr>
          <w:rFonts w:ascii="Calibri" w:eastAsia="Times New Roman" w:hAnsi="Calibri" w:cs="Calibri"/>
          <w:sz w:val="22"/>
          <w:szCs w:val="22"/>
        </w:rPr>
        <w:t xml:space="preserve">(expense when incur): abnormal waste, storage cost(unless part of production process), administrative overhead, selling costs. </w:t>
      </w:r>
      <w:r>
        <w:rPr>
          <w:rFonts w:ascii="Calibri" w:eastAsia="Times New Roman" w:hAnsi="Calibri" w:cs="Calibri"/>
          <w:sz w:val="22"/>
          <w:szCs w:val="22"/>
          <w:shd w:val="clear" w:color="auto" w:fill="FAC08F"/>
        </w:rPr>
        <w:t>Lower of cost/NRV(IFRS); lower of cost/market(GAAP).</w:t>
      </w:r>
    </w:p>
    <w:p w14:paraId="43761F4C" w14:textId="77777777" w:rsidR="00000000" w:rsidRDefault="001875C9">
      <w:pPr>
        <w:numPr>
          <w:ilvl w:val="1"/>
          <w:numId w:val="10"/>
        </w:numPr>
        <w:textAlignment w:val="center"/>
        <w:rPr>
          <w:rFonts w:ascii="Calibri" w:eastAsia="Times New Roman" w:hAnsi="Calibri" w:cs="Calibri"/>
          <w:sz w:val="22"/>
          <w:szCs w:val="22"/>
        </w:rPr>
      </w:pPr>
      <w:r>
        <w:rPr>
          <w:rFonts w:ascii="Calibri" w:eastAsia="Times New Roman" w:hAnsi="Calibri" w:cs="Calibri"/>
          <w:sz w:val="22"/>
          <w:szCs w:val="22"/>
          <w:u w:val="single"/>
        </w:rPr>
        <w:t>Standard c</w:t>
      </w:r>
      <w:r>
        <w:rPr>
          <w:rFonts w:ascii="Calibri" w:eastAsia="Times New Roman" w:hAnsi="Calibri" w:cs="Calibri"/>
          <w:sz w:val="22"/>
          <w:szCs w:val="22"/>
          <w:u w:val="single"/>
        </w:rPr>
        <w:t>osting</w:t>
      </w:r>
      <w:r>
        <w:rPr>
          <w:rFonts w:ascii="Calibri" w:eastAsia="Times New Roman" w:hAnsi="Calibri" w:cs="Calibri"/>
          <w:sz w:val="22"/>
          <w:szCs w:val="22"/>
        </w:rPr>
        <w:t xml:space="preserve">: predetermined rate(manufacturing), </w:t>
      </w:r>
      <w:r>
        <w:rPr>
          <w:rFonts w:ascii="Calibri" w:eastAsia="Times New Roman" w:hAnsi="Calibri" w:cs="Calibri"/>
          <w:sz w:val="22"/>
          <w:szCs w:val="22"/>
          <w:u w:val="single"/>
        </w:rPr>
        <w:t>Retail method</w:t>
      </w:r>
      <w:r>
        <w:rPr>
          <w:rFonts w:ascii="Calibri" w:eastAsia="Times New Roman" w:hAnsi="Calibri" w:cs="Calibri"/>
          <w:sz w:val="22"/>
          <w:szCs w:val="22"/>
        </w:rPr>
        <w:t>: measure at retail - gross profit. LIFO is only permitted under US GAAP but not</w:t>
      </w:r>
      <w:r>
        <w:rPr>
          <w:rFonts w:ascii="Calibri" w:eastAsia="Times New Roman" w:hAnsi="Calibri" w:cs="Calibri"/>
          <w:sz w:val="22"/>
          <w:szCs w:val="22"/>
          <w:u w:val="single"/>
        </w:rPr>
        <w:t xml:space="preserve"> </w:t>
      </w:r>
      <w:r>
        <w:rPr>
          <w:rFonts w:ascii="Calibri" w:eastAsia="Times New Roman" w:hAnsi="Calibri" w:cs="Calibri"/>
          <w:sz w:val="22"/>
          <w:szCs w:val="22"/>
          <w:u w:val="single"/>
        </w:rPr>
        <w:t>IFRS(lower of cost or NRV), same or market cost when using LIFO or retail method to report inventories</w:t>
      </w:r>
      <w:r>
        <w:rPr>
          <w:rFonts w:ascii="Calibri" w:eastAsia="Times New Roman" w:hAnsi="Calibri" w:cs="Calibri"/>
          <w:sz w:val="22"/>
          <w:szCs w:val="22"/>
        </w:rPr>
        <w:t xml:space="preserve">. </w:t>
      </w:r>
      <w:r>
        <w:rPr>
          <w:rFonts w:ascii="Calibri" w:eastAsia="Times New Roman" w:hAnsi="Calibri" w:cs="Calibri"/>
          <w:sz w:val="22"/>
          <w:szCs w:val="22"/>
          <w:highlight w:val="yellow"/>
        </w:rPr>
        <w:t xml:space="preserve">Market is usually equal to replacement cost; however, market cost? cannot be greater than net realizable value or less than net realizable value less a </w:t>
      </w:r>
      <w:r>
        <w:rPr>
          <w:rFonts w:ascii="Calibri" w:eastAsia="Times New Roman" w:hAnsi="Calibri" w:cs="Calibri"/>
          <w:sz w:val="22"/>
          <w:szCs w:val="22"/>
          <w:highlight w:val="yellow"/>
        </w:rPr>
        <w:t xml:space="preserve">normal profit margin. </w:t>
      </w:r>
      <w:r>
        <w:rPr>
          <w:rFonts w:ascii="Calibri" w:eastAsia="Times New Roman" w:hAnsi="Calibri" w:cs="Calibri"/>
          <w:sz w:val="22"/>
          <w:szCs w:val="22"/>
        </w:rPr>
        <w:t xml:space="preserve">If net realizable value (IFRS) or market (U.S. GAAP) is less than the inventory’s carrying value, the inventory is written down &amp; loss in IS, </w:t>
      </w:r>
      <w:r>
        <w:rPr>
          <w:rFonts w:ascii="Calibri" w:eastAsia="Times New Roman" w:hAnsi="Calibri" w:cs="Calibri"/>
          <w:sz w:val="22"/>
          <w:szCs w:val="22"/>
          <w:u w:val="single"/>
        </w:rPr>
        <w:t>write-up is allowed in IFRS but not US GAAP</w:t>
      </w:r>
      <w:r>
        <w:rPr>
          <w:rFonts w:ascii="Calibri" w:eastAsia="Times New Roman" w:hAnsi="Calibri" w:cs="Calibri"/>
          <w:sz w:val="22"/>
          <w:szCs w:val="22"/>
        </w:rPr>
        <w:t xml:space="preserve">. </w:t>
      </w:r>
    </w:p>
    <w:p w14:paraId="259B7B48" w14:textId="77777777" w:rsidR="00000000" w:rsidRDefault="001875C9">
      <w:pPr>
        <w:numPr>
          <w:ilvl w:val="1"/>
          <w:numId w:val="11"/>
        </w:numPr>
        <w:textAlignment w:val="center"/>
        <w:rPr>
          <w:rFonts w:ascii="Calibri" w:eastAsia="Times New Roman" w:hAnsi="Calibri" w:cs="Calibri"/>
          <w:sz w:val="22"/>
          <w:szCs w:val="22"/>
        </w:rPr>
      </w:pPr>
      <w:r>
        <w:rPr>
          <w:rFonts w:ascii="Calibri" w:eastAsia="Times New Roman" w:hAnsi="Calibri" w:cs="Calibri"/>
          <w:b/>
          <w:bCs/>
          <w:i/>
          <w:iCs/>
          <w:sz w:val="22"/>
          <w:szCs w:val="22"/>
        </w:rPr>
        <w:t>Other</w:t>
      </w:r>
      <w:r>
        <w:rPr>
          <w:rFonts w:ascii="Calibri" w:eastAsia="Times New Roman" w:hAnsi="Calibri" w:cs="Calibri"/>
          <w:sz w:val="22"/>
          <w:szCs w:val="22"/>
        </w:rPr>
        <w:t xml:space="preserve"> current assets: prepaid expenses (operat</w:t>
      </w:r>
      <w:r>
        <w:rPr>
          <w:rFonts w:ascii="Calibri" w:eastAsia="Times New Roman" w:hAnsi="Calibri" w:cs="Calibri"/>
          <w:sz w:val="22"/>
          <w:szCs w:val="22"/>
        </w:rPr>
        <w:t>ing cost in IS paid in advance), deferred tax assets (temporary differences between financial report and tax report income, tax payable&gt;income tax exp)</w:t>
      </w:r>
    </w:p>
    <w:p w14:paraId="58D5365F" w14:textId="77777777" w:rsidR="00000000" w:rsidRDefault="001875C9">
      <w:pPr>
        <w:numPr>
          <w:ilvl w:val="1"/>
          <w:numId w:val="12"/>
        </w:numPr>
        <w:textAlignment w:val="center"/>
        <w:rPr>
          <w:rFonts w:ascii="Calibri" w:eastAsia="Times New Roman" w:hAnsi="Calibri" w:cs="Calibri"/>
          <w:sz w:val="22"/>
          <w:szCs w:val="22"/>
        </w:rPr>
      </w:pPr>
      <w:r>
        <w:rPr>
          <w:rFonts w:ascii="Calibri" w:eastAsia="Times New Roman" w:hAnsi="Calibri" w:cs="Calibri"/>
          <w:b/>
          <w:bCs/>
          <w:sz w:val="22"/>
          <w:szCs w:val="22"/>
        </w:rPr>
        <w:t>Current liabilities</w:t>
      </w:r>
      <w:r>
        <w:rPr>
          <w:rFonts w:ascii="Calibri" w:eastAsia="Times New Roman" w:hAnsi="Calibri" w:cs="Calibri"/>
          <w:sz w:val="22"/>
          <w:szCs w:val="22"/>
        </w:rPr>
        <w:t xml:space="preserve">: obligations 1yr, </w:t>
      </w:r>
      <w:r>
        <w:rPr>
          <w:rFonts w:ascii="Calibri" w:eastAsia="Times New Roman" w:hAnsi="Calibri" w:cs="Calibri"/>
          <w:sz w:val="22"/>
          <w:szCs w:val="22"/>
          <w:highlight w:val="yellow"/>
        </w:rPr>
        <w:t>held for trading</w:t>
      </w:r>
      <w:r>
        <w:rPr>
          <w:rFonts w:ascii="Calibri" w:eastAsia="Times New Roman" w:hAnsi="Calibri" w:cs="Calibri"/>
          <w:sz w:val="22"/>
          <w:szCs w:val="22"/>
        </w:rPr>
        <w:t xml:space="preserve"> purposes. </w:t>
      </w:r>
    </w:p>
    <w:p w14:paraId="0693C3B7" w14:textId="77777777" w:rsidR="00000000" w:rsidRDefault="001875C9">
      <w:pPr>
        <w:numPr>
          <w:ilvl w:val="2"/>
          <w:numId w:val="12"/>
        </w:numPr>
        <w:textAlignment w:val="center"/>
        <w:rPr>
          <w:rFonts w:ascii="Calibri" w:eastAsia="Times New Roman" w:hAnsi="Calibri" w:cs="Calibri"/>
          <w:sz w:val="22"/>
          <w:szCs w:val="22"/>
        </w:rPr>
      </w:pPr>
      <w:r>
        <w:rPr>
          <w:rFonts w:ascii="Calibri" w:eastAsia="Times New Roman" w:hAnsi="Calibri" w:cs="Calibri"/>
          <w:b/>
          <w:bCs/>
          <w:i/>
          <w:iCs/>
          <w:sz w:val="22"/>
          <w:szCs w:val="22"/>
        </w:rPr>
        <w:t>Accounts/trade payable</w:t>
      </w:r>
      <w:r>
        <w:rPr>
          <w:rFonts w:ascii="Calibri" w:eastAsia="Times New Roman" w:hAnsi="Calibri" w:cs="Calibri"/>
          <w:sz w:val="22"/>
          <w:szCs w:val="22"/>
        </w:rPr>
        <w:t>: FA buy on cred</w:t>
      </w:r>
      <w:r>
        <w:rPr>
          <w:rFonts w:ascii="Calibri" w:eastAsia="Times New Roman" w:hAnsi="Calibri" w:cs="Calibri"/>
          <w:sz w:val="22"/>
          <w:szCs w:val="22"/>
        </w:rPr>
        <w:t>it, owes vendors/suppliers for purchases of goods &amp; services</w:t>
      </w:r>
    </w:p>
    <w:p w14:paraId="6DC7F7DA" w14:textId="77777777" w:rsidR="00000000" w:rsidRDefault="001875C9">
      <w:pPr>
        <w:numPr>
          <w:ilvl w:val="2"/>
          <w:numId w:val="12"/>
        </w:numPr>
        <w:textAlignment w:val="center"/>
        <w:rPr>
          <w:rFonts w:ascii="Calibri" w:eastAsia="Times New Roman" w:hAnsi="Calibri" w:cs="Calibri"/>
          <w:sz w:val="22"/>
          <w:szCs w:val="22"/>
        </w:rPr>
      </w:pPr>
      <w:r>
        <w:rPr>
          <w:rFonts w:ascii="Calibri" w:eastAsia="Times New Roman" w:hAnsi="Calibri" w:cs="Calibri"/>
          <w:b/>
          <w:bCs/>
          <w:i/>
          <w:iCs/>
          <w:sz w:val="22"/>
          <w:szCs w:val="22"/>
        </w:rPr>
        <w:t>Notes payable and current portion of long-term debt</w:t>
      </w:r>
      <w:r>
        <w:rPr>
          <w:rFonts w:ascii="Calibri" w:eastAsia="Times New Roman" w:hAnsi="Calibri" w:cs="Calibri"/>
          <w:sz w:val="22"/>
          <w:szCs w:val="22"/>
        </w:rPr>
        <w:t>: FA financial liabilities thru loan agreements, promissory notes owned to creditors and lenders &lt;1yr [non-current liability if &gt;]</w:t>
      </w:r>
    </w:p>
    <w:p w14:paraId="2B7C6520" w14:textId="77777777" w:rsidR="00000000" w:rsidRDefault="001875C9">
      <w:pPr>
        <w:numPr>
          <w:ilvl w:val="2"/>
          <w:numId w:val="12"/>
        </w:numPr>
        <w:textAlignment w:val="center"/>
        <w:rPr>
          <w:rFonts w:ascii="Calibri" w:eastAsia="Times New Roman" w:hAnsi="Calibri" w:cs="Calibri"/>
          <w:sz w:val="22"/>
          <w:szCs w:val="22"/>
        </w:rPr>
      </w:pPr>
      <w:r>
        <w:rPr>
          <w:rFonts w:ascii="Calibri" w:eastAsia="Times New Roman" w:hAnsi="Calibri" w:cs="Calibri"/>
          <w:b/>
          <w:bCs/>
          <w:i/>
          <w:iCs/>
          <w:sz w:val="22"/>
          <w:szCs w:val="22"/>
        </w:rPr>
        <w:t>Accrued liabi</w:t>
      </w:r>
      <w:r>
        <w:rPr>
          <w:rFonts w:ascii="Calibri" w:eastAsia="Times New Roman" w:hAnsi="Calibri" w:cs="Calibri"/>
          <w:b/>
          <w:bCs/>
          <w:i/>
          <w:iCs/>
          <w:sz w:val="22"/>
          <w:szCs w:val="22"/>
        </w:rPr>
        <w:t>lities</w:t>
      </w:r>
      <w:r>
        <w:rPr>
          <w:rFonts w:ascii="Calibri" w:eastAsia="Times New Roman" w:hAnsi="Calibri" w:cs="Calibri"/>
          <w:sz w:val="22"/>
          <w:szCs w:val="22"/>
        </w:rPr>
        <w:t xml:space="preserve">: expense recognized in IS but not contractually due. And tax, interest, wages, warranty accrued payable of </w:t>
      </w:r>
      <w:r>
        <w:rPr>
          <w:rFonts w:ascii="Calibri" w:eastAsia="Times New Roman" w:hAnsi="Calibri" w:cs="Calibri"/>
          <w:sz w:val="22"/>
          <w:szCs w:val="22"/>
          <w:u w:val="single"/>
          <w:shd w:val="clear" w:color="auto" w:fill="FAC08F"/>
        </w:rPr>
        <w:t>estimate</w:t>
      </w:r>
      <w:r>
        <w:rPr>
          <w:rFonts w:ascii="Calibri" w:eastAsia="Times New Roman" w:hAnsi="Calibri" w:cs="Calibri"/>
          <w:sz w:val="22"/>
          <w:szCs w:val="22"/>
          <w:shd w:val="clear" w:color="auto" w:fill="FAC08F"/>
        </w:rPr>
        <w:t xml:space="preserve">. To recognize the </w:t>
      </w:r>
      <w:r>
        <w:rPr>
          <w:rFonts w:ascii="Calibri" w:eastAsia="Times New Roman" w:hAnsi="Calibri" w:cs="Calibri"/>
          <w:sz w:val="22"/>
          <w:szCs w:val="22"/>
          <w:shd w:val="clear" w:color="auto" w:fill="FAC08F"/>
        </w:rPr>
        <w:lastRenderedPageBreak/>
        <w:t xml:space="preserve">warranty expense, it must be probable, not just possible; future operating lease payments aren't reported BS. </w:t>
      </w:r>
    </w:p>
    <w:p w14:paraId="5E404B13" w14:textId="77777777" w:rsidR="00000000" w:rsidRDefault="001875C9">
      <w:pPr>
        <w:numPr>
          <w:ilvl w:val="2"/>
          <w:numId w:val="12"/>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B3DB21A" wp14:editId="38E68456">
            <wp:extent cx="5991225" cy="466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1225" cy="466725"/>
                    </a:xfrm>
                    <a:prstGeom prst="rect">
                      <a:avLst/>
                    </a:prstGeom>
                    <a:noFill/>
                    <a:ln>
                      <a:noFill/>
                    </a:ln>
                  </pic:spPr>
                </pic:pic>
              </a:graphicData>
            </a:graphic>
          </wp:inline>
        </w:drawing>
      </w:r>
    </w:p>
    <w:p w14:paraId="638CF88F" w14:textId="77777777" w:rsidR="00000000" w:rsidRDefault="001875C9">
      <w:pPr>
        <w:numPr>
          <w:ilvl w:val="1"/>
          <w:numId w:val="12"/>
        </w:numPr>
        <w:textAlignment w:val="center"/>
        <w:rPr>
          <w:rFonts w:ascii="Calibri" w:eastAsia="Times New Roman" w:hAnsi="Calibri" w:cs="Calibri"/>
          <w:sz w:val="22"/>
          <w:szCs w:val="22"/>
        </w:rPr>
      </w:pPr>
      <w:r>
        <w:rPr>
          <w:rFonts w:ascii="Calibri" w:eastAsia="Times New Roman" w:hAnsi="Calibri" w:cs="Calibri"/>
          <w:b/>
          <w:bCs/>
          <w:sz w:val="22"/>
          <w:szCs w:val="22"/>
        </w:rPr>
        <w:t>Noncurrent assets</w:t>
      </w:r>
      <w:r>
        <w:rPr>
          <w:rFonts w:ascii="Calibri" w:eastAsia="Times New Roman" w:hAnsi="Calibri" w:cs="Calibri"/>
          <w:sz w:val="22"/>
          <w:szCs w:val="22"/>
        </w:rPr>
        <w:t xml:space="preserve">: investing activities, tangible and intangible. </w:t>
      </w:r>
    </w:p>
    <w:p w14:paraId="32286BEE" w14:textId="77777777" w:rsidR="00000000" w:rsidRDefault="001875C9">
      <w:pPr>
        <w:numPr>
          <w:ilvl w:val="2"/>
          <w:numId w:val="12"/>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E6F9880" wp14:editId="1A3A6EB9">
            <wp:extent cx="603885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850" cy="1028700"/>
                    </a:xfrm>
                    <a:prstGeom prst="rect">
                      <a:avLst/>
                    </a:prstGeom>
                    <a:noFill/>
                    <a:ln>
                      <a:noFill/>
                    </a:ln>
                  </pic:spPr>
                </pic:pic>
              </a:graphicData>
            </a:graphic>
          </wp:inline>
        </w:drawing>
      </w:r>
    </w:p>
    <w:p w14:paraId="53C1451A" w14:textId="77777777" w:rsidR="00000000" w:rsidRDefault="001875C9">
      <w:pPr>
        <w:numPr>
          <w:ilvl w:val="2"/>
          <w:numId w:val="12"/>
        </w:numPr>
        <w:textAlignment w:val="center"/>
        <w:rPr>
          <w:rFonts w:ascii="Calibri" w:eastAsia="Times New Roman" w:hAnsi="Calibri" w:cs="Calibri"/>
          <w:sz w:val="22"/>
          <w:szCs w:val="22"/>
        </w:rPr>
      </w:pPr>
      <w:r>
        <w:rPr>
          <w:rFonts w:ascii="Calibri" w:eastAsia="Times New Roman" w:hAnsi="Calibri" w:cs="Calibri"/>
          <w:b/>
          <w:bCs/>
          <w:i/>
          <w:iCs/>
          <w:sz w:val="22"/>
          <w:szCs w:val="22"/>
        </w:rPr>
        <w:t>Investment property(tangible)</w:t>
      </w:r>
      <w:r>
        <w:rPr>
          <w:rFonts w:ascii="Calibri" w:eastAsia="Times New Roman" w:hAnsi="Calibri" w:cs="Calibri"/>
          <w:sz w:val="22"/>
          <w:szCs w:val="22"/>
        </w:rPr>
        <w:t xml:space="preserve">: generate rental income or capital appreciation, reported at amortized cost (= PP&amp;E) or fair value(changes in </w:t>
      </w:r>
      <w:r>
        <w:rPr>
          <w:rFonts w:ascii="Calibri" w:eastAsia="Times New Roman" w:hAnsi="Calibri" w:cs="Calibri"/>
          <w:b/>
          <w:bCs/>
          <w:sz w:val="22"/>
          <w:szCs w:val="22"/>
        </w:rPr>
        <w:t>fair value model</w:t>
      </w:r>
      <w:r>
        <w:rPr>
          <w:rFonts w:ascii="Calibri" w:eastAsia="Times New Roman" w:hAnsi="Calibri" w:cs="Calibri"/>
          <w:sz w:val="22"/>
          <w:szCs w:val="22"/>
        </w:rPr>
        <w:t xml:space="preserve"> is recognized in IS) for </w:t>
      </w:r>
      <w:r>
        <w:rPr>
          <w:rFonts w:ascii="Calibri" w:eastAsia="Times New Roman" w:hAnsi="Calibri" w:cs="Calibri"/>
          <w:b/>
          <w:bCs/>
          <w:sz w:val="22"/>
          <w:szCs w:val="22"/>
          <w:u w:val="single"/>
        </w:rPr>
        <w:t>IFRS</w:t>
      </w:r>
      <w:r>
        <w:rPr>
          <w:rFonts w:ascii="Calibri" w:eastAsia="Times New Roman" w:hAnsi="Calibri" w:cs="Calibri"/>
          <w:sz w:val="22"/>
          <w:szCs w:val="22"/>
        </w:rPr>
        <w:t xml:space="preserve">. US GAAP-NOTHING. </w:t>
      </w:r>
    </w:p>
    <w:p w14:paraId="3884E6C3" w14:textId="77777777" w:rsidR="00000000" w:rsidRDefault="001875C9">
      <w:pPr>
        <w:numPr>
          <w:ilvl w:val="2"/>
          <w:numId w:val="12"/>
        </w:numPr>
        <w:textAlignment w:val="center"/>
        <w:rPr>
          <w:rFonts w:ascii="Calibri" w:eastAsia="Times New Roman" w:hAnsi="Calibri" w:cs="Calibri"/>
          <w:sz w:val="22"/>
          <w:szCs w:val="22"/>
        </w:rPr>
      </w:pPr>
      <w:r>
        <w:rPr>
          <w:rFonts w:ascii="Calibri" w:eastAsia="Times New Roman" w:hAnsi="Calibri" w:cs="Calibri"/>
          <w:b/>
          <w:bCs/>
          <w:i/>
          <w:iCs/>
          <w:sz w:val="22"/>
          <w:szCs w:val="22"/>
        </w:rPr>
        <w:t>Intangible assets</w:t>
      </w:r>
      <w:r>
        <w:rPr>
          <w:rFonts w:ascii="Calibri" w:eastAsia="Times New Roman" w:hAnsi="Calibri" w:cs="Calibri"/>
          <w:sz w:val="22"/>
          <w:szCs w:val="22"/>
        </w:rPr>
        <w:t xml:space="preserve">: non-monetary assets lacking physical substance, either </w:t>
      </w:r>
      <w:r>
        <w:rPr>
          <w:rFonts w:ascii="Calibri" w:eastAsia="Times New Roman" w:hAnsi="Calibri" w:cs="Calibri"/>
          <w:b/>
          <w:bCs/>
          <w:sz w:val="22"/>
          <w:szCs w:val="22"/>
        </w:rPr>
        <w:t>identifiable(rights or privileges conveying, eg. Patents, trademarks, copyrights)</w:t>
      </w:r>
      <w:r>
        <w:rPr>
          <w:rFonts w:ascii="Calibri" w:eastAsia="Times New Roman" w:hAnsi="Calibri" w:cs="Calibri"/>
          <w:sz w:val="22"/>
          <w:szCs w:val="22"/>
        </w:rPr>
        <w:t xml:space="preserve"> or </w:t>
      </w:r>
      <w:r>
        <w:rPr>
          <w:rFonts w:ascii="Calibri" w:eastAsia="Times New Roman" w:hAnsi="Calibri" w:cs="Calibri"/>
          <w:b/>
          <w:bCs/>
          <w:sz w:val="22"/>
          <w:szCs w:val="22"/>
        </w:rPr>
        <w:t xml:space="preserve">unidentifiable eg. </w:t>
      </w:r>
      <w:r>
        <w:rPr>
          <w:rFonts w:ascii="Calibri" w:eastAsia="Times New Roman" w:hAnsi="Calibri" w:cs="Calibri"/>
          <w:b/>
          <w:bCs/>
          <w:sz w:val="22"/>
          <w:szCs w:val="22"/>
          <w:shd w:val="clear" w:color="auto" w:fill="FAC08F"/>
        </w:rPr>
        <w:t>Goodwill</w:t>
      </w:r>
      <w:r>
        <w:rPr>
          <w:rFonts w:ascii="Calibri" w:eastAsia="Times New Roman" w:hAnsi="Calibri" w:cs="Calibri"/>
          <w:sz w:val="22"/>
          <w:szCs w:val="22"/>
          <w:shd w:val="clear" w:color="auto" w:fill="FAC08F"/>
        </w:rPr>
        <w:t>[unl</w:t>
      </w:r>
      <w:r>
        <w:rPr>
          <w:rFonts w:ascii="Calibri" w:eastAsia="Times New Roman" w:hAnsi="Calibri" w:cs="Calibri"/>
          <w:sz w:val="22"/>
          <w:szCs w:val="22"/>
          <w:shd w:val="clear" w:color="auto" w:fill="FAC08F"/>
        </w:rPr>
        <w:t xml:space="preserve">imited life, excess of </w:t>
      </w:r>
      <w:r>
        <w:rPr>
          <w:rFonts w:ascii="Calibri" w:eastAsia="Times New Roman" w:hAnsi="Calibri" w:cs="Calibri"/>
          <w:sz w:val="22"/>
          <w:szCs w:val="22"/>
          <w:u w:val="single"/>
          <w:shd w:val="clear" w:color="auto" w:fill="FAC08F"/>
        </w:rPr>
        <w:t>purchase</w:t>
      </w:r>
      <w:r>
        <w:rPr>
          <w:rFonts w:ascii="Calibri" w:eastAsia="Times New Roman" w:hAnsi="Calibri" w:cs="Calibri"/>
          <w:sz w:val="22"/>
          <w:szCs w:val="22"/>
          <w:shd w:val="clear" w:color="auto" w:fill="FAC08F"/>
        </w:rPr>
        <w:t xml:space="preserve"> price - fair value in </w:t>
      </w:r>
      <w:r>
        <w:rPr>
          <w:rFonts w:ascii="Calibri" w:eastAsia="Times New Roman" w:hAnsi="Calibri" w:cs="Calibri"/>
          <w:sz w:val="22"/>
          <w:szCs w:val="22"/>
          <w:u w:val="single"/>
          <w:shd w:val="clear" w:color="auto" w:fill="FAC08F"/>
        </w:rPr>
        <w:t>acquisition</w:t>
      </w:r>
      <w:r>
        <w:rPr>
          <w:rFonts w:ascii="Calibri" w:eastAsia="Times New Roman" w:hAnsi="Calibri" w:cs="Calibri"/>
          <w:sz w:val="22"/>
          <w:szCs w:val="22"/>
          <w:shd w:val="clear" w:color="auto" w:fill="FAC08F"/>
        </w:rPr>
        <w:t>]</w:t>
      </w:r>
      <w:r>
        <w:rPr>
          <w:rFonts w:ascii="Calibri" w:eastAsia="Times New Roman" w:hAnsi="Calibri" w:cs="Calibri"/>
          <w:sz w:val="22"/>
          <w:szCs w:val="22"/>
        </w:rPr>
        <w:t xml:space="preserve"> Economic goodwill: expected future performance; Accounting goodwill: result of past buy acquisitions. </w:t>
      </w:r>
      <w:r>
        <w:rPr>
          <w:rFonts w:ascii="Calibri" w:eastAsia="Times New Roman" w:hAnsi="Calibri" w:cs="Calibri"/>
          <w:sz w:val="22"/>
          <w:szCs w:val="22"/>
          <w:highlight w:val="yellow"/>
        </w:rPr>
        <w:t xml:space="preserve">Purchased or amortized identifiable report, </w:t>
      </w:r>
      <w:r>
        <w:rPr>
          <w:rFonts w:ascii="Calibri" w:eastAsia="Times New Roman" w:hAnsi="Calibri" w:cs="Calibri"/>
          <w:sz w:val="22"/>
          <w:szCs w:val="22"/>
          <w:highlight w:val="yellow"/>
          <w:u w:val="single"/>
        </w:rPr>
        <w:t>like PP&amp;E</w:t>
      </w:r>
      <w:r>
        <w:rPr>
          <w:rFonts w:ascii="Calibri" w:eastAsia="Times New Roman" w:hAnsi="Calibri" w:cs="Calibri"/>
          <w:sz w:val="22"/>
          <w:szCs w:val="22"/>
          <w:highlight w:val="yellow"/>
        </w:rPr>
        <w:t>, by cost or revaluation method if</w:t>
      </w:r>
      <w:r>
        <w:rPr>
          <w:rFonts w:ascii="Calibri" w:eastAsia="Times New Roman" w:hAnsi="Calibri" w:cs="Calibri"/>
          <w:sz w:val="22"/>
          <w:szCs w:val="22"/>
          <w:highlight w:val="yellow"/>
        </w:rPr>
        <w:t xml:space="preserve"> active market(IFRS), </w:t>
      </w:r>
      <w:r>
        <w:rPr>
          <w:rFonts w:ascii="Calibri" w:eastAsia="Times New Roman" w:hAnsi="Calibri" w:cs="Calibri"/>
          <w:sz w:val="22"/>
          <w:szCs w:val="22"/>
          <w:shd w:val="clear" w:color="auto" w:fill="FAC08F"/>
        </w:rPr>
        <w:t>historical cost only(US GAAP)</w:t>
      </w:r>
      <w:r>
        <w:rPr>
          <w:rFonts w:ascii="Calibri" w:eastAsia="Times New Roman" w:hAnsi="Calibri" w:cs="Calibri"/>
          <w:sz w:val="22"/>
          <w:szCs w:val="22"/>
        </w:rPr>
        <w:t xml:space="preserve">. Intangible research &amp; development cost created internally: expense in US GAAP; IFRS 1expense during research stage but 2capitalize during development. </w:t>
      </w:r>
      <w:r>
        <w:rPr>
          <w:rFonts w:ascii="Calibri" w:eastAsia="Times New Roman" w:hAnsi="Calibri" w:cs="Calibri"/>
          <w:sz w:val="22"/>
          <w:szCs w:val="22"/>
          <w:highlight w:val="yellow"/>
        </w:rPr>
        <w:t>Intangible with infinite lives &amp;Goodwill aren't amor</w:t>
      </w:r>
      <w:r>
        <w:rPr>
          <w:rFonts w:ascii="Calibri" w:eastAsia="Times New Roman" w:hAnsi="Calibri" w:cs="Calibri"/>
          <w:sz w:val="22"/>
          <w:szCs w:val="22"/>
          <w:highlight w:val="yellow"/>
        </w:rPr>
        <w:t>tized, but tested impairment at least 1yr; if impaired, loss in IS.</w:t>
      </w:r>
      <w:r>
        <w:rPr>
          <w:rFonts w:ascii="Calibri" w:eastAsia="Times New Roman" w:hAnsi="Calibri" w:cs="Calibri"/>
          <w:sz w:val="22"/>
          <w:szCs w:val="22"/>
        </w:rPr>
        <w:t xml:space="preserve"> EXPENSE under IFRS&amp;USGAAP: </w:t>
      </w:r>
    </w:p>
    <w:p w14:paraId="5D95AB64" w14:textId="77777777" w:rsidR="00000000" w:rsidRDefault="001875C9">
      <w:pPr>
        <w:numPr>
          <w:ilvl w:val="3"/>
          <w:numId w:val="12"/>
        </w:numPr>
        <w:textAlignment w:val="center"/>
        <w:rPr>
          <w:rFonts w:ascii="Calibri" w:eastAsia="Times New Roman" w:hAnsi="Calibri" w:cs="Calibri"/>
          <w:sz w:val="22"/>
          <w:szCs w:val="22"/>
        </w:rPr>
      </w:pPr>
      <w:r>
        <w:rPr>
          <w:rFonts w:ascii="Calibri" w:eastAsia="Times New Roman" w:hAnsi="Calibri" w:cs="Calibri"/>
          <w:sz w:val="22"/>
          <w:szCs w:val="22"/>
        </w:rPr>
        <w:t xml:space="preserve">Start-up and training costs </w:t>
      </w:r>
    </w:p>
    <w:p w14:paraId="51DD1263" w14:textId="77777777" w:rsidR="00000000" w:rsidRDefault="001875C9">
      <w:pPr>
        <w:numPr>
          <w:ilvl w:val="3"/>
          <w:numId w:val="12"/>
        </w:numPr>
        <w:textAlignment w:val="center"/>
        <w:rPr>
          <w:rFonts w:ascii="Calibri" w:eastAsia="Times New Roman" w:hAnsi="Calibri" w:cs="Calibri"/>
          <w:sz w:val="22"/>
          <w:szCs w:val="22"/>
        </w:rPr>
      </w:pPr>
      <w:r>
        <w:rPr>
          <w:rFonts w:ascii="Calibri" w:eastAsia="Times New Roman" w:hAnsi="Calibri" w:cs="Calibri"/>
          <w:sz w:val="22"/>
          <w:szCs w:val="22"/>
        </w:rPr>
        <w:t>Administrative overhead</w:t>
      </w:r>
    </w:p>
    <w:p w14:paraId="291751DC" w14:textId="77777777" w:rsidR="00000000" w:rsidRDefault="001875C9">
      <w:pPr>
        <w:numPr>
          <w:ilvl w:val="3"/>
          <w:numId w:val="12"/>
        </w:numPr>
        <w:textAlignment w:val="center"/>
        <w:rPr>
          <w:rFonts w:ascii="Calibri" w:eastAsia="Times New Roman" w:hAnsi="Calibri" w:cs="Calibri"/>
          <w:sz w:val="22"/>
          <w:szCs w:val="22"/>
        </w:rPr>
      </w:pPr>
      <w:r>
        <w:rPr>
          <w:rFonts w:ascii="Calibri" w:eastAsia="Times New Roman" w:hAnsi="Calibri" w:cs="Calibri"/>
          <w:sz w:val="22"/>
          <w:szCs w:val="22"/>
        </w:rPr>
        <w:t>Advertising and promotion</w:t>
      </w:r>
    </w:p>
    <w:p w14:paraId="7EAC1BFE" w14:textId="77777777" w:rsidR="00000000" w:rsidRDefault="001875C9">
      <w:pPr>
        <w:numPr>
          <w:ilvl w:val="3"/>
          <w:numId w:val="12"/>
        </w:numPr>
        <w:textAlignment w:val="center"/>
        <w:rPr>
          <w:rFonts w:ascii="Calibri" w:eastAsia="Times New Roman" w:hAnsi="Calibri" w:cs="Calibri"/>
          <w:sz w:val="22"/>
          <w:szCs w:val="22"/>
        </w:rPr>
      </w:pPr>
      <w:r>
        <w:rPr>
          <w:rFonts w:ascii="Calibri" w:eastAsia="Times New Roman" w:hAnsi="Calibri" w:cs="Calibri"/>
          <w:sz w:val="22"/>
          <w:szCs w:val="22"/>
        </w:rPr>
        <w:t>Relocation and reorganization</w:t>
      </w:r>
    </w:p>
    <w:p w14:paraId="2BBACC85" w14:textId="77777777" w:rsidR="00000000" w:rsidRDefault="001875C9">
      <w:pPr>
        <w:numPr>
          <w:ilvl w:val="3"/>
          <w:numId w:val="12"/>
        </w:numPr>
        <w:textAlignment w:val="center"/>
        <w:rPr>
          <w:rFonts w:ascii="Calibri" w:eastAsia="Times New Roman" w:hAnsi="Calibri" w:cs="Calibri"/>
          <w:sz w:val="22"/>
          <w:szCs w:val="22"/>
        </w:rPr>
      </w:pPr>
      <w:r>
        <w:rPr>
          <w:rFonts w:ascii="Calibri" w:eastAsia="Times New Roman" w:hAnsi="Calibri" w:cs="Calibri"/>
          <w:sz w:val="22"/>
          <w:szCs w:val="22"/>
        </w:rPr>
        <w:t>Termination costs</w:t>
      </w:r>
    </w:p>
    <w:p w14:paraId="3844DDDD" w14:textId="77777777" w:rsidR="00000000" w:rsidRDefault="001875C9">
      <w:pPr>
        <w:numPr>
          <w:ilvl w:val="1"/>
          <w:numId w:val="12"/>
        </w:numPr>
        <w:textAlignment w:val="center"/>
        <w:rPr>
          <w:rFonts w:ascii="Calibri" w:eastAsia="Times New Roman" w:hAnsi="Calibri" w:cs="Calibri"/>
          <w:sz w:val="22"/>
          <w:szCs w:val="22"/>
        </w:rPr>
      </w:pPr>
      <w:r>
        <w:rPr>
          <w:rFonts w:ascii="Calibri" w:eastAsia="Times New Roman" w:hAnsi="Calibri" w:cs="Calibri"/>
          <w:b/>
          <w:bCs/>
          <w:sz w:val="22"/>
          <w:szCs w:val="22"/>
        </w:rPr>
        <w:t>Noncurrent liabilities</w:t>
      </w:r>
      <w:r>
        <w:rPr>
          <w:rFonts w:ascii="Calibri" w:eastAsia="Times New Roman" w:hAnsi="Calibri" w:cs="Calibri"/>
          <w:sz w:val="22"/>
          <w:szCs w:val="22"/>
        </w:rPr>
        <w:t xml:space="preserve">: </w:t>
      </w:r>
      <w:r>
        <w:rPr>
          <w:rFonts w:ascii="Calibri" w:eastAsia="Times New Roman" w:hAnsi="Calibri" w:cs="Calibri"/>
          <w:sz w:val="22"/>
          <w:szCs w:val="22"/>
        </w:rPr>
        <w:t>long-term financing activities</w:t>
      </w:r>
    </w:p>
    <w:p w14:paraId="45002F11" w14:textId="77777777" w:rsidR="00000000" w:rsidRDefault="001875C9">
      <w:pPr>
        <w:numPr>
          <w:ilvl w:val="2"/>
          <w:numId w:val="12"/>
        </w:numPr>
        <w:textAlignment w:val="center"/>
        <w:rPr>
          <w:rFonts w:ascii="Calibri" w:eastAsia="Times New Roman" w:hAnsi="Calibri" w:cs="Calibri"/>
          <w:sz w:val="22"/>
          <w:szCs w:val="22"/>
        </w:rPr>
      </w:pPr>
      <w:r>
        <w:rPr>
          <w:rFonts w:ascii="Calibri" w:eastAsia="Times New Roman" w:hAnsi="Calibri" w:cs="Calibri"/>
          <w:b/>
          <w:bCs/>
          <w:i/>
          <w:iCs/>
          <w:sz w:val="22"/>
          <w:szCs w:val="22"/>
        </w:rPr>
        <w:t>Long-term financial liabilities</w:t>
      </w:r>
      <w:r>
        <w:rPr>
          <w:rFonts w:ascii="Calibri" w:eastAsia="Times New Roman" w:hAnsi="Calibri" w:cs="Calibri"/>
          <w:sz w:val="22"/>
          <w:szCs w:val="22"/>
        </w:rPr>
        <w:t xml:space="preserve">: bank loans, notes payable, bonds payable, derivatives. FL not issue at face value report @amortized cost; held-for-trading short-term FL report @fair value. </w:t>
      </w:r>
    </w:p>
    <w:p w14:paraId="331A7977" w14:textId="77777777" w:rsidR="00000000" w:rsidRDefault="001875C9">
      <w:pPr>
        <w:numPr>
          <w:ilvl w:val="2"/>
          <w:numId w:val="12"/>
        </w:numPr>
        <w:textAlignment w:val="center"/>
        <w:rPr>
          <w:rFonts w:ascii="Calibri" w:eastAsia="Times New Roman" w:hAnsi="Calibri" w:cs="Calibri"/>
          <w:sz w:val="22"/>
          <w:szCs w:val="22"/>
        </w:rPr>
      </w:pPr>
      <w:r>
        <w:rPr>
          <w:rFonts w:ascii="Calibri" w:eastAsia="Times New Roman" w:hAnsi="Calibri" w:cs="Calibri"/>
          <w:b/>
          <w:bCs/>
          <w:i/>
          <w:iCs/>
          <w:sz w:val="22"/>
          <w:szCs w:val="22"/>
        </w:rPr>
        <w:t>Deferred tax liabilities</w:t>
      </w:r>
      <w:r>
        <w:rPr>
          <w:rFonts w:ascii="Calibri" w:eastAsia="Times New Roman" w:hAnsi="Calibri" w:cs="Calibri"/>
          <w:sz w:val="22"/>
          <w:szCs w:val="22"/>
        </w:rPr>
        <w:t xml:space="preserve"> = tax exp</w:t>
      </w:r>
      <w:r>
        <w:rPr>
          <w:rFonts w:ascii="Calibri" w:eastAsia="Times New Roman" w:hAnsi="Calibri" w:cs="Calibri"/>
          <w:sz w:val="22"/>
          <w:szCs w:val="22"/>
        </w:rPr>
        <w:t>ense in IS &gt; taxes payable</w:t>
      </w:r>
    </w:p>
    <w:p w14:paraId="19B29F5A" w14:textId="77777777" w:rsidR="00000000" w:rsidRDefault="001875C9">
      <w:pPr>
        <w:numPr>
          <w:ilvl w:val="1"/>
          <w:numId w:val="13"/>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components of shareholders’ equity</w:t>
      </w:r>
    </w:p>
    <w:p w14:paraId="7498005B" w14:textId="77777777" w:rsidR="00000000" w:rsidRDefault="001875C9">
      <w:pPr>
        <w:numPr>
          <w:ilvl w:val="1"/>
          <w:numId w:val="14"/>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4EB66B60" wp14:editId="4742163E">
            <wp:extent cx="6381750" cy="35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0" cy="352425"/>
                    </a:xfrm>
                    <a:prstGeom prst="rect">
                      <a:avLst/>
                    </a:prstGeom>
                    <a:noFill/>
                    <a:ln>
                      <a:noFill/>
                    </a:ln>
                  </pic:spPr>
                </pic:pic>
              </a:graphicData>
            </a:graphic>
          </wp:inline>
        </w:drawing>
      </w:r>
    </w:p>
    <w:p w14:paraId="065299E6" w14:textId="77777777" w:rsidR="00000000" w:rsidRDefault="001875C9">
      <w:pPr>
        <w:numPr>
          <w:ilvl w:val="1"/>
          <w:numId w:val="14"/>
        </w:numPr>
        <w:textAlignment w:val="center"/>
        <w:rPr>
          <w:rFonts w:ascii="Calibri" w:eastAsia="Times New Roman" w:hAnsi="Calibri" w:cs="Calibri"/>
          <w:sz w:val="22"/>
          <w:szCs w:val="22"/>
        </w:rPr>
      </w:pPr>
      <w:r>
        <w:rPr>
          <w:rFonts w:ascii="Calibri" w:eastAsia="Times New Roman" w:hAnsi="Calibri" w:cs="Calibri"/>
          <w:b/>
          <w:bCs/>
          <w:sz w:val="22"/>
          <w:szCs w:val="22"/>
        </w:rPr>
        <w:t>Preferred stock</w:t>
      </w:r>
      <w:r>
        <w:rPr>
          <w:rFonts w:ascii="Calibri" w:eastAsia="Times New Roman" w:hAnsi="Calibri" w:cs="Calibri"/>
          <w:sz w:val="22"/>
          <w:szCs w:val="22"/>
        </w:rPr>
        <w:t xml:space="preserve">: certain rights and privileges(early claim) not conferred by common stock, having dividends. Perpetual non-redeemable pf classified as </w:t>
      </w:r>
      <w:r>
        <w:rPr>
          <w:rFonts w:ascii="Calibri" w:eastAsia="Times New Roman" w:hAnsi="Calibri" w:cs="Calibri"/>
          <w:b/>
          <w:bCs/>
          <w:sz w:val="22"/>
          <w:szCs w:val="22"/>
          <w:u w:val="single"/>
        </w:rPr>
        <w:t>debt OR equ</w:t>
      </w:r>
      <w:r>
        <w:rPr>
          <w:rFonts w:ascii="Calibri" w:eastAsia="Times New Roman" w:hAnsi="Calibri" w:cs="Calibri"/>
          <w:b/>
          <w:bCs/>
          <w:sz w:val="22"/>
          <w:szCs w:val="22"/>
          <w:u w:val="single"/>
        </w:rPr>
        <w:t>ity</w:t>
      </w:r>
      <w:r>
        <w:rPr>
          <w:rFonts w:ascii="Calibri" w:eastAsia="Times New Roman" w:hAnsi="Calibri" w:cs="Calibri"/>
          <w:sz w:val="22"/>
          <w:szCs w:val="22"/>
        </w:rPr>
        <w:t xml:space="preserve">: pf calls for mandatory redemption is FL. </w:t>
      </w:r>
    </w:p>
    <w:p w14:paraId="29E6C354" w14:textId="77777777" w:rsidR="00000000" w:rsidRDefault="001875C9">
      <w:pPr>
        <w:numPr>
          <w:ilvl w:val="1"/>
          <w:numId w:val="14"/>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4D5C3698" wp14:editId="65A73889">
            <wp:extent cx="6315075" cy="180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5075" cy="180975"/>
                    </a:xfrm>
                    <a:prstGeom prst="rect">
                      <a:avLst/>
                    </a:prstGeom>
                    <a:noFill/>
                    <a:ln>
                      <a:noFill/>
                    </a:ln>
                  </pic:spPr>
                </pic:pic>
              </a:graphicData>
            </a:graphic>
          </wp:inline>
        </w:drawing>
      </w:r>
    </w:p>
    <w:p w14:paraId="14E03EE4" w14:textId="77777777" w:rsidR="00000000" w:rsidRDefault="001875C9">
      <w:pPr>
        <w:numPr>
          <w:ilvl w:val="1"/>
          <w:numId w:val="14"/>
        </w:numPr>
        <w:textAlignment w:val="center"/>
        <w:rPr>
          <w:rFonts w:ascii="Calibri" w:eastAsia="Times New Roman" w:hAnsi="Calibri" w:cs="Calibri"/>
          <w:sz w:val="22"/>
          <w:szCs w:val="22"/>
        </w:rPr>
      </w:pPr>
      <w:r>
        <w:rPr>
          <w:rFonts w:ascii="Calibri" w:eastAsia="Times New Roman" w:hAnsi="Calibri" w:cs="Calibri"/>
          <w:b/>
          <w:bCs/>
          <w:sz w:val="22"/>
          <w:szCs w:val="22"/>
        </w:rPr>
        <w:t>Retained earnings</w:t>
      </w:r>
      <w:r>
        <w:rPr>
          <w:rFonts w:ascii="Calibri" w:eastAsia="Times New Roman" w:hAnsi="Calibri" w:cs="Calibri"/>
          <w:sz w:val="22"/>
          <w:szCs w:val="22"/>
        </w:rPr>
        <w:t xml:space="preserve">: undistributed net income since inception, cumulative earnings before paid as dividends. </w:t>
      </w:r>
    </w:p>
    <w:p w14:paraId="79D96E57" w14:textId="77777777" w:rsidR="00000000" w:rsidRDefault="001875C9">
      <w:pPr>
        <w:numPr>
          <w:ilvl w:val="1"/>
          <w:numId w:val="14"/>
        </w:numPr>
        <w:textAlignment w:val="center"/>
        <w:rPr>
          <w:rFonts w:ascii="Calibri" w:eastAsia="Times New Roman" w:hAnsi="Calibri" w:cs="Calibri"/>
          <w:sz w:val="22"/>
          <w:szCs w:val="22"/>
        </w:rPr>
      </w:pPr>
      <w:r>
        <w:rPr>
          <w:rFonts w:ascii="Calibri" w:eastAsia="Times New Roman" w:hAnsi="Calibri" w:cs="Calibri"/>
          <w:b/>
          <w:bCs/>
          <w:sz w:val="22"/>
          <w:szCs w:val="22"/>
        </w:rPr>
        <w:t>Noncontr</w:t>
      </w:r>
      <w:r>
        <w:rPr>
          <w:rFonts w:ascii="Calibri" w:eastAsia="Times New Roman" w:hAnsi="Calibri" w:cs="Calibri"/>
          <w:b/>
          <w:bCs/>
          <w:sz w:val="22"/>
          <w:szCs w:val="22"/>
        </w:rPr>
        <w:t>olling interest</w:t>
      </w:r>
      <w:r>
        <w:rPr>
          <w:rFonts w:ascii="Calibri" w:eastAsia="Times New Roman" w:hAnsi="Calibri" w:cs="Calibri"/>
          <w:sz w:val="22"/>
          <w:szCs w:val="22"/>
        </w:rPr>
        <w:t xml:space="preserve"> aka minority interest: minority' pro-rate share of net assets/equity of a subsidiary. </w:t>
      </w:r>
    </w:p>
    <w:p w14:paraId="256B04AE" w14:textId="77777777" w:rsidR="00000000" w:rsidRDefault="001875C9">
      <w:pPr>
        <w:numPr>
          <w:ilvl w:val="1"/>
          <w:numId w:val="14"/>
        </w:numPr>
        <w:textAlignment w:val="center"/>
        <w:rPr>
          <w:rFonts w:ascii="Calibri" w:eastAsia="Times New Roman" w:hAnsi="Calibri" w:cs="Calibri"/>
          <w:sz w:val="22"/>
          <w:szCs w:val="22"/>
        </w:rPr>
      </w:pPr>
      <w:r>
        <w:rPr>
          <w:rFonts w:ascii="Calibri" w:eastAsia="Times New Roman" w:hAnsi="Calibri" w:cs="Calibri"/>
          <w:b/>
          <w:bCs/>
          <w:sz w:val="22"/>
          <w:szCs w:val="22"/>
        </w:rPr>
        <w:t xml:space="preserve">Accumulated other comprehensive income </w:t>
      </w:r>
      <w:r>
        <w:rPr>
          <w:rFonts w:ascii="Calibri" w:eastAsia="Times New Roman" w:hAnsi="Calibri" w:cs="Calibri"/>
          <w:sz w:val="22"/>
          <w:szCs w:val="22"/>
        </w:rPr>
        <w:t>includes all changes in stockholders’ equity except for transactions recognized as net income in IS and transactio</w:t>
      </w:r>
      <w:r>
        <w:rPr>
          <w:rFonts w:ascii="Calibri" w:eastAsia="Times New Roman" w:hAnsi="Calibri" w:cs="Calibri"/>
          <w:sz w:val="22"/>
          <w:szCs w:val="22"/>
        </w:rPr>
        <w:t>ns with shareholders(i.e., unrealized gains and losses from available-for-sale securities, cash flow hedging derivatives, foreign currency translation, and adjustments for minimum pension liability). CI = NI + OCI</w:t>
      </w:r>
    </w:p>
    <w:p w14:paraId="159F5178"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5B30DF5F" wp14:editId="7CF62629">
            <wp:extent cx="4448175" cy="2914650"/>
            <wp:effectExtent l="0" t="0" r="9525" b="0"/>
            <wp:docPr id="11" name="Picture 11" descr="Retained &#10;Common &#10;Beginning balance &#10;Net income &#10;Net unrealized loss on &#10;available-for-sale securities &#10;Net unrealized loss on cash &#10;flow hedges &#10;Minimum pension liability &#10;Cumulative translation &#10;adjustment &#10;Comprehensive income &#10;Issuance of common stock &#10;Repurchases of common stock &#10;Dividends &#10;Ending balance &#10;Stock &#10;S49,234 &#10;1 ,282 &#10;(6,200) &#10;S44 316 &#10;Earnings &#10;(in thousands) &#10;$26 , 664 &#10;6,994 &#10;(2.360) &#10;$31 298 &#10;Accumulated &#10;Other &#10;Comprehensive &#10;Income (loss) &#10;(S406) &#10;(40) &#10;(56) &#10;(26) &#10;42 &#10;(S486) &#10;Total &#10;$75,492 &#10;6,994 &#10;(40) &#10;(56) &#10;(26) &#10;42 &#10;6,914 &#10;1,282 &#10;(6,200) &#10;(2.360) &#10;$75 12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ained &#10;Common &#10;Beginning balance &#10;Net income &#10;Net unrealized loss on &#10;available-for-sale securities &#10;Net unrealized loss on cash &#10;flow hedges &#10;Minimum pension liability &#10;Cumulative translation &#10;adjustment &#10;Comprehensive income &#10;Issuance of common stock &#10;Repurchases of common stock &#10;Dividends &#10;Ending balance &#10;Stock &#10;S49,234 &#10;1 ,282 &#10;(6,200) &#10;S44 316 &#10;Earnings &#10;(in thousands) &#10;$26 , 664 &#10;6,994 &#10;(2.360) &#10;$31 298 &#10;Accumulated &#10;Other &#10;Comprehensive &#10;Income (loss) &#10;(S406) &#10;(40) &#10;(56) &#10;(26) &#10;42 &#10;(S486) &#10;Total &#10;$75,492 &#10;6,994 &#10;(40) &#10;(56) &#10;(26) &#10;42 &#10;6,914 &#10;1,282 &#10;(6,200) &#10;(2.360) &#10;$75 128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75" cy="2914650"/>
                    </a:xfrm>
                    <a:prstGeom prst="rect">
                      <a:avLst/>
                    </a:prstGeom>
                    <a:noFill/>
                    <a:ln>
                      <a:noFill/>
                    </a:ln>
                  </pic:spPr>
                </pic:pic>
              </a:graphicData>
            </a:graphic>
          </wp:inline>
        </w:drawing>
      </w:r>
    </w:p>
    <w:p w14:paraId="1C051C4C" w14:textId="77777777" w:rsidR="00000000" w:rsidRDefault="001875C9">
      <w:pPr>
        <w:numPr>
          <w:ilvl w:val="1"/>
          <w:numId w:val="1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Convert </w:t>
      </w:r>
      <w:r>
        <w:rPr>
          <w:rFonts w:ascii="Calibri" w:eastAsia="Times New Roman" w:hAnsi="Calibri" w:cs="Calibri"/>
          <w:color w:val="2E75B5"/>
          <w:sz w:val="22"/>
          <w:szCs w:val="22"/>
        </w:rPr>
        <w:t>balance sheets to common-size balance sheets and interpret common-size balance sheets</w:t>
      </w:r>
    </w:p>
    <w:p w14:paraId="0B1B4FD4" w14:textId="77777777" w:rsidR="00000000" w:rsidRDefault="001875C9">
      <w:pPr>
        <w:numPr>
          <w:ilvl w:val="1"/>
          <w:numId w:val="16"/>
        </w:numPr>
        <w:textAlignment w:val="center"/>
        <w:rPr>
          <w:rFonts w:ascii="Calibri" w:eastAsia="Times New Roman" w:hAnsi="Calibri" w:cs="Calibri"/>
          <w:sz w:val="22"/>
          <w:szCs w:val="22"/>
        </w:rPr>
      </w:pPr>
      <w:r>
        <w:rPr>
          <w:rFonts w:ascii="Calibri" w:eastAsia="Times New Roman" w:hAnsi="Calibri" w:cs="Calibri"/>
          <w:sz w:val="22"/>
          <w:szCs w:val="22"/>
        </w:rPr>
        <w:t xml:space="preserve">Vertical common-sized BS express as a percentage of </w:t>
      </w:r>
      <w:r>
        <w:rPr>
          <w:rFonts w:ascii="Calibri" w:eastAsia="Times New Roman" w:hAnsi="Calibri" w:cs="Calibri"/>
          <w:b/>
          <w:bCs/>
          <w:sz w:val="22"/>
          <w:szCs w:val="22"/>
          <w:u w:val="single"/>
        </w:rPr>
        <w:t>total assets</w:t>
      </w:r>
      <w:r>
        <w:rPr>
          <w:rFonts w:ascii="Calibri" w:eastAsia="Times New Roman" w:hAnsi="Calibri" w:cs="Calibri"/>
          <w:sz w:val="22"/>
          <w:szCs w:val="22"/>
        </w:rPr>
        <w:t>, for time-series analysis or cross-sectional comparison across firms. Investment returns on working capit</w:t>
      </w:r>
      <w:r>
        <w:rPr>
          <w:rFonts w:ascii="Calibri" w:eastAsia="Times New Roman" w:hAnsi="Calibri" w:cs="Calibri"/>
          <w:sz w:val="22"/>
          <w:szCs w:val="22"/>
        </w:rPr>
        <w:t>al are usually &lt; returns on long-term assets.</w:t>
      </w:r>
    </w:p>
    <w:p w14:paraId="31D21EAE" w14:textId="77777777" w:rsidR="00000000" w:rsidRDefault="001875C9">
      <w:pPr>
        <w:numPr>
          <w:ilvl w:val="1"/>
          <w:numId w:val="1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Calculate and interpret liquidity and solvency ratios </w:t>
      </w:r>
    </w:p>
    <w:p w14:paraId="64EFC88F" w14:textId="77777777" w:rsidR="00000000" w:rsidRDefault="001875C9">
      <w:pPr>
        <w:numPr>
          <w:ilvl w:val="1"/>
          <w:numId w:val="18"/>
        </w:numPr>
        <w:textAlignment w:val="center"/>
        <w:rPr>
          <w:rFonts w:ascii="Calibri" w:eastAsia="Times New Roman" w:hAnsi="Calibri" w:cs="Calibri"/>
          <w:sz w:val="22"/>
          <w:szCs w:val="22"/>
        </w:rPr>
      </w:pPr>
      <w:r>
        <w:rPr>
          <w:rFonts w:ascii="Calibri" w:eastAsia="Times New Roman" w:hAnsi="Calibri" w:cs="Calibri"/>
          <w:b/>
          <w:bCs/>
          <w:sz w:val="22"/>
          <w:szCs w:val="22"/>
        </w:rPr>
        <w:t>Liquidity</w:t>
      </w:r>
      <w:r>
        <w:rPr>
          <w:rFonts w:ascii="Calibri" w:eastAsia="Times New Roman" w:hAnsi="Calibri" w:cs="Calibri"/>
          <w:sz w:val="22"/>
          <w:szCs w:val="22"/>
        </w:rPr>
        <w:t xml:space="preserve"> ratios(current ratio, quick ratio, cash ratio) measure firm’s ability to satisfy </w:t>
      </w:r>
      <w:r>
        <w:rPr>
          <w:rFonts w:ascii="Calibri" w:eastAsia="Times New Roman" w:hAnsi="Calibri" w:cs="Calibri"/>
          <w:sz w:val="22"/>
          <w:szCs w:val="22"/>
          <w:u w:val="single"/>
        </w:rPr>
        <w:t>short</w:t>
      </w:r>
      <w:r>
        <w:rPr>
          <w:rFonts w:ascii="Calibri" w:eastAsia="Times New Roman" w:hAnsi="Calibri" w:cs="Calibri"/>
          <w:sz w:val="22"/>
          <w:szCs w:val="22"/>
        </w:rPr>
        <w:t>-term obligations. Quick ratio(aka acid-test ratio) exclude</w:t>
      </w:r>
      <w:r>
        <w:rPr>
          <w:rFonts w:ascii="Calibri" w:eastAsia="Times New Roman" w:hAnsi="Calibri" w:cs="Calibri"/>
          <w:sz w:val="22"/>
          <w:szCs w:val="22"/>
        </w:rPr>
        <w:t xml:space="preserve">s inventory from CA; Cash ratio excludes inventory &amp;A/R. </w:t>
      </w:r>
      <w:r>
        <w:rPr>
          <w:rFonts w:ascii="Calibri" w:eastAsia="Times New Roman" w:hAnsi="Calibri" w:cs="Calibri"/>
          <w:b/>
          <w:bCs/>
          <w:sz w:val="22"/>
          <w:szCs w:val="22"/>
        </w:rPr>
        <w:t>Solvency</w:t>
      </w:r>
      <w:r>
        <w:rPr>
          <w:rFonts w:ascii="Calibri" w:eastAsia="Times New Roman" w:hAnsi="Calibri" w:cs="Calibri"/>
          <w:sz w:val="22"/>
          <w:szCs w:val="22"/>
        </w:rPr>
        <w:t xml:space="preserve"> ratios(</w:t>
      </w:r>
      <w:r>
        <w:rPr>
          <w:rFonts w:ascii="Calibri" w:eastAsia="Times New Roman" w:hAnsi="Calibri" w:cs="Calibri"/>
          <w:sz w:val="22"/>
          <w:szCs w:val="22"/>
          <w:u w:val="single"/>
        </w:rPr>
        <w:t>long</w:t>
      </w:r>
      <w:r>
        <w:rPr>
          <w:rFonts w:ascii="Calibri" w:eastAsia="Times New Roman" w:hAnsi="Calibri" w:cs="Calibri"/>
          <w:sz w:val="22"/>
          <w:szCs w:val="22"/>
        </w:rPr>
        <w:t>-term debt-to-equity, total debt-to-equity, debt ratio, financial leverage ratio) measures firm's ability to satisfy long-term obligations. Financial leverage ratio captures the i</w:t>
      </w:r>
      <w:r>
        <w:rPr>
          <w:rFonts w:ascii="Calibri" w:eastAsia="Times New Roman" w:hAnsi="Calibri" w:cs="Calibri"/>
          <w:sz w:val="22"/>
          <w:szCs w:val="22"/>
        </w:rPr>
        <w:t>mpact of</w:t>
      </w:r>
      <w:r>
        <w:rPr>
          <w:rFonts w:ascii="Calibri" w:eastAsia="Times New Roman" w:hAnsi="Calibri" w:cs="Calibri"/>
          <w:sz w:val="22"/>
          <w:szCs w:val="22"/>
          <w:u w:val="single"/>
        </w:rPr>
        <w:t xml:space="preserve"> all obligations, both interest bearing and non-interest bearing</w:t>
      </w:r>
      <w:r>
        <w:rPr>
          <w:rFonts w:ascii="Calibri" w:eastAsia="Times New Roman" w:hAnsi="Calibri" w:cs="Calibri"/>
          <w:sz w:val="22"/>
          <w:szCs w:val="22"/>
        </w:rPr>
        <w:t xml:space="preserve">. </w:t>
      </w:r>
    </w:p>
    <w:p w14:paraId="5DEDFD80" w14:textId="77777777" w:rsidR="00000000" w:rsidRDefault="001875C9">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0A22ED42" wp14:editId="78F4A1EA">
            <wp:extent cx="3571875" cy="942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942975"/>
                    </a:xfrm>
                    <a:prstGeom prst="rect">
                      <a:avLst/>
                    </a:prstGeom>
                    <a:noFill/>
                    <a:ln>
                      <a:noFill/>
                    </a:ln>
                  </pic:spPr>
                </pic:pic>
              </a:graphicData>
            </a:graphic>
          </wp:inline>
        </w:drawing>
      </w:r>
    </w:p>
    <w:p w14:paraId="0E22F264" w14:textId="77777777" w:rsidR="00000000" w:rsidRDefault="001875C9">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5BF47CE6" wp14:editId="4D687D2A">
            <wp:extent cx="3724275" cy="2371725"/>
            <wp:effectExtent l="0" t="0" r="9525" b="9525"/>
            <wp:docPr id="13" name="Picture 13" descr="pa//ôV(Zg SJeÓ¯ &#10;L51Ä-S— &#10;Cűgtä &#10;g coŕt &#10;9w12 &#10;Iwřop rq*-řo &#10;Cash revf-řo &#10;deb± &#10;tčnnvvôd leveĺapr &#10;twf-ôo &#10;coorneo-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ôV(Zg SJeÓ¯ &#10;L51Ä-S— &#10;Cűgtä &#10;g coŕt &#10;9w12 &#10;Iwřop rq*-řo &#10;Cash revf-řo &#10;deb± &#10;tčnnvvôd leveĺapr &#10;twf-ôo &#10;coorneo-ř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4275" cy="2371725"/>
                    </a:xfrm>
                    <a:prstGeom prst="rect">
                      <a:avLst/>
                    </a:prstGeom>
                    <a:noFill/>
                    <a:ln>
                      <a:noFill/>
                    </a:ln>
                  </pic:spPr>
                </pic:pic>
              </a:graphicData>
            </a:graphic>
          </wp:inline>
        </w:drawing>
      </w:r>
    </w:p>
    <w:p w14:paraId="6DB9A677" w14:textId="77777777" w:rsidR="00000000" w:rsidRDefault="001875C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6340FA8" w14:textId="77777777" w:rsidR="00000000" w:rsidRDefault="001875C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6494D37" w14:textId="77777777" w:rsidR="00000000" w:rsidRDefault="001875C9">
      <w:pPr>
        <w:pStyle w:val="Heading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READING 23. UNDERSTANDING CASH FLOW STATEM</w:t>
      </w:r>
      <w:r>
        <w:rPr>
          <w:rFonts w:ascii="Calibri" w:eastAsia="Times New Roman" w:hAnsi="Calibri" w:cs="Calibri"/>
          <w:color w:val="1E4E79"/>
          <w:sz w:val="32"/>
          <w:szCs w:val="32"/>
        </w:rPr>
        <w:t>ENTS</w:t>
      </w:r>
    </w:p>
    <w:p w14:paraId="1523FEC4" w14:textId="77777777" w:rsidR="00000000" w:rsidRDefault="001875C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0F15921" w14:textId="77777777" w:rsidR="00000000" w:rsidRDefault="001875C9">
      <w:pPr>
        <w:numPr>
          <w:ilvl w:val="1"/>
          <w:numId w:val="19"/>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Compare cash flows from operating, investing, and financing activities and classify cash flow items as relating to one of those three categories given a description of the items</w:t>
      </w:r>
    </w:p>
    <w:p w14:paraId="65F51C1B" w14:textId="77777777" w:rsidR="00000000" w:rsidRDefault="001875C9">
      <w:pPr>
        <w:numPr>
          <w:ilvl w:val="1"/>
          <w:numId w:val="19"/>
        </w:numPr>
        <w:textAlignment w:val="center"/>
        <w:rPr>
          <w:rFonts w:ascii="Calibri" w:eastAsia="Times New Roman" w:hAnsi="Calibri" w:cs="Calibri" w:hint="eastAsia"/>
          <w:sz w:val="22"/>
          <w:szCs w:val="22"/>
        </w:rPr>
      </w:pPr>
      <w:r>
        <w:rPr>
          <w:rFonts w:ascii="Calibri" w:eastAsia="Times New Roman" w:hAnsi="Calibri" w:cs="Calibri"/>
          <w:sz w:val="22"/>
          <w:szCs w:val="22"/>
        </w:rPr>
        <w:t>CFS provides Information about a company’s cash receipts and cash payme</w:t>
      </w:r>
      <w:r>
        <w:rPr>
          <w:rFonts w:ascii="Calibri" w:eastAsia="Times New Roman" w:hAnsi="Calibri" w:cs="Calibri"/>
          <w:sz w:val="22"/>
          <w:szCs w:val="22"/>
        </w:rPr>
        <w:t xml:space="preserve">nts during an accounting period; An understanding of the impact of accrual accounting events on cash flows; liquidity, solvency, flexibility. </w:t>
      </w:r>
    </w:p>
    <w:p w14:paraId="07441ED7" w14:textId="77777777" w:rsidR="00000000" w:rsidRDefault="001875C9">
      <w:pPr>
        <w:numPr>
          <w:ilvl w:val="2"/>
          <w:numId w:val="19"/>
        </w:numPr>
        <w:textAlignment w:val="center"/>
        <w:rPr>
          <w:rFonts w:ascii="Calibri" w:eastAsia="Times New Roman" w:hAnsi="Calibri" w:cs="Calibri"/>
          <w:sz w:val="22"/>
          <w:szCs w:val="22"/>
        </w:rPr>
      </w:pPr>
      <w:r>
        <w:rPr>
          <w:rFonts w:ascii="Calibri" w:eastAsia="Times New Roman" w:hAnsi="Calibri" w:cs="Calibri"/>
          <w:sz w:val="22"/>
          <w:szCs w:val="22"/>
        </w:rPr>
        <w:t xml:space="preserve">CFO operating: transactions of net income effect[IS, BS] </w:t>
      </w:r>
      <w:r>
        <w:rPr>
          <w:rFonts w:ascii="Calibri" w:eastAsia="Times New Roman" w:hAnsi="Calibri" w:cs="Calibri"/>
          <w:sz w:val="22"/>
          <w:szCs w:val="22"/>
          <w:highlight w:val="yellow"/>
        </w:rPr>
        <w:t>Inv interest</w:t>
      </w:r>
      <w:r>
        <w:rPr>
          <w:rFonts w:ascii="Calibri" w:eastAsia="Times New Roman" w:hAnsi="Calibri" w:cs="Calibri"/>
          <w:sz w:val="22"/>
          <w:szCs w:val="22"/>
        </w:rPr>
        <w:t xml:space="preserve">, received dividends, paid interest; </w:t>
      </w:r>
      <w:r>
        <w:rPr>
          <w:rFonts w:ascii="Calibri" w:eastAsia="Times New Roman" w:hAnsi="Calibri" w:cs="Calibri"/>
          <w:sz w:val="22"/>
          <w:szCs w:val="22"/>
          <w:shd w:val="clear" w:color="auto" w:fill="FAC08F"/>
        </w:rPr>
        <w:t>changes</w:t>
      </w:r>
      <w:r>
        <w:rPr>
          <w:rFonts w:ascii="Calibri" w:eastAsia="Times New Roman" w:hAnsi="Calibri" w:cs="Calibri"/>
          <w:sz w:val="22"/>
          <w:szCs w:val="22"/>
          <w:shd w:val="clear" w:color="auto" w:fill="FAC08F"/>
        </w:rPr>
        <w:t xml:space="preserve"> in working capital [current assets/current liabilities] less than 1yr replace in CFO not CFI. </w:t>
      </w:r>
    </w:p>
    <w:p w14:paraId="5B5FC837" w14:textId="77777777" w:rsidR="00000000" w:rsidRDefault="001875C9">
      <w:pPr>
        <w:numPr>
          <w:ilvl w:val="2"/>
          <w:numId w:val="19"/>
        </w:numPr>
        <w:textAlignment w:val="center"/>
        <w:rPr>
          <w:rFonts w:ascii="Calibri" w:eastAsia="Times New Roman" w:hAnsi="Calibri" w:cs="Calibri"/>
          <w:sz w:val="22"/>
          <w:szCs w:val="22"/>
        </w:rPr>
      </w:pPr>
      <w:r>
        <w:rPr>
          <w:rFonts w:ascii="Calibri" w:eastAsia="Times New Roman" w:hAnsi="Calibri" w:cs="Calibri"/>
          <w:sz w:val="22"/>
          <w:szCs w:val="22"/>
        </w:rPr>
        <w:t>CFI investing[BS]: acquisition or disposal of long-term assets &amp; certain investment[</w:t>
      </w:r>
      <w:r>
        <w:rPr>
          <w:rFonts w:ascii="Calibri" w:eastAsia="Times New Roman" w:hAnsi="Calibri" w:cs="Calibri"/>
          <w:sz w:val="22"/>
          <w:szCs w:val="22"/>
          <w:u w:val="single"/>
        </w:rPr>
        <w:t>gross</w:t>
      </w:r>
      <w:r>
        <w:rPr>
          <w:rFonts w:ascii="Calibri" w:eastAsia="Times New Roman" w:hAnsi="Calibri" w:cs="Calibri"/>
          <w:sz w:val="22"/>
          <w:szCs w:val="22"/>
        </w:rPr>
        <w:t xml:space="preserve"> asset account in BS] </w:t>
      </w:r>
      <w:r>
        <w:rPr>
          <w:rFonts w:ascii="Calibri" w:eastAsia="Times New Roman" w:hAnsi="Calibri" w:cs="Calibri"/>
          <w:sz w:val="22"/>
          <w:szCs w:val="22"/>
          <w:highlight w:val="yellow"/>
        </w:rPr>
        <w:t xml:space="preserve">Acquisition of debt &amp; </w:t>
      </w:r>
      <w:r>
        <w:rPr>
          <w:rFonts w:ascii="Calibri" w:eastAsia="Times New Roman" w:hAnsi="Calibri" w:cs="Calibri"/>
          <w:sz w:val="22"/>
          <w:szCs w:val="22"/>
          <w:highlight w:val="yellow"/>
        </w:rPr>
        <w:t xml:space="preserve">equity (not trading securities) loans paid; IFRS either-or flexible, US GAAP: </w:t>
      </w:r>
    </w:p>
    <w:p w14:paraId="0490C2F8" w14:textId="77777777" w:rsidR="00000000" w:rsidRDefault="001875C9">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3C968688" wp14:editId="75B3D3D0">
            <wp:extent cx="4400550" cy="3343275"/>
            <wp:effectExtent l="0" t="0" r="0" b="9525"/>
            <wp:docPr id="14" name="Picture 14" descr="Operating Activities &#10;Inflows &#10;Cash collected from customers &#10;Interest and dividends received &#10;Sale proceeds from trading securities &#10;Outflows &#10;Cash paid to employees and suppliers &#10;Cash paid for other expenses &#10;Acquisition of trading securities &#10;Interest paid on debt or leases &#10;Taxes paid &#10;Investing Activities &#10;Inflows &#10;Sale proceeds from fixed assets &#10;Sale proceeds from debt and equity &#10;mvestments &#10;Principal received from loans made to others &#10;Outflows &#10;Acquisition of fixed assets &#10;Acquisition of debt and equity &#10;mvestments &#10;Loans made to others &#10;Inflows &#10;Principal amounts of debt issued &#10;Proceeds from issuing stock &#10;Financing Activities &#10;Outflows &#10;Principal paid on debt or leases &#10;Payments to reacquire stock &#10;Dividends paid to sharehol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rating Activities &#10;Inflows &#10;Cash collected from customers &#10;Interest and dividends received &#10;Sale proceeds from trading securities &#10;Outflows &#10;Cash paid to employees and suppliers &#10;Cash paid for other expenses &#10;Acquisition of trading securities &#10;Interest paid on debt or leases &#10;Taxes paid &#10;Investing Activities &#10;Inflows &#10;Sale proceeds from fixed assets &#10;Sale proceeds from debt and equity &#10;mvestments &#10;Principal received from loans made to others &#10;Outflows &#10;Acquisition of fixed assets &#10;Acquisition of debt and equity &#10;mvestments &#10;Loans made to others &#10;Inflows &#10;Principal amounts of debt issued &#10;Proceeds from issuing stock &#10;Financing Activities &#10;Outflows &#10;Principal paid on debt or leases &#10;Payments to reacquire stock &#10;Dividends paid to shareholder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3343275"/>
                    </a:xfrm>
                    <a:prstGeom prst="rect">
                      <a:avLst/>
                    </a:prstGeom>
                    <a:noFill/>
                    <a:ln>
                      <a:noFill/>
                    </a:ln>
                  </pic:spPr>
                </pic:pic>
              </a:graphicData>
            </a:graphic>
          </wp:inline>
        </w:drawing>
      </w:r>
    </w:p>
    <w:p w14:paraId="40946788" w14:textId="77777777" w:rsidR="00000000" w:rsidRDefault="001875C9">
      <w:pPr>
        <w:numPr>
          <w:ilvl w:val="1"/>
          <w:numId w:val="20"/>
        </w:numPr>
        <w:textAlignment w:val="center"/>
        <w:rPr>
          <w:rFonts w:ascii="Calibri" w:eastAsia="Times New Roman" w:hAnsi="Calibri" w:cs="Calibri"/>
          <w:sz w:val="22"/>
          <w:szCs w:val="22"/>
        </w:rPr>
      </w:pPr>
      <w:r>
        <w:rPr>
          <w:rFonts w:ascii="Calibri" w:eastAsia="Times New Roman" w:hAnsi="Calibri" w:cs="Calibri"/>
          <w:sz w:val="22"/>
          <w:szCs w:val="22"/>
        </w:rPr>
        <w:t>CFF financing: transactions affecting capital structure[BS debt] Borrowed principal; paid dividends</w:t>
      </w:r>
    </w:p>
    <w:p w14:paraId="1854922B" w14:textId="77777777" w:rsidR="00000000" w:rsidRDefault="001875C9">
      <w:pPr>
        <w:numPr>
          <w:ilvl w:val="1"/>
          <w:numId w:val="2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how non-cash investing and financing activities are reported</w:t>
      </w:r>
    </w:p>
    <w:p w14:paraId="7F783337" w14:textId="77777777" w:rsidR="00000000" w:rsidRDefault="001875C9">
      <w:pPr>
        <w:numPr>
          <w:ilvl w:val="1"/>
          <w:numId w:val="22"/>
        </w:numPr>
        <w:textAlignment w:val="center"/>
        <w:rPr>
          <w:rFonts w:ascii="Calibri" w:eastAsia="Times New Roman" w:hAnsi="Calibri" w:cs="Calibri" w:hint="eastAsia"/>
          <w:sz w:val="22"/>
          <w:szCs w:val="22"/>
        </w:rPr>
      </w:pPr>
      <w:r>
        <w:rPr>
          <w:rFonts w:ascii="Calibri" w:eastAsia="Times New Roman" w:hAnsi="Calibri" w:cs="Calibri"/>
          <w:noProof/>
          <w:sz w:val="22"/>
          <w:szCs w:val="22"/>
        </w:rPr>
        <w:drawing>
          <wp:inline distT="0" distB="0" distL="0" distR="0" wp14:anchorId="0ED1CC8D" wp14:editId="21A0E59C">
            <wp:extent cx="6343650" cy="352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650" cy="352425"/>
                    </a:xfrm>
                    <a:prstGeom prst="rect">
                      <a:avLst/>
                    </a:prstGeom>
                    <a:noFill/>
                    <a:ln>
                      <a:noFill/>
                    </a:ln>
                  </pic:spPr>
                </pic:pic>
              </a:graphicData>
            </a:graphic>
          </wp:inline>
        </w:drawing>
      </w:r>
    </w:p>
    <w:p w14:paraId="4151BCA4" w14:textId="77777777" w:rsidR="00000000" w:rsidRDefault="001875C9">
      <w:pPr>
        <w:numPr>
          <w:ilvl w:val="1"/>
          <w:numId w:val="23"/>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Contrast cash flow statements prepared under I</w:t>
      </w:r>
      <w:r>
        <w:rPr>
          <w:rFonts w:ascii="Calibri" w:eastAsia="Times New Roman" w:hAnsi="Calibri" w:cs="Calibri"/>
          <w:color w:val="2E75B5"/>
          <w:sz w:val="22"/>
          <w:szCs w:val="22"/>
        </w:rPr>
        <w:t>nternational Financial Reporting Standards (IFRS) and US generally accepted accounting principles (US GAAP)</w:t>
      </w:r>
    </w:p>
    <w:p w14:paraId="77BEBC90" w14:textId="77777777" w:rsidR="00000000" w:rsidRDefault="001875C9">
      <w:pPr>
        <w:numPr>
          <w:ilvl w:val="1"/>
          <w:numId w:val="24"/>
        </w:numPr>
        <w:textAlignment w:val="center"/>
        <w:rPr>
          <w:rFonts w:ascii="Calibri" w:eastAsia="Times New Roman" w:hAnsi="Calibri" w:cs="Calibri" w:hint="eastAsia"/>
          <w:sz w:val="22"/>
          <w:szCs w:val="22"/>
        </w:rPr>
      </w:pPr>
      <w:r>
        <w:rPr>
          <w:rFonts w:ascii="Calibri" w:eastAsia="Times New Roman" w:hAnsi="Calibri" w:cs="Calibri"/>
          <w:noProof/>
          <w:sz w:val="22"/>
          <w:szCs w:val="22"/>
        </w:rPr>
        <w:drawing>
          <wp:inline distT="0" distB="0" distL="0" distR="0" wp14:anchorId="349567D7" wp14:editId="62BD7899">
            <wp:extent cx="62865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0" cy="352425"/>
                    </a:xfrm>
                    <a:prstGeom prst="rect">
                      <a:avLst/>
                    </a:prstGeom>
                    <a:noFill/>
                    <a:ln>
                      <a:noFill/>
                    </a:ln>
                  </pic:spPr>
                </pic:pic>
              </a:graphicData>
            </a:graphic>
          </wp:inline>
        </w:drawing>
      </w:r>
    </w:p>
    <w:p w14:paraId="6B54CA1C" w14:textId="77777777" w:rsidR="00000000" w:rsidRDefault="001875C9">
      <w:pPr>
        <w:numPr>
          <w:ilvl w:val="1"/>
          <w:numId w:val="2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Distinguish between the direct and indirect methods of presenting cash from operating activities and describe arguments in favor of each method</w:t>
      </w:r>
    </w:p>
    <w:p w14:paraId="2EDA804B" w14:textId="77777777" w:rsidR="00000000" w:rsidRDefault="001875C9">
      <w:pPr>
        <w:numPr>
          <w:ilvl w:val="1"/>
          <w:numId w:val="26"/>
        </w:numPr>
        <w:textAlignment w:val="center"/>
        <w:rPr>
          <w:rFonts w:ascii="Calibri" w:eastAsia="Times New Roman" w:hAnsi="Calibri" w:cs="Calibri" w:hint="eastAsia"/>
          <w:sz w:val="22"/>
          <w:szCs w:val="22"/>
        </w:rPr>
      </w:pPr>
      <w:r>
        <w:rPr>
          <w:rFonts w:ascii="Calibri" w:eastAsia="Times New Roman" w:hAnsi="Calibri" w:cs="Calibri"/>
          <w:sz w:val="22"/>
          <w:szCs w:val="22"/>
        </w:rPr>
        <w:t xml:space="preserve">CF from investing and </w:t>
      </w:r>
      <w:r>
        <w:rPr>
          <w:rFonts w:ascii="Calibri" w:eastAsia="Times New Roman" w:hAnsi="Calibri" w:cs="Calibri"/>
          <w:sz w:val="22"/>
          <w:szCs w:val="22"/>
        </w:rPr>
        <w:t xml:space="preserve">financing SAME, but operating differ. </w:t>
      </w:r>
      <w:r>
        <w:rPr>
          <w:rFonts w:ascii="Calibri" w:eastAsia="Times New Roman" w:hAnsi="Calibri" w:cs="Calibri"/>
          <w:b/>
          <w:bCs/>
          <w:sz w:val="22"/>
          <w:szCs w:val="22"/>
        </w:rPr>
        <w:t>Direct</w:t>
      </w:r>
      <w:r>
        <w:rPr>
          <w:rFonts w:ascii="Calibri" w:eastAsia="Times New Roman" w:hAnsi="Calibri" w:cs="Calibri"/>
          <w:sz w:val="22"/>
          <w:szCs w:val="22"/>
        </w:rPr>
        <w:t xml:space="preserve"> method: accrual-basis IS convert into cash-basis receipts/payments. </w:t>
      </w:r>
      <w:r>
        <w:rPr>
          <w:rFonts w:ascii="Calibri" w:eastAsia="Times New Roman" w:hAnsi="Calibri" w:cs="Calibri"/>
          <w:b/>
          <w:bCs/>
          <w:sz w:val="22"/>
          <w:szCs w:val="22"/>
        </w:rPr>
        <w:t>Indirect</w:t>
      </w:r>
      <w:r>
        <w:rPr>
          <w:rFonts w:ascii="Calibri" w:eastAsia="Times New Roman" w:hAnsi="Calibri" w:cs="Calibri"/>
          <w:sz w:val="22"/>
          <w:szCs w:val="22"/>
        </w:rPr>
        <w:t xml:space="preserve"> method: net income converted to operating CF by adjustments - </w:t>
      </w:r>
      <w:r>
        <w:rPr>
          <w:rFonts w:ascii="Calibri" w:eastAsia="Times New Roman" w:hAnsi="Calibri" w:cs="Calibri"/>
          <w:sz w:val="22"/>
          <w:szCs w:val="22"/>
          <w:highlight w:val="yellow"/>
        </w:rPr>
        <w:t>noncash(depreciation, amortization), nonoperating(gains &amp; losses), accru</w:t>
      </w:r>
      <w:r>
        <w:rPr>
          <w:rFonts w:ascii="Calibri" w:eastAsia="Times New Roman" w:hAnsi="Calibri" w:cs="Calibri"/>
          <w:sz w:val="22"/>
          <w:szCs w:val="22"/>
          <w:highlight w:val="yellow"/>
        </w:rPr>
        <w:t>al</w:t>
      </w:r>
      <w:r>
        <w:rPr>
          <w:rFonts w:ascii="Calibri" w:eastAsia="Times New Roman" w:hAnsi="Calibri" w:cs="Calibri"/>
          <w:sz w:val="22"/>
          <w:szCs w:val="22"/>
        </w:rPr>
        <w:t xml:space="preserve"> changes in BS. </w:t>
      </w:r>
      <w:r>
        <w:rPr>
          <w:rFonts w:ascii="Calibri" w:eastAsia="Times New Roman" w:hAnsi="Calibri" w:cs="Calibri"/>
          <w:b/>
          <w:bCs/>
          <w:sz w:val="22"/>
          <w:szCs w:val="22"/>
        </w:rPr>
        <w:t>Comparison</w:t>
      </w:r>
      <w:r>
        <w:rPr>
          <w:rFonts w:ascii="Calibri" w:eastAsia="Times New Roman" w:hAnsi="Calibri" w:cs="Calibri"/>
          <w:sz w:val="22"/>
          <w:szCs w:val="22"/>
        </w:rPr>
        <w:t xml:space="preserve">: direct method is </w:t>
      </w:r>
      <w:r>
        <w:rPr>
          <w:rFonts w:ascii="Calibri" w:eastAsia="Times New Roman" w:hAnsi="Calibri" w:cs="Calibri"/>
          <w:sz w:val="22"/>
          <w:szCs w:val="22"/>
          <w:shd w:val="clear" w:color="auto" w:fill="FAC08F"/>
        </w:rPr>
        <w:t>easier understanding</w:t>
      </w:r>
      <w:r>
        <w:rPr>
          <w:rFonts w:ascii="Calibri" w:eastAsia="Times New Roman" w:hAnsi="Calibri" w:cs="Calibri"/>
          <w:sz w:val="22"/>
          <w:szCs w:val="22"/>
        </w:rPr>
        <w:t xml:space="preserve"> past cash flows; but indirect gives only the differ between NI &amp; CFO, </w:t>
      </w:r>
    </w:p>
    <w:p w14:paraId="0F789B49"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sz w:val="22"/>
          <w:szCs w:val="22"/>
          <w:shd w:val="clear" w:color="auto" w:fill="FAC08F"/>
        </w:rPr>
        <w:t xml:space="preserve">indirect method prepares less costly, mirrors forecasting approach based on NI &amp; BS for future income. </w:t>
      </w:r>
    </w:p>
    <w:tbl>
      <w:tblPr>
        <w:tblW w:w="0" w:type="auto"/>
        <w:tblCellSpacing w:w="0" w:type="dxa"/>
        <w:tblInd w:w="1200" w:type="dxa"/>
        <w:tblCellMar>
          <w:left w:w="0" w:type="dxa"/>
          <w:right w:w="0" w:type="dxa"/>
        </w:tblCellMar>
        <w:tblLook w:val="04A0" w:firstRow="1" w:lastRow="0" w:firstColumn="1" w:lastColumn="0" w:noHBand="0" w:noVBand="1"/>
      </w:tblPr>
      <w:tblGrid>
        <w:gridCol w:w="6"/>
        <w:gridCol w:w="7841"/>
      </w:tblGrid>
      <w:tr w:rsidR="00000000" w14:paraId="070831BA" w14:textId="77777777">
        <w:trPr>
          <w:divId w:val="1753627904"/>
          <w:tblCellSpacing w:w="0" w:type="dxa"/>
        </w:trPr>
        <w:tc>
          <w:tcPr>
            <w:tcW w:w="0" w:type="auto"/>
            <w:vAlign w:val="center"/>
            <w:hideMark/>
          </w:tcPr>
          <w:p w14:paraId="20E9F16D" w14:textId="77777777" w:rsidR="00000000" w:rsidRDefault="001875C9">
            <w:pPr>
              <w:rPr>
                <w:rFonts w:ascii="Calibri" w:hAnsi="Calibri" w:cs="Calibri"/>
                <w:sz w:val="22"/>
                <w:szCs w:val="22"/>
              </w:rPr>
            </w:pPr>
          </w:p>
        </w:tc>
        <w:tc>
          <w:tcPr>
            <w:tcW w:w="0" w:type="auto"/>
            <w:vAlign w:val="cente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286"/>
              <w:gridCol w:w="1535"/>
            </w:tblGrid>
            <w:tr w:rsidR="00000000" w14:paraId="37809E53" w14:textId="77777777">
              <w:trPr>
                <w:divId w:val="987856830"/>
              </w:trPr>
              <w:tc>
                <w:tcPr>
                  <w:tcW w:w="6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DF9506"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u w:val="single"/>
                    </w:rPr>
                    <w:t>Net Income</w:t>
                  </w:r>
                </w:p>
              </w:tc>
              <w:tc>
                <w:tcPr>
                  <w:tcW w:w="1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4EA63"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51E22FE7" w14:textId="77777777">
              <w:trPr>
                <w:divId w:val="987856830"/>
              </w:trPr>
              <w:tc>
                <w:tcPr>
                  <w:tcW w:w="62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469F22"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u w:val="single"/>
                    </w:rPr>
                    <w:t>Adjustments</w:t>
                  </w:r>
                  <w:r>
                    <w:rPr>
                      <w:rFonts w:ascii="Calibri" w:hAnsi="Calibri" w:cs="Calibri"/>
                      <w:sz w:val="22"/>
                      <w:szCs w:val="22"/>
                    </w:rPr>
                    <w:t xml:space="preserve"> to reconcile net income to CF by operating activities: </w:t>
                  </w:r>
                </w:p>
              </w:tc>
              <w:tc>
                <w:tcPr>
                  <w:tcW w:w="14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53B20C"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Sum()</w:t>
                  </w:r>
                </w:p>
              </w:tc>
            </w:tr>
            <w:tr w:rsidR="00000000" w14:paraId="2ECE9D5B" w14:textId="77777777">
              <w:trPr>
                <w:divId w:val="987856830"/>
              </w:trPr>
              <w:tc>
                <w:tcPr>
                  <w:tcW w:w="6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549DF0" w14:textId="77777777" w:rsidR="00000000" w:rsidRDefault="001875C9">
                  <w:pPr>
                    <w:numPr>
                      <w:ilvl w:val="2"/>
                      <w:numId w:val="27"/>
                    </w:numPr>
                    <w:ind w:left="1440"/>
                    <w:textAlignment w:val="center"/>
                    <w:rPr>
                      <w:rFonts w:eastAsia="Times New Roman"/>
                    </w:rPr>
                  </w:pPr>
                  <w:r>
                    <w:rPr>
                      <w:rFonts w:ascii="Calibri" w:eastAsia="Times New Roman" w:hAnsi="Calibri" w:cs="Calibri"/>
                      <w:sz w:val="22"/>
                      <w:szCs w:val="22"/>
                    </w:rPr>
                    <w:t>Gain from sale of land</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BE50A"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Non-operating</w:t>
                  </w:r>
                </w:p>
              </w:tc>
            </w:tr>
            <w:tr w:rsidR="00000000" w14:paraId="293E6B10" w14:textId="77777777">
              <w:trPr>
                <w:divId w:val="987856830"/>
              </w:trPr>
              <w:tc>
                <w:tcPr>
                  <w:tcW w:w="6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7750A"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Depreciation &amp; amortization</w:t>
                  </w:r>
                </w:p>
              </w:tc>
              <w:tc>
                <w:tcPr>
                  <w:tcW w:w="1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D1D753"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Non-cash</w:t>
                  </w:r>
                </w:p>
              </w:tc>
            </w:tr>
            <w:tr w:rsidR="00000000" w14:paraId="13CB04FD" w14:textId="77777777">
              <w:trPr>
                <w:divId w:val="987856830"/>
              </w:trPr>
              <w:tc>
                <w:tcPr>
                  <w:tcW w:w="6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9E0B78"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 xml:space="preserve">Changes in operating accounts: </w:t>
                  </w:r>
                </w:p>
              </w:tc>
              <w:tc>
                <w:tcPr>
                  <w:tcW w:w="1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2ADF72"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24C67B74" w14:textId="77777777">
              <w:trPr>
                <w:divId w:val="987856830"/>
              </w:trPr>
              <w:tc>
                <w:tcPr>
                  <w:tcW w:w="6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8B1907"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b/>
                      <w:bCs/>
                      <w:sz w:val="22"/>
                      <w:szCs w:val="22"/>
                      <w:shd w:val="clear" w:color="auto" w:fill="FAC08F"/>
                    </w:rPr>
                    <w:t xml:space="preserve">+ Deferred income taxes </w:t>
                  </w:r>
                </w:p>
              </w:tc>
              <w:tc>
                <w:tcPr>
                  <w:tcW w:w="15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4C0771"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Non-operating</w:t>
                  </w:r>
                </w:p>
              </w:tc>
            </w:tr>
            <w:tr w:rsidR="00000000" w14:paraId="21E86A31" w14:textId="77777777">
              <w:trPr>
                <w:divId w:val="987856830"/>
              </w:trPr>
              <w:tc>
                <w:tcPr>
                  <w:tcW w:w="6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7ADF37" w14:textId="77777777" w:rsidR="00000000" w:rsidRDefault="001875C9">
                  <w:pPr>
                    <w:numPr>
                      <w:ilvl w:val="2"/>
                      <w:numId w:val="27"/>
                    </w:numPr>
                    <w:ind w:left="1440"/>
                    <w:textAlignment w:val="center"/>
                    <w:rPr>
                      <w:rFonts w:eastAsia="Times New Roman"/>
                    </w:rPr>
                  </w:pPr>
                  <w:r>
                    <w:rPr>
                      <w:rFonts w:ascii="Calibri" w:eastAsia="Times New Roman" w:hAnsi="Calibri" w:cs="Calibri"/>
                      <w:sz w:val="22"/>
                      <w:szCs w:val="22"/>
                    </w:rPr>
                    <w:t>Increase in A/R</w:t>
                  </w:r>
                </w:p>
              </w:tc>
              <w:tc>
                <w:tcPr>
                  <w:tcW w:w="13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D22529"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BS</w:t>
                  </w:r>
                </w:p>
              </w:tc>
            </w:tr>
            <w:tr w:rsidR="00000000" w14:paraId="0AE71B59" w14:textId="77777777">
              <w:trPr>
                <w:divId w:val="987856830"/>
              </w:trPr>
              <w:tc>
                <w:tcPr>
                  <w:tcW w:w="6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3E9A89" w14:textId="77777777" w:rsidR="00000000" w:rsidRDefault="001875C9">
                  <w:pPr>
                    <w:numPr>
                      <w:ilvl w:val="2"/>
                      <w:numId w:val="27"/>
                    </w:numPr>
                    <w:ind w:left="1440"/>
                    <w:textAlignment w:val="center"/>
                    <w:rPr>
                      <w:rFonts w:eastAsia="Times New Roman"/>
                    </w:rPr>
                  </w:pPr>
                  <w:r>
                    <w:rPr>
                      <w:rFonts w:ascii="Calibri" w:eastAsia="Times New Roman" w:hAnsi="Calibri" w:cs="Calibri"/>
                      <w:sz w:val="22"/>
                      <w:szCs w:val="22"/>
                    </w:rPr>
                    <w:t>Increase in inventory</w:t>
                  </w:r>
                </w:p>
              </w:tc>
              <w:tc>
                <w:tcPr>
                  <w:tcW w:w="13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BB7793"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BS</w:t>
                  </w:r>
                </w:p>
              </w:tc>
            </w:tr>
            <w:tr w:rsidR="00000000" w14:paraId="22477661" w14:textId="77777777">
              <w:trPr>
                <w:divId w:val="987856830"/>
              </w:trPr>
              <w:tc>
                <w:tcPr>
                  <w:tcW w:w="6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10C9BF"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b/>
                      <w:bCs/>
                      <w:sz w:val="22"/>
                      <w:szCs w:val="22"/>
                    </w:rPr>
                    <w:t>+ Decrease in prepaid expenses</w:t>
                  </w:r>
                </w:p>
              </w:tc>
              <w:tc>
                <w:tcPr>
                  <w:tcW w:w="15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1888DE"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Non-operating</w:t>
                  </w:r>
                </w:p>
              </w:tc>
            </w:tr>
            <w:tr w:rsidR="00000000" w14:paraId="52942872" w14:textId="77777777">
              <w:trPr>
                <w:divId w:val="987856830"/>
              </w:trPr>
              <w:tc>
                <w:tcPr>
                  <w:tcW w:w="6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536E4"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Increase in A/P</w:t>
                  </w:r>
                </w:p>
              </w:tc>
              <w:tc>
                <w:tcPr>
                  <w:tcW w:w="1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677F87"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BS</w:t>
                  </w:r>
                </w:p>
              </w:tc>
            </w:tr>
            <w:tr w:rsidR="00000000" w14:paraId="3E98593F" w14:textId="77777777">
              <w:trPr>
                <w:divId w:val="987856830"/>
              </w:trPr>
              <w:tc>
                <w:tcPr>
                  <w:tcW w:w="6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E0856B"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b/>
                      <w:bCs/>
                      <w:sz w:val="22"/>
                      <w:szCs w:val="22"/>
                    </w:rPr>
                    <w:t>+ Increase in accrued liabilities</w:t>
                  </w:r>
                </w:p>
              </w:tc>
              <w:tc>
                <w:tcPr>
                  <w:tcW w:w="15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B11D7"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Non-operating</w:t>
                  </w:r>
                </w:p>
              </w:tc>
            </w:tr>
            <w:tr w:rsidR="00000000" w14:paraId="1BF8516E" w14:textId="77777777">
              <w:trPr>
                <w:divId w:val="987856830"/>
              </w:trPr>
              <w:tc>
                <w:tcPr>
                  <w:tcW w:w="6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A48E57"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u w:val="single"/>
                    </w:rPr>
                    <w:t>Operating cash flow</w:t>
                  </w:r>
                </w:p>
              </w:tc>
              <w:tc>
                <w:tcPr>
                  <w:tcW w:w="1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F5923F"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14:paraId="2058BAEF" w14:textId="77777777" w:rsidR="00000000" w:rsidRDefault="001875C9">
            <w:pPr>
              <w:rPr>
                <w:rFonts w:eastAsia="Times New Roman"/>
              </w:rPr>
            </w:pPr>
          </w:p>
        </w:tc>
      </w:tr>
    </w:tbl>
    <w:p w14:paraId="60686A4F" w14:textId="77777777" w:rsidR="00000000" w:rsidRDefault="001875C9">
      <w:pPr>
        <w:numPr>
          <w:ilvl w:val="1"/>
          <w:numId w:val="27"/>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AC08F"/>
        </w:rPr>
        <w:t xml:space="preserve">US </w:t>
      </w:r>
      <w:r>
        <w:rPr>
          <w:rFonts w:ascii="Calibri" w:eastAsia="Times New Roman" w:hAnsi="Calibri" w:cs="Calibri"/>
          <w:b/>
          <w:bCs/>
          <w:sz w:val="22"/>
          <w:szCs w:val="22"/>
          <w:shd w:val="clear" w:color="auto" w:fill="FAC08F"/>
        </w:rPr>
        <w:t>GAAP</w:t>
      </w:r>
      <w:r>
        <w:rPr>
          <w:rFonts w:ascii="Calibri" w:eastAsia="Times New Roman" w:hAnsi="Calibri" w:cs="Calibri"/>
          <w:sz w:val="22"/>
          <w:szCs w:val="22"/>
        </w:rPr>
        <w:t xml:space="preserve">: </w:t>
      </w:r>
      <w:r>
        <w:rPr>
          <w:rFonts w:ascii="Calibri" w:eastAsia="Times New Roman" w:hAnsi="Calibri" w:cs="Calibri"/>
          <w:sz w:val="22"/>
          <w:szCs w:val="22"/>
        </w:rPr>
        <w:t>1. direct method must present adjustments needed to reconcile = info of indirect method (not required by IFRS); 2.</w:t>
      </w:r>
      <w:r>
        <w:rPr>
          <w:rFonts w:ascii="Calibri" w:eastAsia="Times New Roman" w:hAnsi="Calibri" w:cs="Calibri"/>
          <w:sz w:val="22"/>
          <w:szCs w:val="22"/>
          <w:shd w:val="clear" w:color="auto" w:fill="FAC08F"/>
        </w:rPr>
        <w:t xml:space="preserve"> payments for interest and taxes can be reported in CF or disclosed in footnotes. </w:t>
      </w:r>
      <w:r>
        <w:rPr>
          <w:rFonts w:ascii="Calibri" w:eastAsia="Times New Roman" w:hAnsi="Calibri" w:cs="Calibri"/>
          <w:b/>
          <w:bCs/>
          <w:sz w:val="22"/>
          <w:szCs w:val="22"/>
          <w:shd w:val="clear" w:color="auto" w:fill="FAC08F"/>
        </w:rPr>
        <w:t>IFRS</w:t>
      </w:r>
      <w:r>
        <w:rPr>
          <w:rFonts w:ascii="Calibri" w:eastAsia="Times New Roman" w:hAnsi="Calibri" w:cs="Calibri"/>
          <w:sz w:val="22"/>
          <w:szCs w:val="22"/>
          <w:shd w:val="clear" w:color="auto" w:fill="FAC08F"/>
        </w:rPr>
        <w:t xml:space="preserve">: payments for interest and taxes must be disclosed </w:t>
      </w:r>
      <w:r>
        <w:rPr>
          <w:rFonts w:ascii="Calibri" w:eastAsia="Times New Roman" w:hAnsi="Calibri" w:cs="Calibri"/>
          <w:sz w:val="22"/>
          <w:szCs w:val="22"/>
          <w:u w:val="single"/>
          <w:shd w:val="clear" w:color="auto" w:fill="FAC08F"/>
        </w:rPr>
        <w:t>Sepa</w:t>
      </w:r>
      <w:r>
        <w:rPr>
          <w:rFonts w:ascii="Calibri" w:eastAsia="Times New Roman" w:hAnsi="Calibri" w:cs="Calibri"/>
          <w:sz w:val="22"/>
          <w:szCs w:val="22"/>
          <w:u w:val="single"/>
          <w:shd w:val="clear" w:color="auto" w:fill="FAC08F"/>
        </w:rPr>
        <w:t>rately</w:t>
      </w:r>
      <w:r>
        <w:rPr>
          <w:rFonts w:ascii="Calibri" w:eastAsia="Times New Roman" w:hAnsi="Calibri" w:cs="Calibri"/>
          <w:sz w:val="22"/>
          <w:szCs w:val="22"/>
          <w:shd w:val="clear" w:color="auto" w:fill="FAC08F"/>
        </w:rPr>
        <w:t xml:space="preserve"> in cash flow statement under either method. </w:t>
      </w:r>
    </w:p>
    <w:p w14:paraId="20C34C51" w14:textId="77777777" w:rsidR="00000000" w:rsidRDefault="001875C9">
      <w:pPr>
        <w:numPr>
          <w:ilvl w:val="1"/>
          <w:numId w:val="28"/>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how the cash flow statement is linked to the income statement and the balance sheet</w:t>
      </w:r>
    </w:p>
    <w:p w14:paraId="7F537D50" w14:textId="77777777" w:rsidR="00000000" w:rsidRDefault="001875C9">
      <w:pPr>
        <w:numPr>
          <w:ilvl w:val="1"/>
          <w:numId w:val="28"/>
        </w:numPr>
        <w:textAlignment w:val="center"/>
        <w:rPr>
          <w:rFonts w:ascii="Calibri" w:eastAsia="Times New Roman" w:hAnsi="Calibri" w:cs="Calibri" w:hint="eastAsia"/>
          <w:color w:val="2E75B5"/>
          <w:sz w:val="22"/>
          <w:szCs w:val="22"/>
        </w:rPr>
      </w:pPr>
      <w:r>
        <w:rPr>
          <w:rFonts w:ascii="Calibri" w:eastAsia="Times New Roman" w:hAnsi="Calibri" w:cs="Calibri"/>
          <w:color w:val="2E75B5"/>
          <w:sz w:val="22"/>
          <w:szCs w:val="22"/>
        </w:rPr>
        <w:t xml:space="preserve">Describe </w:t>
      </w:r>
      <w:r>
        <w:rPr>
          <w:rFonts w:ascii="Calibri" w:eastAsia="Times New Roman" w:hAnsi="Calibri" w:cs="Calibri"/>
          <w:color w:val="2E75B5"/>
          <w:sz w:val="22"/>
          <w:szCs w:val="22"/>
        </w:rPr>
        <w:t>the steps in the preparation of direct and indirect cash flow statements, including how cash flows can be computed using income statement and balance sheet data</w:t>
      </w:r>
    </w:p>
    <w:p w14:paraId="40FB679D" w14:textId="77777777" w:rsidR="00000000" w:rsidRDefault="001875C9">
      <w:pPr>
        <w:numPr>
          <w:ilvl w:val="1"/>
          <w:numId w:val="29"/>
        </w:numPr>
        <w:textAlignment w:val="center"/>
        <w:rPr>
          <w:rFonts w:ascii="Calibri" w:eastAsia="Times New Roman" w:hAnsi="Calibri" w:cs="Calibri" w:hint="eastAsia"/>
          <w:color w:val="000000"/>
          <w:sz w:val="22"/>
          <w:szCs w:val="22"/>
        </w:rPr>
      </w:pPr>
      <w:r>
        <w:rPr>
          <w:rFonts w:ascii="Calibri" w:eastAsia="Times New Roman" w:hAnsi="Calibri" w:cs="Calibri"/>
          <w:noProof/>
          <w:color w:val="000000"/>
          <w:sz w:val="22"/>
          <w:szCs w:val="22"/>
        </w:rPr>
        <w:drawing>
          <wp:inline distT="0" distB="0" distL="0" distR="0" wp14:anchorId="19C86917" wp14:editId="38745339">
            <wp:extent cx="6381750" cy="866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866775"/>
                    </a:xfrm>
                    <a:prstGeom prst="rect">
                      <a:avLst/>
                    </a:prstGeom>
                    <a:noFill/>
                    <a:ln>
                      <a:noFill/>
                    </a:ln>
                  </pic:spPr>
                </pic:pic>
              </a:graphicData>
            </a:graphic>
          </wp:inline>
        </w:drawing>
      </w:r>
    </w:p>
    <w:p w14:paraId="07C2CE20" w14:textId="77777777" w:rsidR="00000000" w:rsidRDefault="001875C9">
      <w:pPr>
        <w:numPr>
          <w:ilvl w:val="1"/>
          <w:numId w:val="29"/>
        </w:numPr>
        <w:textAlignment w:val="center"/>
        <w:rPr>
          <w:rFonts w:ascii="Calibri" w:eastAsia="Times New Roman" w:hAnsi="Calibri" w:cs="Calibri"/>
          <w:sz w:val="22"/>
          <w:szCs w:val="22"/>
        </w:rPr>
      </w:pPr>
      <w:r>
        <w:rPr>
          <w:rFonts w:ascii="Calibri" w:eastAsia="Times New Roman" w:hAnsi="Calibri" w:cs="Calibri"/>
          <w:sz w:val="22"/>
          <w:szCs w:val="22"/>
        </w:rPr>
        <w:t xml:space="preserve">Net income for the year </w:t>
      </w:r>
      <w:r>
        <w:rPr>
          <w:rFonts w:ascii="Calibri" w:eastAsia="Times New Roman" w:hAnsi="Calibri" w:cs="Calibri"/>
          <w:sz w:val="22"/>
          <w:szCs w:val="22"/>
        </w:rPr>
        <w:t>ended December 31, 20X7 was $78,000. Its accounts receivable balance at December 31, 20X7 was $121,000, and this balance was $69,000 at December 31, 20X6. The accounts payable balance at December 31, 20X7 was $72,000 and was $43,000 at December 31, 20X6. D</w:t>
      </w:r>
      <w:r>
        <w:rPr>
          <w:rFonts w:ascii="Calibri" w:eastAsia="Times New Roman" w:hAnsi="Calibri" w:cs="Calibri"/>
          <w:sz w:val="22"/>
          <w:szCs w:val="22"/>
        </w:rPr>
        <w:t>epreciation for 20X7 was $12,000, and there was an unrealized gain of $15,000 included in 20X7 income from the change in value of trading securities. What's cash flow from operations for 20X7?</w:t>
      </w:r>
    </w:p>
    <w:p w14:paraId="576A5E2A"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61A99091" wp14:editId="411BE2DE">
            <wp:extent cx="3676650" cy="1666875"/>
            <wp:effectExtent l="0" t="0" r="0" b="9525"/>
            <wp:docPr id="18" name="Picture 18" descr="cash from bond issue = ending bonds payable + bonds repaid — beginning bonds payable = &#10;$15,000 + $0 - $10,000 = $5,000 (source) &#10;beginning bonds payable + bonds issued — bonds repaid = ending bonds payable = $10,000 &#10;$5,000 - $0 = $15,000 &#10;cash to reacquire stock = beginning common stock + stock issued — ending common stock — &#10;$50,000 + $0 — $40,000 = $10,000 (use, or a net share repurchase of $10,000) &#10;beginning common stock + stock issued — stock reacquired = ending common stock = &#10;$50,000 + so - $10,000 = $40,000 &#10;cash dividends = —dividend declared + increase in dividends payable — —$8,500* + $5,000 = — &#10;$3,500 (use) &#10;beginning dividends payable + dividends declared — dividends paid = ending dividends &#10;payable = $1,000 + $8,500 - $3,500 - $6,000 &#10;*Note: If the dividend declared amount is not provided, you can calculate the amount as follows: &#10;dividends declared = beginning retained earnings + net income — ending retained earnings. He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sh from bond issue = ending bonds payable + bonds repaid — beginning bonds payable = &#10;$15,000 + $0 - $10,000 = $5,000 (source) &#10;beginning bonds payable + bonds issued — bonds repaid = ending bonds payable = $10,000 &#10;$5,000 - $0 = $15,000 &#10;cash to reacquire stock = beginning common stock + stock issued — ending common stock — &#10;$50,000 + $0 — $40,000 = $10,000 (use, or a net share repurchase of $10,000) &#10;beginning common stock + stock issued — stock reacquired = ending common stock = &#10;$50,000 + so - $10,000 = $40,000 &#10;cash dividends = —dividend declared + increase in dividends payable — —$8,500* + $5,000 = — &#10;$3,500 (use) &#10;beginning dividends payable + dividends declared — dividends paid = ending dividends &#10;payable = $1,000 + $8,500 - $3,500 - $6,000 &#10;*Note: If the dividend declared amount is not provided, you can calculate the amount as follows: &#10;dividends declared = beginning retained earnings + net income — ending retained earnings. Her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1666875"/>
                    </a:xfrm>
                    <a:prstGeom prst="rect">
                      <a:avLst/>
                    </a:prstGeom>
                    <a:noFill/>
                    <a:ln>
                      <a:noFill/>
                    </a:ln>
                  </pic:spPr>
                </pic:pic>
              </a:graphicData>
            </a:graphic>
          </wp:inline>
        </w:drawing>
      </w:r>
    </w:p>
    <w:p w14:paraId="26AB6878" w14:textId="77777777" w:rsidR="00000000" w:rsidRDefault="001875C9">
      <w:pPr>
        <w:numPr>
          <w:ilvl w:val="1"/>
          <w:numId w:val="30"/>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Convert cash flows from the indirect to direct method</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670"/>
        <w:gridCol w:w="3580"/>
        <w:gridCol w:w="3130"/>
      </w:tblGrid>
      <w:tr w:rsidR="00000000" w14:paraId="0B4D75C2" w14:textId="77777777">
        <w:trPr>
          <w:divId w:val="293827742"/>
        </w:trPr>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D39D10" w14:textId="77777777" w:rsidR="00000000" w:rsidRDefault="001875C9">
            <w:pPr>
              <w:pStyle w:val="NormalWeb"/>
              <w:spacing w:before="0" w:beforeAutospacing="0" w:after="0" w:afterAutospacing="0"/>
              <w:rPr>
                <w:rFonts w:hint="eastAsia"/>
                <w:sz w:val="22"/>
                <w:szCs w:val="22"/>
              </w:rPr>
            </w:pPr>
            <w:r>
              <w:rPr>
                <w:noProof/>
                <w:sz w:val="22"/>
                <w:szCs w:val="22"/>
              </w:rPr>
              <w:drawing>
                <wp:inline distT="0" distB="0" distL="0" distR="0" wp14:anchorId="65DB3078" wp14:editId="24DF52EC">
                  <wp:extent cx="2228850" cy="18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8850" cy="180975"/>
                          </a:xfrm>
                          <a:prstGeom prst="rect">
                            <a:avLst/>
                          </a:prstGeom>
                          <a:noFill/>
                          <a:ln>
                            <a:noFill/>
                          </a:ln>
                        </pic:spPr>
                      </pic:pic>
                    </a:graphicData>
                  </a:graphic>
                </wp:inline>
              </w:drawing>
            </w:r>
          </w:p>
        </w:tc>
        <w:tc>
          <w:tcPr>
            <w:tcW w:w="3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3D1DA5" w14:textId="77777777" w:rsidR="00000000" w:rsidRDefault="001875C9">
            <w:pPr>
              <w:pStyle w:val="NormalWeb"/>
              <w:spacing w:before="0" w:beforeAutospacing="0" w:after="0" w:afterAutospacing="0"/>
              <w:rPr>
                <w:sz w:val="22"/>
                <w:szCs w:val="22"/>
              </w:rPr>
            </w:pPr>
            <w:r>
              <w:rPr>
                <w:noProof/>
                <w:sz w:val="22"/>
                <w:szCs w:val="22"/>
              </w:rPr>
              <w:drawing>
                <wp:inline distT="0" distB="0" distL="0" distR="0" wp14:anchorId="267CEDB8" wp14:editId="21B87859">
                  <wp:extent cx="2162175" cy="180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180975"/>
                          </a:xfrm>
                          <a:prstGeom prst="rect">
                            <a:avLst/>
                          </a:prstGeom>
                          <a:noFill/>
                          <a:ln>
                            <a:noFill/>
                          </a:ln>
                        </pic:spPr>
                      </pic:pic>
                    </a:graphicData>
                  </a:graphic>
                </wp:inline>
              </w:drawing>
            </w:r>
          </w:p>
        </w:tc>
        <w:tc>
          <w:tcPr>
            <w:tcW w:w="28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A70A94" w14:textId="77777777" w:rsidR="00000000" w:rsidRDefault="001875C9">
            <w:pPr>
              <w:pStyle w:val="NormalWeb"/>
              <w:spacing w:before="0" w:beforeAutospacing="0" w:after="0" w:afterAutospacing="0"/>
              <w:rPr>
                <w:sz w:val="22"/>
                <w:szCs w:val="22"/>
              </w:rPr>
            </w:pPr>
            <w:r>
              <w:rPr>
                <w:noProof/>
                <w:sz w:val="22"/>
                <w:szCs w:val="22"/>
              </w:rPr>
              <w:drawing>
                <wp:inline distT="0" distB="0" distL="0" distR="0" wp14:anchorId="3CEDB344" wp14:editId="060315BE">
                  <wp:extent cx="18859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5950" cy="180975"/>
                          </a:xfrm>
                          <a:prstGeom prst="rect">
                            <a:avLst/>
                          </a:prstGeom>
                          <a:noFill/>
                          <a:ln>
                            <a:noFill/>
                          </a:ln>
                        </pic:spPr>
                      </pic:pic>
                    </a:graphicData>
                  </a:graphic>
                </wp:inline>
              </w:drawing>
            </w:r>
          </w:p>
        </w:tc>
      </w:tr>
      <w:tr w:rsidR="00000000" w14:paraId="3812F7E6" w14:textId="77777777">
        <w:trPr>
          <w:divId w:val="293827742"/>
        </w:trPr>
        <w:tc>
          <w:tcPr>
            <w:tcW w:w="34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B4A7A"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Net sales in IS </w:t>
            </w:r>
          </w:p>
        </w:tc>
        <w:tc>
          <w:tcPr>
            <w:tcW w:w="3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54EA3D"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Cost Of Goods Sold (COGS) in IS</w:t>
            </w:r>
          </w:p>
        </w:tc>
        <w:tc>
          <w:tcPr>
            <w:tcW w:w="29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AAD750"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shd w:val="clear" w:color="auto" w:fill="FAC08F"/>
              </w:rPr>
              <w:t>+ tax/interest expense</w:t>
            </w:r>
          </w:p>
        </w:tc>
      </w:tr>
      <w:tr w:rsidR="00000000" w14:paraId="71C30ACE" w14:textId="77777777">
        <w:trPr>
          <w:divId w:val="293827742"/>
        </w:trPr>
        <w:tc>
          <w:tcPr>
            <w:tcW w:w="34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BCF23E"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increase in A/R</w:t>
            </w:r>
          </w:p>
        </w:tc>
        <w:tc>
          <w:tcPr>
            <w:tcW w:w="33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A61D7F"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depreciation/amortization</w:t>
            </w:r>
          </w:p>
        </w:tc>
        <w:tc>
          <w:tcPr>
            <w:tcW w:w="32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C67D54" w14:textId="77777777" w:rsidR="00000000" w:rsidRDefault="001875C9">
            <w:pPr>
              <w:numPr>
                <w:ilvl w:val="2"/>
                <w:numId w:val="31"/>
              </w:numPr>
              <w:ind w:left="1440"/>
              <w:textAlignment w:val="center"/>
              <w:rPr>
                <w:rFonts w:eastAsia="Times New Roman"/>
              </w:rPr>
            </w:pPr>
            <w:r>
              <w:rPr>
                <w:rFonts w:ascii="Calibri" w:eastAsia="Times New Roman" w:hAnsi="Calibri" w:cs="Calibri"/>
                <w:sz w:val="22"/>
                <w:szCs w:val="22"/>
                <w:shd w:val="clear" w:color="auto" w:fill="FAC08F"/>
              </w:rPr>
              <w:t>Increase in income tax payable</w:t>
            </w:r>
          </w:p>
        </w:tc>
      </w:tr>
      <w:tr w:rsidR="00000000" w14:paraId="4EC9A813" w14:textId="77777777">
        <w:trPr>
          <w:divId w:val="293827742"/>
        </w:trPr>
        <w:tc>
          <w:tcPr>
            <w:tcW w:w="33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827473"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increase in </w:t>
            </w:r>
            <w:r>
              <w:rPr>
                <w:rFonts w:ascii="Calibri" w:hAnsi="Calibri" w:cs="Calibri"/>
                <w:sz w:val="22"/>
                <w:szCs w:val="22"/>
                <w:shd w:val="clear" w:color="auto" w:fill="FAC08F"/>
              </w:rPr>
              <w:t>unearned revenue</w:t>
            </w:r>
          </w:p>
          <w:p w14:paraId="41BA441B" w14:textId="77777777" w:rsidR="00000000" w:rsidRDefault="001875C9">
            <w:pPr>
              <w:pStyle w:val="NormalWeb"/>
              <w:spacing w:before="0" w:beforeAutospacing="0" w:after="0" w:afterAutospacing="0"/>
              <w:ind w:left="540"/>
              <w:rPr>
                <w:rFonts w:ascii="Calibri" w:hAnsi="Calibri" w:cs="Calibri"/>
                <w:sz w:val="22"/>
                <w:szCs w:val="22"/>
              </w:rPr>
            </w:pPr>
            <w:r>
              <w:rPr>
                <w:rFonts w:ascii="Calibri" w:hAnsi="Calibri" w:cs="Calibri"/>
                <w:sz w:val="22"/>
                <w:szCs w:val="22"/>
                <w:shd w:val="clear" w:color="auto" w:fill="FAC08F"/>
              </w:rPr>
              <w:t>(cash advance)</w:t>
            </w:r>
          </w:p>
        </w:tc>
        <w:tc>
          <w:tcPr>
            <w:tcW w:w="36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3A1F8" w14:textId="77777777" w:rsidR="00000000" w:rsidRDefault="001875C9">
            <w:pPr>
              <w:numPr>
                <w:ilvl w:val="2"/>
                <w:numId w:val="31"/>
              </w:numPr>
              <w:ind w:left="1440"/>
              <w:textAlignment w:val="center"/>
              <w:rPr>
                <w:rFonts w:eastAsia="Times New Roman"/>
              </w:rPr>
            </w:pPr>
            <w:r>
              <w:rPr>
                <w:rFonts w:ascii="Calibri" w:eastAsia="Times New Roman" w:hAnsi="Calibri" w:cs="Calibri"/>
                <w:sz w:val="22"/>
                <w:szCs w:val="22"/>
              </w:rPr>
              <w:t>increase in A/P</w:t>
            </w:r>
          </w:p>
        </w:tc>
        <w:tc>
          <w:tcPr>
            <w:tcW w:w="29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F9589F"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shd w:val="clear" w:color="auto" w:fill="FAC08F"/>
              </w:rPr>
              <w:t>- deferred tax liabilities</w:t>
            </w:r>
          </w:p>
        </w:tc>
      </w:tr>
      <w:tr w:rsidR="00000000" w14:paraId="6181FC7C" w14:textId="77777777">
        <w:trPr>
          <w:divId w:val="293827742"/>
        </w:trPr>
        <w:tc>
          <w:tcPr>
            <w:tcW w:w="34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41B25A"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3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3EB2E"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increase in inventory</w:t>
            </w:r>
          </w:p>
          <w:p w14:paraId="0C421E4D" w14:textId="77777777" w:rsidR="00000000" w:rsidRDefault="001875C9">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(cash paid to purchase)</w:t>
            </w:r>
          </w:p>
        </w:tc>
        <w:tc>
          <w:tcPr>
            <w:tcW w:w="29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913A9A"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shd w:val="clear" w:color="auto" w:fill="FAC08F"/>
              </w:rPr>
              <w:t xml:space="preserve">+ deferred tax assets </w:t>
            </w:r>
          </w:p>
        </w:tc>
      </w:tr>
      <w:tr w:rsidR="00000000" w14:paraId="0C97DE48" w14:textId="77777777">
        <w:trPr>
          <w:divId w:val="293827742"/>
        </w:trPr>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C01962"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Begin A/R + sales - collections = </w:t>
            </w:r>
            <w:r>
              <w:rPr>
                <w:rFonts w:ascii="Calibri" w:hAnsi="Calibri" w:cs="Calibri"/>
                <w:sz w:val="22"/>
                <w:szCs w:val="22"/>
              </w:rPr>
              <w:t>end</w:t>
            </w:r>
          </w:p>
        </w:tc>
        <w:tc>
          <w:tcPr>
            <w:tcW w:w="36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A9381" w14:textId="77777777" w:rsidR="00000000" w:rsidRDefault="001875C9">
            <w:pPr>
              <w:numPr>
                <w:ilvl w:val="2"/>
                <w:numId w:val="31"/>
              </w:numPr>
              <w:ind w:left="1440"/>
              <w:textAlignment w:val="center"/>
              <w:rPr>
                <w:rFonts w:eastAsia="Times New Roman"/>
              </w:rPr>
            </w:pPr>
            <w:r>
              <w:rPr>
                <w:rFonts w:ascii="Calibri" w:eastAsia="Times New Roman" w:hAnsi="Calibri" w:cs="Calibri"/>
                <w:sz w:val="22"/>
                <w:szCs w:val="22"/>
              </w:rPr>
              <w:t xml:space="preserve">Inventory write-off </w:t>
            </w:r>
          </w:p>
          <w:p w14:paraId="7B19799A" w14:textId="77777777" w:rsidR="00000000" w:rsidRDefault="001875C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(reduce ending inv, but no cash)</w:t>
            </w:r>
          </w:p>
        </w:tc>
        <w:tc>
          <w:tcPr>
            <w:tcW w:w="27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5AFC90"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14:paraId="39372BF3"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Beginning Tax/P + beginning deferred liability + tax expense - tax paid = ending Tax/P + ending deferred</w:t>
      </w:r>
    </w:p>
    <w:p w14:paraId="149DE12C" w14:textId="77777777" w:rsidR="00000000" w:rsidRDefault="001875C9">
      <w:pPr>
        <w:numPr>
          <w:ilvl w:val="1"/>
          <w:numId w:val="32"/>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Analyze and interpret both reported and common-size cash flow statements</w:t>
      </w:r>
    </w:p>
    <w:p w14:paraId="07D40AF0" w14:textId="77777777" w:rsidR="00000000" w:rsidRDefault="001875C9">
      <w:pPr>
        <w:numPr>
          <w:ilvl w:val="1"/>
          <w:numId w:val="33"/>
        </w:numPr>
        <w:textAlignment w:val="center"/>
        <w:rPr>
          <w:rFonts w:ascii="Calibri" w:eastAsia="Times New Roman" w:hAnsi="Calibri" w:cs="Calibri" w:hint="eastAsia"/>
          <w:sz w:val="22"/>
          <w:szCs w:val="22"/>
        </w:rPr>
      </w:pPr>
      <w:r>
        <w:rPr>
          <w:rFonts w:ascii="Calibri" w:eastAsia="Times New Roman" w:hAnsi="Calibri" w:cs="Calibri"/>
          <w:noProof/>
          <w:sz w:val="22"/>
          <w:szCs w:val="22"/>
        </w:rPr>
        <w:drawing>
          <wp:inline distT="0" distB="0" distL="0" distR="0" wp14:anchorId="3F65CBED" wp14:editId="3F4D1BE3">
            <wp:extent cx="6286500" cy="523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523875"/>
                    </a:xfrm>
                    <a:prstGeom prst="rect">
                      <a:avLst/>
                    </a:prstGeom>
                    <a:noFill/>
                    <a:ln>
                      <a:noFill/>
                    </a:ln>
                  </pic:spPr>
                </pic:pic>
              </a:graphicData>
            </a:graphic>
          </wp:inline>
        </w:drawing>
      </w:r>
    </w:p>
    <w:p w14:paraId="6CB44445" w14:textId="77777777" w:rsidR="00000000" w:rsidRDefault="001875C9">
      <w:pPr>
        <w:numPr>
          <w:ilvl w:val="1"/>
          <w:numId w:val="34"/>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Calculate and interpret free cash flow to the </w:t>
      </w:r>
      <w:r>
        <w:rPr>
          <w:rFonts w:ascii="Calibri" w:eastAsia="Times New Roman" w:hAnsi="Calibri" w:cs="Calibri"/>
          <w:color w:val="2E75B5"/>
          <w:sz w:val="22"/>
          <w:szCs w:val="22"/>
        </w:rPr>
        <w:t>firm, free cash flow to equity, and performance and coverage cash flow ratios</w:t>
      </w:r>
    </w:p>
    <w:p w14:paraId="5AABF5EA" w14:textId="77777777" w:rsidR="00000000" w:rsidRDefault="001875C9">
      <w:pPr>
        <w:numPr>
          <w:ilvl w:val="1"/>
          <w:numId w:val="35"/>
        </w:numPr>
        <w:textAlignment w:val="center"/>
        <w:rPr>
          <w:rFonts w:ascii="Calibri" w:eastAsia="Times New Roman" w:hAnsi="Calibri" w:cs="Calibri" w:hint="eastAsia"/>
          <w:sz w:val="22"/>
          <w:szCs w:val="22"/>
        </w:rPr>
      </w:pPr>
      <w:r>
        <w:rPr>
          <w:rFonts w:ascii="Calibri" w:eastAsia="Times New Roman" w:hAnsi="Calibri" w:cs="Calibri"/>
          <w:sz w:val="22"/>
          <w:szCs w:val="22"/>
        </w:rPr>
        <w:t xml:space="preserve">Free cash flow: measure of cash for discretionary purposes, available once capital expenditures covered. </w:t>
      </w:r>
    </w:p>
    <w:p w14:paraId="1205ECC0" w14:textId="77777777" w:rsidR="00000000" w:rsidRDefault="001875C9">
      <w:pPr>
        <w:numPr>
          <w:ilvl w:val="1"/>
          <w:numId w:val="35"/>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0C33B6AC" wp14:editId="36F3AAD8">
            <wp:extent cx="628650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342900"/>
                    </a:xfrm>
                    <a:prstGeom prst="rect">
                      <a:avLst/>
                    </a:prstGeom>
                    <a:noFill/>
                    <a:ln>
                      <a:noFill/>
                    </a:ln>
                  </pic:spPr>
                </pic:pic>
              </a:graphicData>
            </a:graphic>
          </wp:inline>
        </w:drawing>
      </w:r>
    </w:p>
    <w:p w14:paraId="085833F5" w14:textId="77777777" w:rsidR="00000000" w:rsidRDefault="001875C9">
      <w:pPr>
        <w:numPr>
          <w:ilvl w:val="1"/>
          <w:numId w:val="35"/>
        </w:numPr>
        <w:textAlignment w:val="center"/>
        <w:rPr>
          <w:rFonts w:ascii="Calibri" w:eastAsia="Times New Roman" w:hAnsi="Calibri" w:cs="Calibri"/>
          <w:sz w:val="22"/>
          <w:szCs w:val="22"/>
        </w:rPr>
      </w:pPr>
      <w:r>
        <w:rPr>
          <w:rFonts w:ascii="Calibri" w:eastAsia="Times New Roman" w:hAnsi="Calibri" w:cs="Calibri"/>
          <w:sz w:val="22"/>
          <w:szCs w:val="22"/>
        </w:rPr>
        <w:t xml:space="preserve">FCInv=fixed capital </w:t>
      </w:r>
      <w:r>
        <w:rPr>
          <w:rFonts w:ascii="Calibri" w:eastAsia="Times New Roman" w:hAnsi="Calibri" w:cs="Calibri"/>
          <w:sz w:val="22"/>
          <w:szCs w:val="22"/>
        </w:rPr>
        <w:t>investment (net capital expenditure), WCInv=working capital investment, Int=$ interest</w:t>
      </w:r>
    </w:p>
    <w:p w14:paraId="3ACDE5F1"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3CEDE973" wp14:editId="0E21B779">
            <wp:extent cx="638175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1750" cy="523875"/>
                    </a:xfrm>
                    <a:prstGeom prst="rect">
                      <a:avLst/>
                    </a:prstGeom>
                    <a:noFill/>
                    <a:ln>
                      <a:noFill/>
                    </a:ln>
                  </pic:spPr>
                </pic:pic>
              </a:graphicData>
            </a:graphic>
          </wp:inline>
        </w:drawing>
      </w:r>
    </w:p>
    <w:p w14:paraId="07FB2146" w14:textId="77777777" w:rsidR="00000000" w:rsidRDefault="001875C9">
      <w:pPr>
        <w:numPr>
          <w:ilvl w:val="1"/>
          <w:numId w:val="35"/>
        </w:numPr>
        <w:textAlignment w:val="center"/>
        <w:rPr>
          <w:rFonts w:ascii="Calibri" w:eastAsia="Times New Roman" w:hAnsi="Calibri" w:cs="Calibri"/>
          <w:sz w:val="22"/>
          <w:szCs w:val="22"/>
        </w:rPr>
      </w:pPr>
      <w:r>
        <w:rPr>
          <w:rFonts w:ascii="Calibri" w:eastAsia="Times New Roman" w:hAnsi="Calibri" w:cs="Calibri"/>
          <w:sz w:val="22"/>
          <w:szCs w:val="22"/>
        </w:rPr>
        <w:t xml:space="preserve">Free cash flow to equity: available distribution to common shareholders. </w:t>
      </w:r>
      <w:r>
        <w:rPr>
          <w:rFonts w:ascii="Calibri" w:eastAsia="Times New Roman" w:hAnsi="Calibri" w:cs="Calibri"/>
          <w:b/>
          <w:bCs/>
          <w:sz w:val="22"/>
          <w:szCs w:val="22"/>
        </w:rPr>
        <w:t>IFRS</w:t>
      </w:r>
      <w:r>
        <w:rPr>
          <w:rFonts w:ascii="Calibri" w:eastAsia="Times New Roman" w:hAnsi="Calibri" w:cs="Calibri"/>
          <w:sz w:val="22"/>
          <w:szCs w:val="22"/>
        </w:rPr>
        <w:t xml:space="preserve"> dividends need adding to CFO. </w:t>
      </w:r>
    </w:p>
    <w:p w14:paraId="48384249" w14:textId="77777777" w:rsidR="00000000" w:rsidRDefault="001875C9">
      <w:pPr>
        <w:pStyle w:val="NormalWeb"/>
        <w:spacing w:before="0" w:beforeAutospacing="0" w:after="0" w:afterAutospacing="0"/>
        <w:ind w:left="1260"/>
        <w:rPr>
          <w:rFonts w:ascii="Cambria Math" w:hAnsi="Cambria Math" w:cs="Calibri"/>
          <w:sz w:val="22"/>
          <w:szCs w:val="22"/>
          <w:lang w:val=""/>
        </w:rPr>
      </w:pPr>
      <w:r>
        <w:rPr>
          <w:rFonts w:ascii="Cambria Math" w:hAnsi="Cambria Math" w:cs="Calibri"/>
          <w:noProof/>
          <w:sz w:val="22"/>
          <w:szCs w:val="22"/>
          <w:lang w:val=""/>
        </w:rPr>
        <w:drawing>
          <wp:inline distT="0" distB="0" distL="0" distR="0" wp14:anchorId="3E885681" wp14:editId="0F6B5986">
            <wp:extent cx="5172075" cy="171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75" cy="171450"/>
                    </a:xfrm>
                    <a:prstGeom prst="rect">
                      <a:avLst/>
                    </a:prstGeom>
                    <a:noFill/>
                    <a:ln>
                      <a:noFill/>
                    </a:ln>
                  </pic:spPr>
                </pic:pic>
              </a:graphicData>
            </a:graphic>
          </wp:inline>
        </w:drawing>
      </w:r>
    </w:p>
    <w:p w14:paraId="3153CBC7"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2456282C" wp14:editId="184FE632">
            <wp:extent cx="5162550" cy="4381500"/>
            <wp:effectExtent l="0" t="0" r="0" b="0"/>
            <wp:docPr id="26" name="Picture 26" descr="Performance &#10;Ratios &#10;Cash flow to &#10;revenue &#10;Cash return on &#10;assets &#10;Cash return on &#10;equity &#10;Cash to income &#10;Cash flow per &#10;sharea &#10;Coverage Ratios &#10;Debt coverage &#10;Interest coverageb &#10;Reinvestment &#10;Debt payment &#10;Dividend payment &#10;Investing and &#10;financing &#10;Calculation &#10;CFO &#10;CFO &#10;CFO &#10;CFO &#10;(CFO &#10;— Net revenue &#10;* Average total assets &#10;* Average shareholders' equity &#10;— Operating income &#10;— Preferred dividends) - Number of &#10;common shares outstanding &#10;Calculation &#10;CFO * Total debt &#10;(CFO + Interest paid + Taxes paid) &#10;Interest paid &#10;CFO * Cash paid for long-term assets &#10;CFO * Cash paid for long-term debt &#10;repayment &#10;CFO * Dividends paid &#10;CFO * Cash outflows for investing and &#10;financing activities &#10;What It Measures &#10;Operating cash generated per dollar of &#10;revenue &#10;Operating cash generated per dollar of &#10;asset investment &#10;Operating cash generated per dollar of &#10;owner investment &#10;Cash generating ability of operations &#10;Operating cash flow on a per-share &#10;basis &#10;What It Measures &#10;Financial risk and financial leverage &#10;Ability to meet interest obligations &#10;Ability to acquire assets with operating &#10;cash flows &#10;Ability to pay debts with operating cash &#10;flows &#10;Ability to pay dividends with operating &#10;cash flows &#10;Ability to acquire assets, pay debts; and &#10;make distributions to own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rformance &#10;Ratios &#10;Cash flow to &#10;revenue &#10;Cash return on &#10;assets &#10;Cash return on &#10;equity &#10;Cash to income &#10;Cash flow per &#10;sharea &#10;Coverage Ratios &#10;Debt coverage &#10;Interest coverageb &#10;Reinvestment &#10;Debt payment &#10;Dividend payment &#10;Investing and &#10;financing &#10;Calculation &#10;CFO &#10;CFO &#10;CFO &#10;CFO &#10;(CFO &#10;— Net revenue &#10;* Average total assets &#10;* Average shareholders' equity &#10;— Operating income &#10;— Preferred dividends) - Number of &#10;common shares outstanding &#10;Calculation &#10;CFO * Total debt &#10;(CFO + Interest paid + Taxes paid) &#10;Interest paid &#10;CFO * Cash paid for long-term assets &#10;CFO * Cash paid for long-term debt &#10;repayment &#10;CFO * Dividends paid &#10;CFO * Cash outflows for investing and &#10;financing activities &#10;What It Measures &#10;Operating cash generated per dollar of &#10;revenue &#10;Operating cash generated per dollar of &#10;asset investment &#10;Operating cash generated per dollar of &#10;owner investment &#10;Cash generating ability of operations &#10;Operating cash flow on a per-share &#10;basis &#10;What It Measures &#10;Financial risk and financial leverage &#10;Ability to meet interest obligations &#10;Ability to acquire assets with operating &#10;cash flows &#10;Ability to pay debts with operating cash &#10;flows &#10;Ability to pay dividends with operating &#10;cash flows &#10;Ability to acquire assets, pay debts; and &#10;make distributions to owner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4381500"/>
                    </a:xfrm>
                    <a:prstGeom prst="rect">
                      <a:avLst/>
                    </a:prstGeom>
                    <a:noFill/>
                    <a:ln>
                      <a:noFill/>
                    </a:ln>
                  </pic:spPr>
                </pic:pic>
              </a:graphicData>
            </a:graphic>
          </wp:inline>
        </w:drawing>
      </w:r>
    </w:p>
    <w:p w14:paraId="76BD624A"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4C3EC735" wp14:editId="1F6D1B31">
            <wp:extent cx="5705475" cy="7258050"/>
            <wp:effectExtent l="0" t="0" r="9525" b="0"/>
            <wp:docPr id="27" name="Picture 27" descr="OGD ー &#10;Rou. &#10;- れ 塹 &#10;Alp &#10;ヤ い 次 ツ い 〕 &#10;年 ツ 匸 の &#10;1- イ め ~ 紐 イ ~ 〔 の &#10;ム ル A/R 人 de-fgmeøt 祀 &#10;い め “ 当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GD ー &#10;Rou. &#10;- れ 塹 &#10;Alp &#10;ヤ い 次 ツ い 〕 &#10;年 ツ 匸 の &#10;1- イ め ~ 紐 イ ~ 〔 の &#10;ム ル A/R 人 de-fgmeøt 祀 &#10;い め “ 当 ↑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5475" cy="7258050"/>
                    </a:xfrm>
                    <a:prstGeom prst="rect">
                      <a:avLst/>
                    </a:prstGeom>
                    <a:noFill/>
                    <a:ln>
                      <a:noFill/>
                    </a:ln>
                  </pic:spPr>
                </pic:pic>
              </a:graphicData>
            </a:graphic>
          </wp:inline>
        </w:drawing>
      </w:r>
    </w:p>
    <w:p w14:paraId="5A709848" w14:textId="77777777" w:rsidR="00000000" w:rsidRDefault="001875C9">
      <w:pPr>
        <w:pStyle w:val="Heading1"/>
        <w:spacing w:before="0" w:beforeAutospacing="0" w:after="0" w:afterAutospacing="0"/>
        <w:ind w:left="720"/>
        <w:rPr>
          <w:rFonts w:ascii="Cambria Math" w:eastAsia="Times New Roman" w:hAnsi="Cambria Math" w:cs="Calibri"/>
          <w:sz w:val="22"/>
          <w:szCs w:val="22"/>
        </w:rPr>
      </w:pPr>
      <w:r>
        <w:rPr>
          <w:rFonts w:ascii="Cambria Math" w:eastAsia="Times New Roman" w:hAnsi="Cambria Math" w:cs="Calibri"/>
          <w:sz w:val="22"/>
          <w:szCs w:val="22"/>
        </w:rPr>
        <w:t> </w:t>
      </w:r>
    </w:p>
    <w:p w14:paraId="2C8EF579" w14:textId="77777777" w:rsidR="00000000" w:rsidRDefault="001875C9">
      <w:pPr>
        <w:pStyle w:val="Heading1"/>
        <w:spacing w:before="0" w:beforeAutospacing="0" w:after="0" w:afterAutospacing="0"/>
        <w:ind w:left="720"/>
        <w:rPr>
          <w:rFonts w:ascii="Cambria Math" w:eastAsia="Times New Roman" w:hAnsi="Cambria Math" w:cs="Calibri"/>
          <w:sz w:val="22"/>
          <w:szCs w:val="22"/>
        </w:rPr>
      </w:pPr>
      <w:r>
        <w:rPr>
          <w:rFonts w:ascii="Cambria Math" w:eastAsia="Times New Roman" w:hAnsi="Cambria Math" w:cs="Calibri"/>
          <w:sz w:val="22"/>
          <w:szCs w:val="22"/>
        </w:rPr>
        <w:t> </w:t>
      </w:r>
    </w:p>
    <w:p w14:paraId="036BEB57" w14:textId="77777777" w:rsidR="00000000" w:rsidRDefault="001875C9">
      <w:pPr>
        <w:pStyle w:val="Heading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READING 24. FINANCIAL ANALYSIS TECHNIQUES</w:t>
      </w:r>
    </w:p>
    <w:p w14:paraId="5E302DEA" w14:textId="77777777" w:rsidR="00000000" w:rsidRDefault="001875C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95E4485" w14:textId="77777777" w:rsidR="00000000" w:rsidRDefault="001875C9">
      <w:pPr>
        <w:numPr>
          <w:ilvl w:val="1"/>
          <w:numId w:val="36"/>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tools and techniques used in financial analysis, including their uses and limitations</w:t>
      </w:r>
    </w:p>
    <w:p w14:paraId="30778C57" w14:textId="77777777" w:rsidR="00000000" w:rsidRDefault="001875C9">
      <w:pPr>
        <w:numPr>
          <w:ilvl w:val="1"/>
          <w:numId w:val="3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7B8DF99" wp14:editId="4A66BE48">
            <wp:extent cx="6324600" cy="1123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1123950"/>
                    </a:xfrm>
                    <a:prstGeom prst="rect">
                      <a:avLst/>
                    </a:prstGeom>
                    <a:noFill/>
                    <a:ln>
                      <a:noFill/>
                    </a:ln>
                  </pic:spPr>
                </pic:pic>
              </a:graphicData>
            </a:graphic>
          </wp:inline>
        </w:drawing>
      </w:r>
    </w:p>
    <w:p w14:paraId="754FC057" w14:textId="77777777" w:rsidR="00000000" w:rsidRDefault="001875C9">
      <w:pPr>
        <w:numPr>
          <w:ilvl w:val="1"/>
          <w:numId w:val="3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Classify, calculate, and interpret activity, liquidity, solvency, profitability, and valuation ratios</w:t>
      </w:r>
    </w:p>
    <w:p w14:paraId="0F92C88A" w14:textId="77777777" w:rsidR="00000000" w:rsidRDefault="001875C9">
      <w:pPr>
        <w:numPr>
          <w:ilvl w:val="1"/>
          <w:numId w:val="3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29EB7DB" wp14:editId="7E003561">
            <wp:extent cx="6381750" cy="77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1750" cy="771525"/>
                    </a:xfrm>
                    <a:prstGeom prst="rect">
                      <a:avLst/>
                    </a:prstGeom>
                    <a:noFill/>
                    <a:ln>
                      <a:noFill/>
                    </a:ln>
                  </pic:spPr>
                </pic:pic>
              </a:graphicData>
            </a:graphic>
          </wp:inline>
        </w:drawing>
      </w:r>
    </w:p>
    <w:p w14:paraId="0D23FE39" w14:textId="77777777" w:rsidR="00000000" w:rsidRDefault="001875C9">
      <w:pPr>
        <w:pStyle w:val="NormalWeb"/>
        <w:spacing w:before="0" w:beforeAutospacing="0" w:after="0" w:afterAutospacing="0"/>
        <w:ind w:left="1260"/>
        <w:rPr>
          <w:rFonts w:ascii="Cambria Math" w:hAnsi="Cambria Math" w:cs="Calibri"/>
          <w:sz w:val="22"/>
          <w:szCs w:val="22"/>
          <w:lang w:val=""/>
        </w:rPr>
      </w:pPr>
      <w:r>
        <w:rPr>
          <w:rFonts w:ascii="Cambria Math" w:hAnsi="Cambria Math" w:cs="Calibri"/>
          <w:noProof/>
          <w:sz w:val="22"/>
          <w:szCs w:val="22"/>
          <w:lang w:val=""/>
        </w:rPr>
        <w:drawing>
          <wp:inline distT="0" distB="0" distL="0" distR="0" wp14:anchorId="690CCEDC" wp14:editId="2B68BB3E">
            <wp:extent cx="6372225" cy="361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2225" cy="361950"/>
                    </a:xfrm>
                    <a:prstGeom prst="rect">
                      <a:avLst/>
                    </a:prstGeom>
                    <a:noFill/>
                    <a:ln>
                      <a:noFill/>
                    </a:ln>
                  </pic:spPr>
                </pic:pic>
              </a:graphicData>
            </a:graphic>
          </wp:inline>
        </w:drawing>
      </w:r>
    </w:p>
    <w:p w14:paraId="38DC8B01" w14:textId="77777777" w:rsidR="00000000" w:rsidRDefault="001875C9">
      <w:pPr>
        <w:pStyle w:val="NormalWeb"/>
        <w:spacing w:before="0" w:beforeAutospacing="0" w:after="0" w:afterAutospacing="0"/>
        <w:ind w:left="1260"/>
        <w:rPr>
          <w:rFonts w:ascii="Cambria Math" w:hAnsi="Cambria Math" w:cs="Calibri"/>
          <w:sz w:val="22"/>
          <w:szCs w:val="22"/>
          <w:lang w:val=""/>
        </w:rPr>
      </w:pPr>
      <w:r>
        <w:rPr>
          <w:rFonts w:ascii="Cambria Math" w:hAnsi="Cambria Math" w:cs="Calibri"/>
          <w:noProof/>
          <w:sz w:val="22"/>
          <w:szCs w:val="22"/>
          <w:lang w:val=""/>
        </w:rPr>
        <w:drawing>
          <wp:inline distT="0" distB="0" distL="0" distR="0" wp14:anchorId="6BE413E2" wp14:editId="27DBC78E">
            <wp:extent cx="5848350" cy="333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333375"/>
                    </a:xfrm>
                    <a:prstGeom prst="rect">
                      <a:avLst/>
                    </a:prstGeom>
                    <a:noFill/>
                    <a:ln>
                      <a:noFill/>
                    </a:ln>
                  </pic:spPr>
                </pic:pic>
              </a:graphicData>
            </a:graphic>
          </wp:inline>
        </w:drawing>
      </w:r>
    </w:p>
    <w:p w14:paraId="7FCD64F9"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35834F34" wp14:editId="098255B6">
            <wp:extent cx="6381750" cy="25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1750" cy="257175"/>
                    </a:xfrm>
                    <a:prstGeom prst="rect">
                      <a:avLst/>
                    </a:prstGeom>
                    <a:noFill/>
                    <a:ln>
                      <a:noFill/>
                    </a:ln>
                  </pic:spPr>
                </pic:pic>
              </a:graphicData>
            </a:graphic>
          </wp:inline>
        </w:drawing>
      </w:r>
    </w:p>
    <w:p w14:paraId="05A7ACD5" w14:textId="77777777" w:rsidR="00000000" w:rsidRDefault="001875C9">
      <w:pPr>
        <w:numPr>
          <w:ilvl w:val="1"/>
          <w:numId w:val="39"/>
        </w:numPr>
        <w:textAlignment w:val="center"/>
        <w:rPr>
          <w:rFonts w:ascii="Calibri" w:eastAsia="Times New Roman" w:hAnsi="Calibri" w:cs="Calibri"/>
          <w:b/>
          <w:bCs/>
          <w:sz w:val="20"/>
          <w:szCs w:val="20"/>
        </w:rPr>
      </w:pPr>
      <w:r>
        <w:rPr>
          <w:rFonts w:ascii="Calibri" w:eastAsia="Times New Roman" w:hAnsi="Calibri" w:cs="Calibri"/>
          <w:b/>
          <w:bCs/>
          <w:noProof/>
          <w:sz w:val="20"/>
          <w:szCs w:val="20"/>
        </w:rPr>
        <w:drawing>
          <wp:inline distT="0" distB="0" distL="0" distR="0" wp14:anchorId="681ED618" wp14:editId="020852A7">
            <wp:extent cx="6381750" cy="161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81750" cy="161925"/>
                    </a:xfrm>
                    <a:prstGeom prst="rect">
                      <a:avLst/>
                    </a:prstGeom>
                    <a:noFill/>
                    <a:ln>
                      <a:noFill/>
                    </a:ln>
                  </pic:spPr>
                </pic:pic>
              </a:graphicData>
            </a:graphic>
          </wp:inline>
        </w:drawing>
      </w:r>
    </w:p>
    <w:p w14:paraId="0C9E0AF9" w14:textId="77777777" w:rsidR="00000000" w:rsidRDefault="001875C9">
      <w:pPr>
        <w:pStyle w:val="NormalWeb"/>
        <w:spacing w:before="0" w:beforeAutospacing="0" w:after="0" w:afterAutospacing="0"/>
        <w:ind w:left="1260"/>
        <w:rPr>
          <w:rFonts w:ascii="Calibri" w:hAnsi="Calibri" w:cs="Calibri"/>
          <w:sz w:val="20"/>
          <w:szCs w:val="20"/>
        </w:rPr>
      </w:pPr>
      <w:r>
        <w:rPr>
          <w:rFonts w:ascii="Calibri" w:hAnsi="Calibri" w:cs="Calibri"/>
          <w:noProof/>
          <w:sz w:val="20"/>
          <w:szCs w:val="20"/>
        </w:rPr>
        <w:drawing>
          <wp:inline distT="0" distB="0" distL="0" distR="0" wp14:anchorId="145794C8" wp14:editId="7EF37467">
            <wp:extent cx="6381750" cy="257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0" cy="257175"/>
                    </a:xfrm>
                    <a:prstGeom prst="rect">
                      <a:avLst/>
                    </a:prstGeom>
                    <a:noFill/>
                    <a:ln>
                      <a:noFill/>
                    </a:ln>
                  </pic:spPr>
                </pic:pic>
              </a:graphicData>
            </a:graphic>
          </wp:inline>
        </w:drawing>
      </w:r>
    </w:p>
    <w:p w14:paraId="2617B0A6" w14:textId="77777777" w:rsidR="00000000" w:rsidRDefault="001875C9">
      <w:pPr>
        <w:numPr>
          <w:ilvl w:val="1"/>
          <w:numId w:val="40"/>
        </w:numPr>
        <w:textAlignment w:val="center"/>
        <w:rPr>
          <w:rFonts w:ascii="Calibri" w:eastAsia="Times New Roman" w:hAnsi="Calibri" w:cs="Calibri"/>
          <w:b/>
          <w:bCs/>
          <w:sz w:val="22"/>
          <w:szCs w:val="22"/>
        </w:rPr>
      </w:pPr>
      <w:r>
        <w:rPr>
          <w:rFonts w:ascii="Calibri" w:eastAsia="Times New Roman" w:hAnsi="Calibri" w:cs="Calibri"/>
          <w:b/>
          <w:bCs/>
          <w:noProof/>
          <w:sz w:val="22"/>
          <w:szCs w:val="22"/>
        </w:rPr>
        <w:drawing>
          <wp:inline distT="0" distB="0" distL="0" distR="0" wp14:anchorId="5CC589A7" wp14:editId="213EBDC9">
            <wp:extent cx="6286500" cy="276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6500" cy="276225"/>
                    </a:xfrm>
                    <a:prstGeom prst="rect">
                      <a:avLst/>
                    </a:prstGeom>
                    <a:noFill/>
                    <a:ln>
                      <a:noFill/>
                    </a:ln>
                  </pic:spPr>
                </pic:pic>
              </a:graphicData>
            </a:graphic>
          </wp:inline>
        </w:drawing>
      </w:r>
    </w:p>
    <w:p w14:paraId="75E0A100" w14:textId="77777777" w:rsidR="00000000" w:rsidRDefault="001875C9">
      <w:pPr>
        <w:pStyle w:val="NormalWeb"/>
        <w:spacing w:before="0" w:beforeAutospacing="0" w:after="0" w:afterAutospacing="0"/>
        <w:ind w:left="1260"/>
        <w:rPr>
          <w:rFonts w:ascii="Cambria Math" w:hAnsi="Cambria Math" w:cs="Calibri"/>
          <w:sz w:val="22"/>
          <w:szCs w:val="22"/>
          <w:lang w:val=""/>
        </w:rPr>
      </w:pPr>
      <w:r>
        <w:rPr>
          <w:rFonts w:ascii="Cambria Math" w:hAnsi="Cambria Math" w:cs="Calibri"/>
          <w:noProof/>
          <w:sz w:val="22"/>
          <w:szCs w:val="22"/>
          <w:lang w:val=""/>
        </w:rPr>
        <w:drawing>
          <wp:inline distT="0" distB="0" distL="0" distR="0" wp14:anchorId="7F0393FE" wp14:editId="47517E85">
            <wp:extent cx="6362700" cy="371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2700" cy="371475"/>
                    </a:xfrm>
                    <a:prstGeom prst="rect">
                      <a:avLst/>
                    </a:prstGeom>
                    <a:noFill/>
                    <a:ln>
                      <a:noFill/>
                    </a:ln>
                  </pic:spPr>
                </pic:pic>
              </a:graphicData>
            </a:graphic>
          </wp:inline>
        </w:drawing>
      </w:r>
    </w:p>
    <w:p w14:paraId="458D6EE4"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1C6F88EA" wp14:editId="7DE42F41">
            <wp:extent cx="6381750" cy="276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81750" cy="276225"/>
                    </a:xfrm>
                    <a:prstGeom prst="rect">
                      <a:avLst/>
                    </a:prstGeom>
                    <a:noFill/>
                    <a:ln>
                      <a:noFill/>
                    </a:ln>
                  </pic:spPr>
                </pic:pic>
              </a:graphicData>
            </a:graphic>
          </wp:inline>
        </w:drawing>
      </w:r>
    </w:p>
    <w:p w14:paraId="5DE3FE43" w14:textId="77777777" w:rsidR="00000000" w:rsidRDefault="001875C9">
      <w:pPr>
        <w:numPr>
          <w:ilvl w:val="1"/>
          <w:numId w:val="41"/>
        </w:numPr>
        <w:textAlignment w:val="center"/>
        <w:rPr>
          <w:rFonts w:ascii="Calibri" w:eastAsia="Times New Roman" w:hAnsi="Calibri" w:cs="Calibri"/>
          <w:b/>
          <w:bCs/>
          <w:sz w:val="22"/>
          <w:szCs w:val="22"/>
        </w:rPr>
      </w:pPr>
      <w:r>
        <w:rPr>
          <w:rFonts w:ascii="Calibri" w:eastAsia="Times New Roman" w:hAnsi="Calibri" w:cs="Calibri"/>
          <w:b/>
          <w:bCs/>
          <w:noProof/>
          <w:sz w:val="22"/>
          <w:szCs w:val="22"/>
        </w:rPr>
        <w:drawing>
          <wp:inline distT="0" distB="0" distL="0" distR="0" wp14:anchorId="35F5BDEF" wp14:editId="2F845444">
            <wp:extent cx="6372225" cy="52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2225" cy="523875"/>
                    </a:xfrm>
                    <a:prstGeom prst="rect">
                      <a:avLst/>
                    </a:prstGeom>
                    <a:noFill/>
                    <a:ln>
                      <a:noFill/>
                    </a:ln>
                  </pic:spPr>
                </pic:pic>
              </a:graphicData>
            </a:graphic>
          </wp:inline>
        </w:drawing>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38"/>
        <w:gridCol w:w="3501"/>
      </w:tblGrid>
      <w:tr w:rsidR="00000000" w14:paraId="04B6C2AD" w14:textId="77777777">
        <w:trPr>
          <w:divId w:val="92088779"/>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9E3D97"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Net sales</w:t>
            </w:r>
          </w:p>
        </w:tc>
        <w:tc>
          <w:tcPr>
            <w:tcW w:w="34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D76E3"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257C7A83" w14:textId="77777777">
        <w:trPr>
          <w:divId w:val="92088779"/>
        </w:trPr>
        <w:tc>
          <w:tcPr>
            <w:tcW w:w="38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572303" w14:textId="77777777" w:rsidR="00000000" w:rsidRDefault="001875C9">
            <w:pPr>
              <w:numPr>
                <w:ilvl w:val="2"/>
                <w:numId w:val="42"/>
              </w:numPr>
              <w:ind w:left="1440"/>
              <w:textAlignment w:val="center"/>
              <w:rPr>
                <w:rFonts w:eastAsia="Times New Roman"/>
              </w:rPr>
            </w:pPr>
            <w:r>
              <w:rPr>
                <w:rFonts w:ascii="Calibri" w:eastAsia="Times New Roman" w:hAnsi="Calibri" w:cs="Calibri"/>
                <w:sz w:val="22"/>
                <w:szCs w:val="22"/>
              </w:rPr>
              <w:t>COGS</w:t>
            </w:r>
          </w:p>
        </w:tc>
        <w:tc>
          <w:tcPr>
            <w:tcW w:w="3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E724D3"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7BAD3965" w14:textId="77777777">
        <w:trPr>
          <w:divId w:val="92088779"/>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74AE7C"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34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69C0C"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gross profit</w:t>
            </w:r>
          </w:p>
        </w:tc>
      </w:tr>
      <w:tr w:rsidR="00000000" w14:paraId="0927DB5B" w14:textId="77777777">
        <w:trPr>
          <w:divId w:val="92088779"/>
        </w:trPr>
        <w:tc>
          <w:tcPr>
            <w:tcW w:w="38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7FCB02" w14:textId="77777777" w:rsidR="00000000" w:rsidRDefault="001875C9">
            <w:pPr>
              <w:numPr>
                <w:ilvl w:val="2"/>
                <w:numId w:val="42"/>
              </w:numPr>
              <w:ind w:left="1440"/>
              <w:textAlignment w:val="center"/>
              <w:rPr>
                <w:rFonts w:eastAsia="Times New Roman"/>
              </w:rPr>
            </w:pPr>
            <w:r>
              <w:rPr>
                <w:rFonts w:ascii="Calibri" w:eastAsia="Times New Roman" w:hAnsi="Calibri" w:cs="Calibri"/>
                <w:sz w:val="22"/>
                <w:szCs w:val="22"/>
              </w:rPr>
              <w:t>Operating  expenses</w:t>
            </w:r>
          </w:p>
        </w:tc>
        <w:tc>
          <w:tcPr>
            <w:tcW w:w="3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9BD42F"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4DD4E378" w14:textId="77777777">
        <w:trPr>
          <w:divId w:val="92088779"/>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16E216"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34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EC5064"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operating profit (EBIT)</w:t>
            </w:r>
          </w:p>
        </w:tc>
      </w:tr>
      <w:tr w:rsidR="00000000" w14:paraId="71DD0B36" w14:textId="77777777">
        <w:trPr>
          <w:divId w:val="92088779"/>
        </w:trPr>
        <w:tc>
          <w:tcPr>
            <w:tcW w:w="38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2755F2" w14:textId="77777777" w:rsidR="00000000" w:rsidRDefault="001875C9">
            <w:pPr>
              <w:numPr>
                <w:ilvl w:val="2"/>
                <w:numId w:val="42"/>
              </w:numPr>
              <w:ind w:left="1440"/>
              <w:textAlignment w:val="center"/>
              <w:rPr>
                <w:rFonts w:eastAsia="Times New Roman"/>
              </w:rPr>
            </w:pPr>
            <w:r>
              <w:rPr>
                <w:rFonts w:ascii="Calibri" w:eastAsia="Times New Roman" w:hAnsi="Calibri" w:cs="Calibri"/>
                <w:sz w:val="22"/>
                <w:szCs w:val="22"/>
              </w:rPr>
              <w:t xml:space="preserve">Interest </w:t>
            </w:r>
          </w:p>
        </w:tc>
        <w:tc>
          <w:tcPr>
            <w:tcW w:w="3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191F93"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4D58BD16" w14:textId="77777777">
        <w:trPr>
          <w:divId w:val="92088779"/>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041B64"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34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9BA012"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Earnings before taxes (EBT)</w:t>
            </w:r>
          </w:p>
        </w:tc>
      </w:tr>
      <w:tr w:rsidR="00000000" w14:paraId="1F013EB7" w14:textId="77777777">
        <w:trPr>
          <w:divId w:val="92088779"/>
        </w:trPr>
        <w:tc>
          <w:tcPr>
            <w:tcW w:w="38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5ADA12" w14:textId="77777777" w:rsidR="00000000" w:rsidRDefault="001875C9">
            <w:pPr>
              <w:numPr>
                <w:ilvl w:val="2"/>
                <w:numId w:val="42"/>
              </w:numPr>
              <w:ind w:left="1440"/>
              <w:textAlignment w:val="center"/>
              <w:rPr>
                <w:rFonts w:eastAsia="Times New Roman"/>
              </w:rPr>
            </w:pPr>
            <w:r>
              <w:rPr>
                <w:rFonts w:ascii="Calibri" w:eastAsia="Times New Roman" w:hAnsi="Calibri" w:cs="Calibri"/>
                <w:sz w:val="22"/>
                <w:szCs w:val="22"/>
              </w:rPr>
              <w:t xml:space="preserve">Taxes </w:t>
            </w:r>
          </w:p>
        </w:tc>
        <w:tc>
          <w:tcPr>
            <w:tcW w:w="3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6CBFA8"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57031029" w14:textId="77777777">
        <w:trPr>
          <w:divId w:val="92088779"/>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CFAC2E"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34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D0EF0"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Earnings after taxes (EAT)</w:t>
            </w:r>
          </w:p>
        </w:tc>
      </w:tr>
      <w:tr w:rsidR="00000000" w14:paraId="1F26360F" w14:textId="77777777">
        <w:trPr>
          <w:divId w:val="92088779"/>
        </w:trPr>
        <w:tc>
          <w:tcPr>
            <w:tcW w:w="37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8FE237"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below the line </w:t>
            </w:r>
            <w:r>
              <w:rPr>
                <w:rFonts w:ascii="Calibri" w:hAnsi="Calibri" w:cs="Calibri"/>
                <w:sz w:val="22"/>
                <w:szCs w:val="22"/>
              </w:rPr>
              <w:t xml:space="preserve">items adjusted for tax </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E63258"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14F45CBB" w14:textId="77777777">
        <w:trPr>
          <w:divId w:val="92088779"/>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F499FE"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u w:val="single"/>
              </w:rPr>
              <w:t>Net Income</w:t>
            </w:r>
          </w:p>
        </w:tc>
        <w:tc>
          <w:tcPr>
            <w:tcW w:w="34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C47620"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0B9FCC19" w14:textId="77777777">
        <w:trPr>
          <w:divId w:val="92088779"/>
        </w:trPr>
        <w:tc>
          <w:tcPr>
            <w:tcW w:w="38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9620C3" w14:textId="77777777" w:rsidR="00000000" w:rsidRDefault="001875C9">
            <w:pPr>
              <w:numPr>
                <w:ilvl w:val="2"/>
                <w:numId w:val="42"/>
              </w:numPr>
              <w:ind w:left="1440"/>
              <w:textAlignment w:val="center"/>
              <w:rPr>
                <w:rFonts w:eastAsia="Times New Roman"/>
              </w:rPr>
            </w:pPr>
            <w:r>
              <w:rPr>
                <w:rFonts w:ascii="Calibri" w:eastAsia="Times New Roman" w:hAnsi="Calibri" w:cs="Calibri"/>
                <w:sz w:val="22"/>
                <w:szCs w:val="22"/>
              </w:rPr>
              <w:t>Preferred dividends</w:t>
            </w:r>
          </w:p>
        </w:tc>
        <w:tc>
          <w:tcPr>
            <w:tcW w:w="3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3C6D7"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14:paraId="726F7F02" w14:textId="77777777">
        <w:trPr>
          <w:divId w:val="92088779"/>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659215"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3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A1EF8B"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income available to common stock </w:t>
            </w:r>
          </w:p>
        </w:tc>
      </w:tr>
    </w:tbl>
    <w:p w14:paraId="3A6875EC" w14:textId="77777777" w:rsidR="00000000" w:rsidRDefault="001875C9">
      <w:pPr>
        <w:pStyle w:val="NormalWeb"/>
        <w:spacing w:before="0" w:beforeAutospacing="0" w:after="0" w:afterAutospacing="0"/>
        <w:ind w:left="1260"/>
        <w:rPr>
          <w:rFonts w:ascii="Cambria Math" w:hAnsi="Cambria Math" w:cs="Calibri"/>
          <w:sz w:val="22"/>
          <w:szCs w:val="22"/>
          <w:lang w:val=""/>
        </w:rPr>
      </w:pPr>
      <w:r>
        <w:rPr>
          <w:rFonts w:ascii="Cambria Math" w:hAnsi="Cambria Math" w:cs="Calibri"/>
          <w:noProof/>
          <w:sz w:val="22"/>
          <w:szCs w:val="22"/>
          <w:lang w:val=""/>
        </w:rPr>
        <w:drawing>
          <wp:inline distT="0" distB="0" distL="0" distR="0" wp14:anchorId="02A17166" wp14:editId="06880E7B">
            <wp:extent cx="6381750" cy="371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0" cy="371475"/>
                    </a:xfrm>
                    <a:prstGeom prst="rect">
                      <a:avLst/>
                    </a:prstGeom>
                    <a:noFill/>
                    <a:ln>
                      <a:noFill/>
                    </a:ln>
                  </pic:spPr>
                </pic:pic>
              </a:graphicData>
            </a:graphic>
          </wp:inline>
        </w:drawing>
      </w:r>
    </w:p>
    <w:p w14:paraId="5480C4DC" w14:textId="77777777" w:rsidR="00000000" w:rsidRDefault="001875C9">
      <w:pPr>
        <w:pStyle w:val="NormalWeb"/>
        <w:spacing w:before="0" w:beforeAutospacing="0" w:after="0" w:afterAutospacing="0"/>
        <w:ind w:left="1260"/>
        <w:rPr>
          <w:rFonts w:ascii="Cambria Math" w:hAnsi="Cambria Math" w:cs="Calibri"/>
          <w:color w:val="000000"/>
          <w:sz w:val="22"/>
          <w:szCs w:val="22"/>
          <w:lang w:val=""/>
        </w:rPr>
      </w:pPr>
      <w:r>
        <w:rPr>
          <w:rFonts w:ascii="Cambria Math" w:hAnsi="Cambria Math" w:cs="Calibri"/>
          <w:noProof/>
          <w:color w:val="000000"/>
          <w:sz w:val="22"/>
          <w:szCs w:val="22"/>
          <w:lang w:val=""/>
        </w:rPr>
        <w:drawing>
          <wp:inline distT="0" distB="0" distL="0" distR="0" wp14:anchorId="2CA02F8C" wp14:editId="184CD46F">
            <wp:extent cx="6381750" cy="714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1750" cy="714375"/>
                    </a:xfrm>
                    <a:prstGeom prst="rect">
                      <a:avLst/>
                    </a:prstGeom>
                    <a:noFill/>
                    <a:ln>
                      <a:noFill/>
                    </a:ln>
                  </pic:spPr>
                </pic:pic>
              </a:graphicData>
            </a:graphic>
          </wp:inline>
        </w:drawing>
      </w:r>
    </w:p>
    <w:p w14:paraId="6B0D1BDD" w14:textId="77777777" w:rsidR="00000000" w:rsidRDefault="001875C9">
      <w:pPr>
        <w:numPr>
          <w:ilvl w:val="1"/>
          <w:numId w:val="43"/>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Describe </w:t>
      </w:r>
      <w:r>
        <w:rPr>
          <w:rFonts w:ascii="Calibri" w:eastAsia="Times New Roman" w:hAnsi="Calibri" w:cs="Calibri"/>
          <w:color w:val="2E75B5"/>
          <w:sz w:val="22"/>
          <w:szCs w:val="22"/>
        </w:rPr>
        <w:t>relationships among ratios and evaluate a company using ratio analysis</w:t>
      </w:r>
    </w:p>
    <w:p w14:paraId="70F2D55C" w14:textId="77777777" w:rsidR="00000000" w:rsidRDefault="001875C9">
      <w:pPr>
        <w:numPr>
          <w:ilvl w:val="1"/>
          <w:numId w:val="43"/>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Demonstrate the application of DuPont analysis of return on equity and calculate and interpret effects of changes in its components</w:t>
      </w:r>
    </w:p>
    <w:p w14:paraId="2EF00FCD" w14:textId="77777777" w:rsidR="00000000" w:rsidRDefault="001875C9">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highlight w:val="yellow"/>
        </w:rPr>
        <w:t>Debt-to-equity=total debt ratio × financial leverage</w:t>
      </w:r>
      <w:r>
        <w:rPr>
          <w:rFonts w:ascii="Calibri" w:eastAsia="Times New Roman" w:hAnsi="Calibri" w:cs="Calibri"/>
          <w:sz w:val="22"/>
          <w:szCs w:val="22"/>
        </w:rPr>
        <w:t>; 5-step:tax burden=(1-tax%), interest burden,</w:t>
      </w:r>
      <w:r>
        <w:rPr>
          <w:rFonts w:ascii="Calibri" w:eastAsia="Times New Roman" w:hAnsi="Calibri" w:cs="Calibri"/>
          <w:sz w:val="22"/>
          <w:szCs w:val="22"/>
          <w:u w:val="single"/>
        </w:rPr>
        <w:t>EBIT margin</w:t>
      </w:r>
    </w:p>
    <w:p w14:paraId="4A9AFC2C"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567E74F6" wp14:editId="4C59E043">
            <wp:extent cx="638175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1750" cy="457200"/>
                    </a:xfrm>
                    <a:prstGeom prst="rect">
                      <a:avLst/>
                    </a:prstGeom>
                    <a:noFill/>
                    <a:ln>
                      <a:noFill/>
                    </a:ln>
                  </pic:spPr>
                </pic:pic>
              </a:graphicData>
            </a:graphic>
          </wp:inline>
        </w:drawing>
      </w:r>
    </w:p>
    <w:p w14:paraId="36C8EF83" w14:textId="77777777" w:rsidR="00000000" w:rsidRDefault="001875C9">
      <w:pPr>
        <w:numPr>
          <w:ilvl w:val="1"/>
          <w:numId w:val="4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Calculate and interpret ratios used in </w:t>
      </w:r>
      <w:r>
        <w:rPr>
          <w:rFonts w:ascii="Calibri" w:eastAsia="Times New Roman" w:hAnsi="Calibri" w:cs="Calibri"/>
          <w:b/>
          <w:bCs/>
          <w:color w:val="2E75B5"/>
          <w:sz w:val="22"/>
          <w:szCs w:val="22"/>
        </w:rPr>
        <w:t>equity analysis</w:t>
      </w:r>
      <w:r>
        <w:rPr>
          <w:rFonts w:ascii="Calibri" w:eastAsia="Times New Roman" w:hAnsi="Calibri" w:cs="Calibri"/>
          <w:color w:val="2E75B5"/>
          <w:sz w:val="22"/>
          <w:szCs w:val="22"/>
        </w:rPr>
        <w:t xml:space="preserve"> and credit analysis</w:t>
      </w:r>
    </w:p>
    <w:p w14:paraId="55995206" w14:textId="77777777" w:rsidR="00000000" w:rsidRDefault="001875C9">
      <w:pPr>
        <w:numPr>
          <w:ilvl w:val="1"/>
          <w:numId w:val="4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EFD593C" wp14:editId="4855260B">
            <wp:extent cx="6334125" cy="771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4125" cy="771525"/>
                    </a:xfrm>
                    <a:prstGeom prst="rect">
                      <a:avLst/>
                    </a:prstGeom>
                    <a:noFill/>
                    <a:ln>
                      <a:noFill/>
                    </a:ln>
                  </pic:spPr>
                </pic:pic>
              </a:graphicData>
            </a:graphic>
          </wp:inline>
        </w:drawing>
      </w:r>
    </w:p>
    <w:p w14:paraId="75EC9D6C" w14:textId="77777777" w:rsidR="00000000" w:rsidRDefault="001875C9">
      <w:pPr>
        <w:numPr>
          <w:ilvl w:val="1"/>
          <w:numId w:val="4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05A14645" wp14:editId="1711897B">
            <wp:extent cx="6381750" cy="1228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1750" cy="1228725"/>
                    </a:xfrm>
                    <a:prstGeom prst="rect">
                      <a:avLst/>
                    </a:prstGeom>
                    <a:noFill/>
                    <a:ln>
                      <a:noFill/>
                    </a:ln>
                  </pic:spPr>
                </pic:pic>
              </a:graphicData>
            </a:graphic>
          </wp:inline>
        </w:drawing>
      </w:r>
    </w:p>
    <w:p w14:paraId="116031FF" w14:textId="77777777" w:rsidR="00000000" w:rsidRDefault="001875C9">
      <w:pPr>
        <w:pStyle w:val="NormalWeb"/>
        <w:spacing w:before="0" w:beforeAutospacing="0" w:after="0" w:afterAutospacing="0"/>
        <w:ind w:left="2880"/>
        <w:rPr>
          <w:rFonts w:ascii="Calibri" w:hAnsi="Calibri" w:cs="Calibri"/>
          <w:sz w:val="22"/>
          <w:szCs w:val="22"/>
        </w:rPr>
      </w:pPr>
      <w:r>
        <w:rPr>
          <w:rFonts w:ascii="Calibri" w:hAnsi="Calibri" w:cs="Calibri"/>
          <w:noProof/>
          <w:sz w:val="22"/>
          <w:szCs w:val="22"/>
        </w:rPr>
        <w:drawing>
          <wp:inline distT="0" distB="0" distL="0" distR="0" wp14:anchorId="16D3E0F1" wp14:editId="59694C4D">
            <wp:extent cx="5000625" cy="2171700"/>
            <wp:effectExtent l="0" t="0" r="9525" b="0"/>
            <wp:docPr id="44" name="Picture 44" descr="Credit Ratio &#10;EBITDA interest &#10;coverage &#10;FFOC (Funds from &#10;operations) to debt &#10;Free operating cash flow &#10;to debt &#10;EBIT margin &#10;EBITDA margin &#10;Debt to EBITDA &#10;Return on capital &#10;Numerator &#10;EBITDAb &#10;CFOd (adjusted) minus &#10;capital expenditures &#10;EBITe &#10;EBITDA &#10;Total debt &#10;EBIT &#10;Denominatora &#10;Interest expense, including non-cash interest on &#10;conventional debt instruments &#10;Total debt &#10;Total debt &#10;Total revenues &#10;Total revenues &#10;EBITDA &#10;Average beginning-of-year and end-of-year &#10;capi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redit Ratio &#10;EBITDA interest &#10;coverage &#10;FFOC (Funds from &#10;operations) to debt &#10;Free operating cash flow &#10;to debt &#10;EBIT margin &#10;EBITDA margin &#10;Debt to EBITDA &#10;Return on capital &#10;Numerator &#10;EBITDAb &#10;CFOd (adjusted) minus &#10;capital expenditures &#10;EBITe &#10;EBITDA &#10;Total debt &#10;EBIT &#10;Denominatora &#10;Interest expense, including non-cash interest on &#10;conventional debt instruments &#10;Total debt &#10;Total debt &#10;Total revenues &#10;Total revenues &#10;EBITDA &#10;Average beginning-of-year and end-of-year &#10;capital'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0625" cy="2171700"/>
                    </a:xfrm>
                    <a:prstGeom prst="rect">
                      <a:avLst/>
                    </a:prstGeom>
                    <a:noFill/>
                    <a:ln>
                      <a:noFill/>
                    </a:ln>
                  </pic:spPr>
                </pic:pic>
              </a:graphicData>
            </a:graphic>
          </wp:inline>
        </w:drawing>
      </w:r>
    </w:p>
    <w:p w14:paraId="326ABD8F" w14:textId="77777777" w:rsidR="00000000" w:rsidRDefault="001875C9">
      <w:pPr>
        <w:numPr>
          <w:ilvl w:val="1"/>
          <w:numId w:val="46"/>
        </w:numPr>
        <w:textAlignment w:val="center"/>
        <w:rPr>
          <w:rFonts w:ascii="Calibri" w:eastAsia="Times New Roman" w:hAnsi="Calibri" w:cs="Calibri"/>
          <w:sz w:val="22"/>
          <w:szCs w:val="22"/>
        </w:rPr>
      </w:pPr>
      <w:r>
        <w:rPr>
          <w:rFonts w:ascii="Calibri" w:eastAsia="Times New Roman" w:hAnsi="Calibri" w:cs="Calibri"/>
          <w:b/>
          <w:bCs/>
          <w:sz w:val="22"/>
          <w:szCs w:val="22"/>
        </w:rPr>
        <w:t>Risk analysis</w:t>
      </w:r>
      <w:r>
        <w:rPr>
          <w:rFonts w:ascii="Calibri" w:eastAsia="Times New Roman" w:hAnsi="Calibri" w:cs="Calibri"/>
          <w:sz w:val="22"/>
          <w:szCs w:val="22"/>
        </w:rPr>
        <w:t>: interest coverage ratios, retur</w:t>
      </w:r>
      <w:r>
        <w:rPr>
          <w:rFonts w:ascii="Calibri" w:eastAsia="Times New Roman" w:hAnsi="Calibri" w:cs="Calibri"/>
          <w:sz w:val="22"/>
          <w:szCs w:val="22"/>
        </w:rPr>
        <w:t xml:space="preserve">n on capital, debt-to-assets ratios, cash flow to debts. Altman bankruptcy </w:t>
      </w:r>
      <w:r>
        <w:rPr>
          <w:rFonts w:ascii="Calibri" w:eastAsia="Times New Roman" w:hAnsi="Calibri" w:cs="Calibri"/>
          <w:sz w:val="22"/>
          <w:szCs w:val="22"/>
          <w:shd w:val="clear" w:color="auto" w:fill="FAC08F"/>
        </w:rPr>
        <w:t>z-score &lt;1.8</w:t>
      </w:r>
      <w:r>
        <w:rPr>
          <w:rFonts w:ascii="Calibri" w:eastAsia="Times New Roman" w:hAnsi="Calibri" w:cs="Calibri"/>
          <w:sz w:val="22"/>
          <w:szCs w:val="22"/>
        </w:rPr>
        <w:t xml:space="preserve"> based on: WC, RetE, EBIT, revenue to assets; market to book value of a stock share. </w:t>
      </w:r>
    </w:p>
    <w:p w14:paraId="43F6DA16" w14:textId="77777777" w:rsidR="00000000" w:rsidRDefault="001875C9">
      <w:pPr>
        <w:numPr>
          <w:ilvl w:val="1"/>
          <w:numId w:val="4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Explain the requirements for segment reporting and calculate and interpret segment </w:t>
      </w:r>
      <w:r>
        <w:rPr>
          <w:rFonts w:ascii="Calibri" w:eastAsia="Times New Roman" w:hAnsi="Calibri" w:cs="Calibri"/>
          <w:color w:val="2E75B5"/>
          <w:sz w:val="22"/>
          <w:szCs w:val="22"/>
        </w:rPr>
        <w:t>ratios</w:t>
      </w:r>
    </w:p>
    <w:p w14:paraId="70194E3D" w14:textId="77777777" w:rsidR="00000000" w:rsidRDefault="001875C9">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Business segment: a portion of company accounting for more than </w:t>
      </w:r>
      <w:r>
        <w:rPr>
          <w:rFonts w:ascii="Calibri" w:eastAsia="Times New Roman" w:hAnsi="Calibri" w:cs="Calibri"/>
          <w:b/>
          <w:bCs/>
          <w:sz w:val="22"/>
          <w:szCs w:val="22"/>
        </w:rPr>
        <w:t>10%</w:t>
      </w:r>
      <w:r>
        <w:rPr>
          <w:rFonts w:ascii="Calibri" w:eastAsia="Times New Roman" w:hAnsi="Calibri" w:cs="Calibri"/>
          <w:sz w:val="22"/>
          <w:szCs w:val="22"/>
        </w:rPr>
        <w:t xml:space="preserve"> revenue, operating profit or assets, but separate from other lines of business in terms of risk and return </w:t>
      </w:r>
      <w:r>
        <w:rPr>
          <w:rFonts w:ascii="Calibri" w:eastAsia="Times New Roman" w:hAnsi="Calibri" w:cs="Calibri"/>
          <w:sz w:val="22"/>
          <w:szCs w:val="22"/>
        </w:rPr>
        <w:t>characteristics. Geographic segments: meet size criterion and differ geographic environment. - Growth rates, PM, asset utilization(turnover), ROA</w:t>
      </w:r>
    </w:p>
    <w:p w14:paraId="15DB689B" w14:textId="77777777" w:rsidR="00000000" w:rsidRDefault="001875C9">
      <w:pPr>
        <w:numPr>
          <w:ilvl w:val="1"/>
          <w:numId w:val="49"/>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how ratio analysis and other techniques can be used to model and forecast earnings</w:t>
      </w:r>
    </w:p>
    <w:p w14:paraId="1D48D242" w14:textId="77777777" w:rsidR="00000000" w:rsidRDefault="001875C9">
      <w:pPr>
        <w:numPr>
          <w:ilvl w:val="1"/>
          <w:numId w:val="50"/>
        </w:numPr>
        <w:textAlignment w:val="center"/>
        <w:rPr>
          <w:rFonts w:ascii="Calibri" w:eastAsia="Times New Roman" w:hAnsi="Calibri" w:cs="Calibri"/>
          <w:sz w:val="22"/>
          <w:szCs w:val="22"/>
        </w:rPr>
      </w:pPr>
      <w:r>
        <w:rPr>
          <w:rFonts w:ascii="Calibri" w:eastAsia="Times New Roman" w:hAnsi="Calibri" w:cs="Calibri"/>
          <w:b/>
          <w:bCs/>
          <w:sz w:val="22"/>
          <w:szCs w:val="22"/>
        </w:rPr>
        <w:t>Sensitivity</w:t>
      </w:r>
      <w:r>
        <w:rPr>
          <w:rFonts w:ascii="Calibri" w:eastAsia="Times New Roman" w:hAnsi="Calibri" w:cs="Calibri"/>
          <w:sz w:val="22"/>
          <w:szCs w:val="22"/>
        </w:rPr>
        <w:t xml:space="preserve"> analys</w:t>
      </w:r>
      <w:r>
        <w:rPr>
          <w:rFonts w:ascii="Calibri" w:eastAsia="Times New Roman" w:hAnsi="Calibri" w:cs="Calibri"/>
          <w:sz w:val="22"/>
          <w:szCs w:val="22"/>
        </w:rPr>
        <w:t xml:space="preserve">is (what if, show a range of possible outcomes as specific given assumption), </w:t>
      </w:r>
      <w:r>
        <w:rPr>
          <w:rFonts w:ascii="Calibri" w:eastAsia="Times New Roman" w:hAnsi="Calibri" w:cs="Calibri"/>
          <w:b/>
          <w:bCs/>
          <w:sz w:val="22"/>
          <w:szCs w:val="22"/>
        </w:rPr>
        <w:t>scenario</w:t>
      </w:r>
      <w:r>
        <w:rPr>
          <w:rFonts w:ascii="Calibri" w:eastAsia="Times New Roman" w:hAnsi="Calibri" w:cs="Calibri"/>
          <w:sz w:val="22"/>
          <w:szCs w:val="22"/>
        </w:rPr>
        <w:t xml:space="preserve"> analysis (a specific range set of outcomes for key variables or financial quantities given economic events), </w:t>
      </w:r>
      <w:r>
        <w:rPr>
          <w:rFonts w:ascii="Calibri" w:eastAsia="Times New Roman" w:hAnsi="Calibri" w:cs="Calibri"/>
          <w:b/>
          <w:bCs/>
          <w:sz w:val="22"/>
          <w:szCs w:val="22"/>
        </w:rPr>
        <w:t>simulation</w:t>
      </w:r>
      <w:r>
        <w:rPr>
          <w:rFonts w:ascii="Calibri" w:eastAsia="Times New Roman" w:hAnsi="Calibri" w:cs="Calibri"/>
          <w:sz w:val="22"/>
          <w:szCs w:val="22"/>
        </w:rPr>
        <w:t>(computer-generated probability distributions mode</w:t>
      </w:r>
      <w:r>
        <w:rPr>
          <w:rFonts w:ascii="Calibri" w:eastAsia="Times New Roman" w:hAnsi="Calibri" w:cs="Calibri"/>
          <w:sz w:val="22"/>
          <w:szCs w:val="22"/>
        </w:rPr>
        <w:t xml:space="preserve">ling to outcome). When developing forecasts: economic analysis, financial analysis, professional judgement. </w:t>
      </w:r>
    </w:p>
    <w:p w14:paraId="0DB7008D" w14:textId="77777777" w:rsidR="00000000" w:rsidRDefault="001875C9">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37A0FC24" wp14:editId="35F5C692">
            <wp:extent cx="6010275" cy="3400425"/>
            <wp:effectExtent l="0" t="0" r="9525" b="9525"/>
            <wp:docPr id="45" name="Picture 45" descr="X 8 ・ ・ 応 0 0 当 &#10;っ -738 ← 1 さ ・ 」 , 3 0. &#10;0 は ミ き &#10;ト &#10;ー C お 2 &#10;ト ト 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X 8 ・ ・ 応 0 0 当 &#10;っ -738 ← 1 さ ・ 」 , 3 0. &#10;0 は ミ き &#10;ト &#10;ー C お 2 &#10;ト ト ー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0275" cy="3400425"/>
                    </a:xfrm>
                    <a:prstGeom prst="rect">
                      <a:avLst/>
                    </a:prstGeom>
                    <a:noFill/>
                    <a:ln>
                      <a:noFill/>
                    </a:ln>
                  </pic:spPr>
                </pic:pic>
              </a:graphicData>
            </a:graphic>
          </wp:inline>
        </w:drawing>
      </w:r>
    </w:p>
    <w:p w14:paraId="409CDB24" w14:textId="77777777" w:rsidR="00000000" w:rsidRDefault="001875C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C8FDD93" w14:textId="77777777" w:rsidR="00000000" w:rsidRDefault="001875C9">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0CFB28C" wp14:editId="2B0160BB">
            <wp:extent cx="514350" cy="628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EE89E6D" wp14:editId="6D12BA26">
            <wp:extent cx="657225" cy="13087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225" cy="13087350"/>
                    </a:xfrm>
                    <a:prstGeom prst="rect">
                      <a:avLst/>
                    </a:prstGeom>
                    <a:noFill/>
                    <a:ln>
                      <a:noFill/>
                    </a:ln>
                  </pic:spPr>
                </pic:pic>
              </a:graphicData>
            </a:graphic>
          </wp:inline>
        </w:drawing>
      </w:r>
    </w:p>
    <w:p w14:paraId="16344704"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952C88" w14:textId="77777777" w:rsidR="00000000" w:rsidRDefault="001875C9">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027C3C12" wp14:editId="7319202E">
            <wp:extent cx="2914650" cy="1209675"/>
            <wp:effectExtent l="0" t="0" r="0" b="9525"/>
            <wp:docPr id="48" name="Picture 48" descr="-term debt-to-equity = long-term debt &#10;total equity &#10;tal debt-to-equity = total debt &#10;total &#10;debt ratio = &#10;total debt &#10;total &#10;leverage = &#10;total us-et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erm debt-to-equity = long-term debt &#10;total equity &#10;tal debt-to-equity = total debt &#10;total &#10;debt ratio = &#10;total debt &#10;total &#10;leverage = &#10;total us-etg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12096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5F473E9" wp14:editId="2E0F6B1E">
            <wp:extent cx="104775" cy="104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p w14:paraId="6BDA5391"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C4CCC0" w14:textId="77777777" w:rsidR="00000000" w:rsidRDefault="001875C9">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08D1D97" wp14:editId="60B4EC77">
            <wp:extent cx="1533525" cy="866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525" cy="866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7E07D6E" wp14:editId="1A38A387">
            <wp:extent cx="2066925" cy="2152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925" cy="2152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9E63F39" wp14:editId="611424A1">
            <wp:extent cx="819150" cy="257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0" cy="257175"/>
                    </a:xfrm>
                    <a:prstGeom prst="rect">
                      <a:avLst/>
                    </a:prstGeom>
                    <a:noFill/>
                    <a:ln>
                      <a:noFill/>
                    </a:ln>
                  </pic:spPr>
                </pic:pic>
              </a:graphicData>
            </a:graphic>
          </wp:inline>
        </w:drawing>
      </w:r>
    </w:p>
    <w:p w14:paraId="65EFAAF4"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7E3E3D" w14:textId="77777777" w:rsidR="00000000" w:rsidRDefault="001875C9">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CCE13CC" wp14:editId="68DA54BF">
            <wp:extent cx="169545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95450" cy="276225"/>
                    </a:xfrm>
                    <a:prstGeom prst="rect">
                      <a:avLst/>
                    </a:prstGeom>
                    <a:noFill/>
                    <a:ln>
                      <a:noFill/>
                    </a:ln>
                  </pic:spPr>
                </pic:pic>
              </a:graphicData>
            </a:graphic>
          </wp:inline>
        </w:drawing>
      </w:r>
    </w:p>
    <w:p w14:paraId="24267DB5"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B15088" w14:textId="77777777" w:rsidR="00000000" w:rsidRDefault="001875C9">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AF202D9" wp14:editId="5164020B">
            <wp:extent cx="1552575" cy="676275"/>
            <wp:effectExtent l="0" t="0" r="9525" b="9525"/>
            <wp:docPr id="54" name="Picture 54" descr="Net income &#10;Depreciation &#10;Unrealized gain &#10;Increase in accounts receivable &#10;Increase in accounts payable &#10;Cash flow from operations &#10;$78,000 &#10;12,000 &#10;(15,000) &#10;(52,000) &#10;29 000 &#10;$52,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et income &#10;Depreciation &#10;Unrealized gain &#10;Increase in accounts receivable &#10;Increase in accounts payable &#10;Cash flow from operations &#10;$78,000 &#10;12,000 &#10;(15,000) &#10;(52,000) &#10;29 000 &#10;$52,000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52575" cy="6762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4AF3737" wp14:editId="50E5FCF1">
            <wp:extent cx="3486150" cy="1143000"/>
            <wp:effectExtent l="0" t="0" r="0" b="0"/>
            <wp:docPr id="55" name="Picture 55" descr="cash from sale of land = decrease in asset + gain on sale = $5,000 + $10,000 = $15,000 (source) &#10;beginning land + land purchased — gross cost of land sold — ending land = $40,000 + $0 — &#10;$5,000 = $35,000 &#10;Note: If the land had been sold at a loss, we would have subtracted the loss amount from the &#10;decrease in land. &#10;P&amp;E purchased = ending gross P&amp;E + gross cost of P&amp;E sold — beginning gross P&amp;E = $85,000 + &#10;$0 - $60,000 = $25,000 (use) &#10;beginning gross P&amp;E + P&amp;E purchased — gross cost of P&amp;E sold = ending P&amp;E = $60,000 + &#10;$25,000 - so = $85,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sh from sale of land = decrease in asset + gain on sale = $5,000 + $10,000 = $15,000 (source) &#10;beginning land + land purchased — gross cost of land sold — ending land = $40,000 + $0 — &#10;$5,000 = $35,000 &#10;Note: If the land had been sold at a loss, we would have subtracted the loss amount from the &#10;decrease in land. &#10;P&amp;E purchased = ending gross P&amp;E + gross cost of P&amp;E sold — beginning gross P&amp;E = $85,000 + &#10;$0 - $60,000 = $25,000 (use) &#10;beginning gross P&amp;E + P&amp;E purchased — gross cost of P&amp;E sold = ending P&amp;E = $60,000 + &#10;$25,000 - so = $85,000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6150" cy="1143000"/>
                    </a:xfrm>
                    <a:prstGeom prst="rect">
                      <a:avLst/>
                    </a:prstGeom>
                    <a:noFill/>
                    <a:ln>
                      <a:noFill/>
                    </a:ln>
                  </pic:spPr>
                </pic:pic>
              </a:graphicData>
            </a:graphic>
          </wp:inline>
        </w:drawing>
      </w:r>
    </w:p>
    <w:p w14:paraId="746B720E" w14:textId="77777777" w:rsidR="00000000" w:rsidRDefault="001875C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037EA4" w14:textId="77777777" w:rsidR="00000000" w:rsidRDefault="001875C9">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22579BA" wp14:editId="12BB95B0">
            <wp:extent cx="1009650" cy="276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09650" cy="2762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16A2E7F" wp14:editId="21868266">
            <wp:extent cx="219075" cy="10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075"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04548BD" wp14:editId="3D0451A7">
            <wp:extent cx="20955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9BD4916" wp14:editId="1DA9AD88">
            <wp:extent cx="200025" cy="200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1172FA66" wp14:editId="02FCD32E">
            <wp:extent cx="95250" cy="219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 cy="2190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383E4110" wp14:editId="4752C2E1">
            <wp:extent cx="104775" cy="228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775" cy="2286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D0B07D5" wp14:editId="3B3844E8">
            <wp:extent cx="104775" cy="209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78B8398A" wp14:editId="4E846B5A">
            <wp:extent cx="209550" cy="190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49173E3A" wp14:editId="1BBB0B71">
            <wp:extent cx="171450" cy="1047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71B2B5C1" wp14:editId="6FF3A6CB">
            <wp:extent cx="752475" cy="1428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1428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7152B959" wp14:editId="0D9D7210">
            <wp:extent cx="161925" cy="95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1925" cy="952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C2D847C" wp14:editId="29407D7D">
            <wp:extent cx="104775" cy="209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A1AE261" wp14:editId="646B5F07">
            <wp:extent cx="190500" cy="104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0500"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6298DCD" wp14:editId="0331A76D">
            <wp:extent cx="85725" cy="95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2F0ABAF" wp14:editId="05F71D11">
            <wp:extent cx="114300" cy="266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 cy="2667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7422BA0A" wp14:editId="7347F98E">
            <wp:extent cx="95250" cy="238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B3DBA64" wp14:editId="7A246744">
            <wp:extent cx="142875" cy="1524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19A8CD8" wp14:editId="011A1F1A">
            <wp:extent cx="171450" cy="19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6227D9BF" wp14:editId="2DD96229">
            <wp:extent cx="142875" cy="95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 cy="952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79781CF" wp14:editId="5A5B9D8B">
            <wp:extent cx="152400" cy="171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07B7B1F2" wp14:editId="2D32393A">
            <wp:extent cx="161925" cy="1047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7ACA3544" wp14:editId="3A6A71AE">
            <wp:extent cx="95250" cy="180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280"/>
    <w:multiLevelType w:val="hybridMultilevel"/>
    <w:tmpl w:val="0E624C40"/>
    <w:lvl w:ilvl="0" w:tplc="C2D2A70A">
      <w:start w:val="1"/>
      <w:numFmt w:val="bullet"/>
      <w:lvlText w:val=""/>
      <w:lvlJc w:val="left"/>
      <w:pPr>
        <w:tabs>
          <w:tab w:val="num" w:pos="720"/>
        </w:tabs>
        <w:ind w:left="720" w:hanging="360"/>
      </w:pPr>
      <w:rPr>
        <w:rFonts w:ascii="Symbol" w:hAnsi="Symbol" w:hint="default"/>
        <w:sz w:val="20"/>
      </w:rPr>
    </w:lvl>
    <w:lvl w:ilvl="1" w:tplc="B5586D0A">
      <w:start w:val="1"/>
      <w:numFmt w:val="upperLetter"/>
      <w:lvlText w:val="%2."/>
      <w:lvlJc w:val="left"/>
      <w:pPr>
        <w:tabs>
          <w:tab w:val="num" w:pos="1440"/>
        </w:tabs>
        <w:ind w:left="1440" w:hanging="360"/>
      </w:pPr>
    </w:lvl>
    <w:lvl w:ilvl="2" w:tplc="7F6A756E" w:tentative="1">
      <w:numFmt w:val="bullet"/>
      <w:lvlText w:val=""/>
      <w:lvlJc w:val="left"/>
      <w:pPr>
        <w:tabs>
          <w:tab w:val="num" w:pos="2160"/>
        </w:tabs>
        <w:ind w:left="2160" w:hanging="360"/>
      </w:pPr>
      <w:rPr>
        <w:rFonts w:ascii="Symbol" w:hAnsi="Symbol" w:hint="default"/>
        <w:sz w:val="20"/>
      </w:rPr>
    </w:lvl>
    <w:lvl w:ilvl="3" w:tplc="5A3630E0" w:tentative="1">
      <w:start w:val="1"/>
      <w:numFmt w:val="bullet"/>
      <w:lvlText w:val=""/>
      <w:lvlJc w:val="left"/>
      <w:pPr>
        <w:tabs>
          <w:tab w:val="num" w:pos="2880"/>
        </w:tabs>
        <w:ind w:left="2880" w:hanging="360"/>
      </w:pPr>
      <w:rPr>
        <w:rFonts w:ascii="Symbol" w:hAnsi="Symbol" w:hint="default"/>
        <w:sz w:val="20"/>
      </w:rPr>
    </w:lvl>
    <w:lvl w:ilvl="4" w:tplc="91307E92" w:tentative="1">
      <w:start w:val="1"/>
      <w:numFmt w:val="bullet"/>
      <w:lvlText w:val=""/>
      <w:lvlJc w:val="left"/>
      <w:pPr>
        <w:tabs>
          <w:tab w:val="num" w:pos="3600"/>
        </w:tabs>
        <w:ind w:left="3600" w:hanging="360"/>
      </w:pPr>
      <w:rPr>
        <w:rFonts w:ascii="Wingdings" w:hAnsi="Wingdings" w:hint="default"/>
        <w:sz w:val="20"/>
      </w:rPr>
    </w:lvl>
    <w:lvl w:ilvl="5" w:tplc="29BC5550" w:tentative="1">
      <w:start w:val="1"/>
      <w:numFmt w:val="bullet"/>
      <w:lvlText w:val=""/>
      <w:lvlJc w:val="left"/>
      <w:pPr>
        <w:tabs>
          <w:tab w:val="num" w:pos="4320"/>
        </w:tabs>
        <w:ind w:left="4320" w:hanging="360"/>
      </w:pPr>
      <w:rPr>
        <w:rFonts w:ascii="Wingdings" w:hAnsi="Wingdings" w:hint="default"/>
        <w:sz w:val="20"/>
      </w:rPr>
    </w:lvl>
    <w:lvl w:ilvl="6" w:tplc="4EFC793A" w:tentative="1">
      <w:start w:val="1"/>
      <w:numFmt w:val="bullet"/>
      <w:lvlText w:val=""/>
      <w:lvlJc w:val="left"/>
      <w:pPr>
        <w:tabs>
          <w:tab w:val="num" w:pos="5040"/>
        </w:tabs>
        <w:ind w:left="5040" w:hanging="360"/>
      </w:pPr>
      <w:rPr>
        <w:rFonts w:ascii="Wingdings" w:hAnsi="Wingdings" w:hint="default"/>
        <w:sz w:val="20"/>
      </w:rPr>
    </w:lvl>
    <w:lvl w:ilvl="7" w:tplc="051ECE76" w:tentative="1">
      <w:start w:val="1"/>
      <w:numFmt w:val="bullet"/>
      <w:lvlText w:val=""/>
      <w:lvlJc w:val="left"/>
      <w:pPr>
        <w:tabs>
          <w:tab w:val="num" w:pos="5760"/>
        </w:tabs>
        <w:ind w:left="5760" w:hanging="360"/>
      </w:pPr>
      <w:rPr>
        <w:rFonts w:ascii="Wingdings" w:hAnsi="Wingdings" w:hint="default"/>
        <w:sz w:val="20"/>
      </w:rPr>
    </w:lvl>
    <w:lvl w:ilvl="8" w:tplc="3ACC1DC6"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14252C"/>
    <w:multiLevelType w:val="hybridMultilevel"/>
    <w:tmpl w:val="86A61830"/>
    <w:lvl w:ilvl="0" w:tplc="3CBE9870">
      <w:start w:val="1"/>
      <w:numFmt w:val="bullet"/>
      <w:lvlText w:val=""/>
      <w:lvlJc w:val="left"/>
      <w:pPr>
        <w:tabs>
          <w:tab w:val="num" w:pos="720"/>
        </w:tabs>
        <w:ind w:left="720" w:hanging="360"/>
      </w:pPr>
      <w:rPr>
        <w:rFonts w:ascii="Symbol" w:hAnsi="Symbol" w:hint="default"/>
        <w:sz w:val="20"/>
      </w:rPr>
    </w:lvl>
    <w:lvl w:ilvl="1" w:tplc="74C408A4">
      <w:start w:val="1"/>
      <w:numFmt w:val="bullet"/>
      <w:lvlText w:val=""/>
      <w:lvlJc w:val="left"/>
      <w:pPr>
        <w:tabs>
          <w:tab w:val="num" w:pos="1440"/>
        </w:tabs>
        <w:ind w:left="1440" w:hanging="360"/>
      </w:pPr>
      <w:rPr>
        <w:rFonts w:ascii="Symbol" w:hAnsi="Symbol" w:hint="default"/>
        <w:sz w:val="20"/>
      </w:rPr>
    </w:lvl>
    <w:lvl w:ilvl="2" w:tplc="F55C5584">
      <w:start w:val="1"/>
      <w:numFmt w:val="bullet"/>
      <w:lvlText w:val="o"/>
      <w:lvlJc w:val="left"/>
      <w:pPr>
        <w:tabs>
          <w:tab w:val="num" w:pos="2160"/>
        </w:tabs>
        <w:ind w:left="2160" w:hanging="360"/>
      </w:pPr>
      <w:rPr>
        <w:rFonts w:ascii="Courier New" w:hAnsi="Courier New" w:hint="default"/>
        <w:sz w:val="20"/>
      </w:rPr>
    </w:lvl>
    <w:lvl w:ilvl="3" w:tplc="0798C960">
      <w:start w:val="1"/>
      <w:numFmt w:val="bullet"/>
      <w:lvlText w:val=""/>
      <w:lvlJc w:val="left"/>
      <w:pPr>
        <w:tabs>
          <w:tab w:val="num" w:pos="2880"/>
        </w:tabs>
        <w:ind w:left="2880" w:hanging="360"/>
      </w:pPr>
      <w:rPr>
        <w:rFonts w:ascii="Symbol" w:hAnsi="Symbol" w:hint="default"/>
        <w:sz w:val="20"/>
      </w:rPr>
    </w:lvl>
    <w:lvl w:ilvl="4" w:tplc="21227F30" w:tentative="1">
      <w:start w:val="1"/>
      <w:numFmt w:val="bullet"/>
      <w:lvlText w:val=""/>
      <w:lvlJc w:val="left"/>
      <w:pPr>
        <w:tabs>
          <w:tab w:val="num" w:pos="3600"/>
        </w:tabs>
        <w:ind w:left="3600" w:hanging="360"/>
      </w:pPr>
      <w:rPr>
        <w:rFonts w:ascii="Wingdings" w:hAnsi="Wingdings" w:hint="default"/>
        <w:sz w:val="20"/>
      </w:rPr>
    </w:lvl>
    <w:lvl w:ilvl="5" w:tplc="D29EA65A" w:tentative="1">
      <w:start w:val="1"/>
      <w:numFmt w:val="bullet"/>
      <w:lvlText w:val=""/>
      <w:lvlJc w:val="left"/>
      <w:pPr>
        <w:tabs>
          <w:tab w:val="num" w:pos="4320"/>
        </w:tabs>
        <w:ind w:left="4320" w:hanging="360"/>
      </w:pPr>
      <w:rPr>
        <w:rFonts w:ascii="Wingdings" w:hAnsi="Wingdings" w:hint="default"/>
        <w:sz w:val="20"/>
      </w:rPr>
    </w:lvl>
    <w:lvl w:ilvl="6" w:tplc="560EE546" w:tentative="1">
      <w:start w:val="1"/>
      <w:numFmt w:val="bullet"/>
      <w:lvlText w:val=""/>
      <w:lvlJc w:val="left"/>
      <w:pPr>
        <w:tabs>
          <w:tab w:val="num" w:pos="5040"/>
        </w:tabs>
        <w:ind w:left="5040" w:hanging="360"/>
      </w:pPr>
      <w:rPr>
        <w:rFonts w:ascii="Wingdings" w:hAnsi="Wingdings" w:hint="default"/>
        <w:sz w:val="20"/>
      </w:rPr>
    </w:lvl>
    <w:lvl w:ilvl="7" w:tplc="7206A964" w:tentative="1">
      <w:start w:val="1"/>
      <w:numFmt w:val="bullet"/>
      <w:lvlText w:val=""/>
      <w:lvlJc w:val="left"/>
      <w:pPr>
        <w:tabs>
          <w:tab w:val="num" w:pos="5760"/>
        </w:tabs>
        <w:ind w:left="5760" w:hanging="360"/>
      </w:pPr>
      <w:rPr>
        <w:rFonts w:ascii="Wingdings" w:hAnsi="Wingdings" w:hint="default"/>
        <w:sz w:val="20"/>
      </w:rPr>
    </w:lvl>
    <w:lvl w:ilvl="8" w:tplc="E9AC0C34"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1004CF"/>
    <w:multiLevelType w:val="hybridMultilevel"/>
    <w:tmpl w:val="3432BC5E"/>
    <w:lvl w:ilvl="0" w:tplc="E3DC2868">
      <w:start w:val="1"/>
      <w:numFmt w:val="bullet"/>
      <w:lvlText w:val=""/>
      <w:lvlJc w:val="left"/>
      <w:pPr>
        <w:tabs>
          <w:tab w:val="num" w:pos="720"/>
        </w:tabs>
        <w:ind w:left="720" w:hanging="360"/>
      </w:pPr>
      <w:rPr>
        <w:rFonts w:ascii="Symbol" w:hAnsi="Symbol" w:hint="default"/>
        <w:sz w:val="20"/>
      </w:rPr>
    </w:lvl>
    <w:lvl w:ilvl="1" w:tplc="651E8F30">
      <w:start w:val="1"/>
      <w:numFmt w:val="bullet"/>
      <w:lvlText w:val="o"/>
      <w:lvlJc w:val="left"/>
      <w:pPr>
        <w:tabs>
          <w:tab w:val="num" w:pos="1440"/>
        </w:tabs>
        <w:ind w:left="1440" w:hanging="360"/>
      </w:pPr>
      <w:rPr>
        <w:rFonts w:ascii="Courier New" w:hAnsi="Courier New" w:hint="default"/>
        <w:sz w:val="20"/>
      </w:rPr>
    </w:lvl>
    <w:lvl w:ilvl="2" w:tplc="8BAE233A">
      <w:numFmt w:val="bullet"/>
      <w:lvlText w:val=""/>
      <w:lvlJc w:val="left"/>
      <w:pPr>
        <w:tabs>
          <w:tab w:val="num" w:pos="2160"/>
        </w:tabs>
        <w:ind w:left="2160" w:hanging="360"/>
      </w:pPr>
      <w:rPr>
        <w:rFonts w:ascii="Symbol" w:hAnsi="Symbol" w:hint="default"/>
        <w:sz w:val="20"/>
      </w:rPr>
    </w:lvl>
    <w:lvl w:ilvl="3" w:tplc="B5BA4D9C" w:tentative="1">
      <w:start w:val="1"/>
      <w:numFmt w:val="bullet"/>
      <w:lvlText w:val=""/>
      <w:lvlJc w:val="left"/>
      <w:pPr>
        <w:tabs>
          <w:tab w:val="num" w:pos="2880"/>
        </w:tabs>
        <w:ind w:left="2880" w:hanging="360"/>
      </w:pPr>
      <w:rPr>
        <w:rFonts w:ascii="Symbol" w:hAnsi="Symbol" w:hint="default"/>
        <w:sz w:val="20"/>
      </w:rPr>
    </w:lvl>
    <w:lvl w:ilvl="4" w:tplc="E130B2BC" w:tentative="1">
      <w:start w:val="1"/>
      <w:numFmt w:val="bullet"/>
      <w:lvlText w:val=""/>
      <w:lvlJc w:val="left"/>
      <w:pPr>
        <w:tabs>
          <w:tab w:val="num" w:pos="3600"/>
        </w:tabs>
        <w:ind w:left="3600" w:hanging="360"/>
      </w:pPr>
      <w:rPr>
        <w:rFonts w:ascii="Wingdings" w:hAnsi="Wingdings" w:hint="default"/>
        <w:sz w:val="20"/>
      </w:rPr>
    </w:lvl>
    <w:lvl w:ilvl="5" w:tplc="84986008" w:tentative="1">
      <w:start w:val="1"/>
      <w:numFmt w:val="bullet"/>
      <w:lvlText w:val=""/>
      <w:lvlJc w:val="left"/>
      <w:pPr>
        <w:tabs>
          <w:tab w:val="num" w:pos="4320"/>
        </w:tabs>
        <w:ind w:left="4320" w:hanging="360"/>
      </w:pPr>
      <w:rPr>
        <w:rFonts w:ascii="Wingdings" w:hAnsi="Wingdings" w:hint="default"/>
        <w:sz w:val="20"/>
      </w:rPr>
    </w:lvl>
    <w:lvl w:ilvl="6" w:tplc="A3DCE0DE" w:tentative="1">
      <w:start w:val="1"/>
      <w:numFmt w:val="bullet"/>
      <w:lvlText w:val=""/>
      <w:lvlJc w:val="left"/>
      <w:pPr>
        <w:tabs>
          <w:tab w:val="num" w:pos="5040"/>
        </w:tabs>
        <w:ind w:left="5040" w:hanging="360"/>
      </w:pPr>
      <w:rPr>
        <w:rFonts w:ascii="Wingdings" w:hAnsi="Wingdings" w:hint="default"/>
        <w:sz w:val="20"/>
      </w:rPr>
    </w:lvl>
    <w:lvl w:ilvl="7" w:tplc="4C16416C" w:tentative="1">
      <w:start w:val="1"/>
      <w:numFmt w:val="bullet"/>
      <w:lvlText w:val=""/>
      <w:lvlJc w:val="left"/>
      <w:pPr>
        <w:tabs>
          <w:tab w:val="num" w:pos="5760"/>
        </w:tabs>
        <w:ind w:left="5760" w:hanging="360"/>
      </w:pPr>
      <w:rPr>
        <w:rFonts w:ascii="Wingdings" w:hAnsi="Wingdings" w:hint="default"/>
        <w:sz w:val="20"/>
      </w:rPr>
    </w:lvl>
    <w:lvl w:ilvl="8" w:tplc="400A311C"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F42BB4"/>
    <w:multiLevelType w:val="hybridMultilevel"/>
    <w:tmpl w:val="C8A28CDC"/>
    <w:lvl w:ilvl="0" w:tplc="39BE84DA">
      <w:start w:val="1"/>
      <w:numFmt w:val="bullet"/>
      <w:lvlText w:val=""/>
      <w:lvlJc w:val="left"/>
      <w:pPr>
        <w:tabs>
          <w:tab w:val="num" w:pos="720"/>
        </w:tabs>
        <w:ind w:left="720" w:hanging="360"/>
      </w:pPr>
      <w:rPr>
        <w:rFonts w:ascii="Symbol" w:hAnsi="Symbol" w:hint="default"/>
        <w:sz w:val="20"/>
      </w:rPr>
    </w:lvl>
    <w:lvl w:ilvl="1" w:tplc="34FAC218">
      <w:start w:val="1"/>
      <w:numFmt w:val="bullet"/>
      <w:lvlText w:val=""/>
      <w:lvlJc w:val="left"/>
      <w:pPr>
        <w:tabs>
          <w:tab w:val="num" w:pos="1440"/>
        </w:tabs>
        <w:ind w:left="1440" w:hanging="360"/>
      </w:pPr>
      <w:rPr>
        <w:rFonts w:ascii="Symbol" w:hAnsi="Symbol" w:hint="default"/>
        <w:sz w:val="20"/>
      </w:rPr>
    </w:lvl>
    <w:lvl w:ilvl="2" w:tplc="CE74D348" w:tentative="1">
      <w:numFmt w:val="bullet"/>
      <w:lvlText w:val=""/>
      <w:lvlJc w:val="left"/>
      <w:pPr>
        <w:tabs>
          <w:tab w:val="num" w:pos="2160"/>
        </w:tabs>
        <w:ind w:left="2160" w:hanging="360"/>
      </w:pPr>
      <w:rPr>
        <w:rFonts w:ascii="Symbol" w:hAnsi="Symbol" w:hint="default"/>
        <w:sz w:val="20"/>
      </w:rPr>
    </w:lvl>
    <w:lvl w:ilvl="3" w:tplc="15BAECC6" w:tentative="1">
      <w:start w:val="1"/>
      <w:numFmt w:val="bullet"/>
      <w:lvlText w:val=""/>
      <w:lvlJc w:val="left"/>
      <w:pPr>
        <w:tabs>
          <w:tab w:val="num" w:pos="2880"/>
        </w:tabs>
        <w:ind w:left="2880" w:hanging="360"/>
      </w:pPr>
      <w:rPr>
        <w:rFonts w:ascii="Symbol" w:hAnsi="Symbol" w:hint="default"/>
        <w:sz w:val="20"/>
      </w:rPr>
    </w:lvl>
    <w:lvl w:ilvl="4" w:tplc="29CE2620" w:tentative="1">
      <w:start w:val="1"/>
      <w:numFmt w:val="bullet"/>
      <w:lvlText w:val=""/>
      <w:lvlJc w:val="left"/>
      <w:pPr>
        <w:tabs>
          <w:tab w:val="num" w:pos="3600"/>
        </w:tabs>
        <w:ind w:left="3600" w:hanging="360"/>
      </w:pPr>
      <w:rPr>
        <w:rFonts w:ascii="Wingdings" w:hAnsi="Wingdings" w:hint="default"/>
        <w:sz w:val="20"/>
      </w:rPr>
    </w:lvl>
    <w:lvl w:ilvl="5" w:tplc="FCBEB772" w:tentative="1">
      <w:start w:val="1"/>
      <w:numFmt w:val="bullet"/>
      <w:lvlText w:val=""/>
      <w:lvlJc w:val="left"/>
      <w:pPr>
        <w:tabs>
          <w:tab w:val="num" w:pos="4320"/>
        </w:tabs>
        <w:ind w:left="4320" w:hanging="360"/>
      </w:pPr>
      <w:rPr>
        <w:rFonts w:ascii="Wingdings" w:hAnsi="Wingdings" w:hint="default"/>
        <w:sz w:val="20"/>
      </w:rPr>
    </w:lvl>
    <w:lvl w:ilvl="6" w:tplc="3A10C11E" w:tentative="1">
      <w:start w:val="1"/>
      <w:numFmt w:val="bullet"/>
      <w:lvlText w:val=""/>
      <w:lvlJc w:val="left"/>
      <w:pPr>
        <w:tabs>
          <w:tab w:val="num" w:pos="5040"/>
        </w:tabs>
        <w:ind w:left="5040" w:hanging="360"/>
      </w:pPr>
      <w:rPr>
        <w:rFonts w:ascii="Wingdings" w:hAnsi="Wingdings" w:hint="default"/>
        <w:sz w:val="20"/>
      </w:rPr>
    </w:lvl>
    <w:lvl w:ilvl="7" w:tplc="2ED40994" w:tentative="1">
      <w:start w:val="1"/>
      <w:numFmt w:val="bullet"/>
      <w:lvlText w:val=""/>
      <w:lvlJc w:val="left"/>
      <w:pPr>
        <w:tabs>
          <w:tab w:val="num" w:pos="5760"/>
        </w:tabs>
        <w:ind w:left="5760" w:hanging="360"/>
      </w:pPr>
      <w:rPr>
        <w:rFonts w:ascii="Wingdings" w:hAnsi="Wingdings" w:hint="default"/>
        <w:sz w:val="20"/>
      </w:rPr>
    </w:lvl>
    <w:lvl w:ilvl="8" w:tplc="D6A03BFA"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CC30D2"/>
    <w:multiLevelType w:val="multilevel"/>
    <w:tmpl w:val="25AEE4A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lvlOverride w:ilvl="1">
      <w:startOverride w:val="1"/>
    </w:lvlOverride>
  </w:num>
  <w:num w:numId="2">
    <w:abstractNumId w:val="4"/>
    <w:lvlOverride w:ilvl="1">
      <w:lvl w:ilvl="1">
        <w:numFmt w:val="bullet"/>
        <w:lvlText w:val=""/>
        <w:lvlJc w:val="left"/>
        <w:pPr>
          <w:tabs>
            <w:tab w:val="num" w:pos="1440"/>
          </w:tabs>
          <w:ind w:left="1440" w:hanging="360"/>
        </w:pPr>
        <w:rPr>
          <w:rFonts w:ascii="Symbol" w:hAnsi="Symbol" w:hint="default"/>
          <w:sz w:val="20"/>
        </w:rPr>
      </w:lvl>
    </w:lvlOverride>
  </w:num>
  <w:num w:numId="3">
    <w:abstractNumId w:val="4"/>
    <w:lvlOverride w:ilvl="1">
      <w:startOverride w:val="2"/>
    </w:lvlOverride>
  </w:num>
  <w:num w:numId="4">
    <w:abstractNumId w:val="1"/>
  </w:num>
  <w:num w:numId="5">
    <w:abstractNumId w:val="1"/>
    <w:lvlOverride w:ilvl="1">
      <w:startOverride w:val="3"/>
    </w:lvlOverride>
  </w:num>
  <w:num w:numId="6">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7">
    <w:abstractNumId w:val="1"/>
    <w:lvlOverride w:ilvl="1">
      <w:startOverride w:val="4"/>
    </w:lvlOverride>
  </w:num>
  <w:num w:numId="8">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9">
    <w:abstractNumId w:val="1"/>
    <w:lvlOverride w:ilvl="1">
      <w:lvl w:ilvl="1" w:tplc="74C408A4">
        <w:numFmt w:val="bullet"/>
        <w:lvlText w:val="o"/>
        <w:lvlJc w:val="left"/>
        <w:pPr>
          <w:tabs>
            <w:tab w:val="num" w:pos="1440"/>
          </w:tabs>
          <w:ind w:left="1440" w:hanging="360"/>
        </w:pPr>
        <w:rPr>
          <w:rFonts w:ascii="Courier New" w:hAnsi="Courier New" w:hint="default"/>
          <w:sz w:val="20"/>
        </w:rPr>
      </w:lvl>
    </w:lvlOverride>
  </w:num>
  <w:num w:numId="10">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11">
    <w:abstractNumId w:val="1"/>
    <w:lvlOverride w:ilvl="1">
      <w:lvl w:ilvl="1" w:tplc="74C408A4">
        <w:numFmt w:val="bullet"/>
        <w:lvlText w:val="o"/>
        <w:lvlJc w:val="left"/>
        <w:pPr>
          <w:tabs>
            <w:tab w:val="num" w:pos="1440"/>
          </w:tabs>
          <w:ind w:left="1440" w:hanging="360"/>
        </w:pPr>
        <w:rPr>
          <w:rFonts w:ascii="Courier New" w:hAnsi="Courier New" w:hint="default"/>
          <w:sz w:val="20"/>
        </w:rPr>
      </w:lvl>
    </w:lvlOverride>
  </w:num>
  <w:num w:numId="12">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13">
    <w:abstractNumId w:val="1"/>
    <w:lvlOverride w:ilvl="1">
      <w:startOverride w:val="6"/>
    </w:lvlOverride>
  </w:num>
  <w:num w:numId="14">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15">
    <w:abstractNumId w:val="1"/>
    <w:lvlOverride w:ilvl="1">
      <w:startOverride w:val="7"/>
    </w:lvlOverride>
  </w:num>
  <w:num w:numId="16">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17">
    <w:abstractNumId w:val="1"/>
    <w:lvlOverride w:ilvl="1">
      <w:startOverride w:val="8"/>
    </w:lvlOverride>
  </w:num>
  <w:num w:numId="18">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19">
    <w:abstractNumId w:val="1"/>
    <w:lvlOverride w:ilvl="1">
      <w:startOverride w:val="1"/>
    </w:lvlOverride>
  </w:num>
  <w:num w:numId="20">
    <w:abstractNumId w:val="1"/>
    <w:lvlOverride w:ilvl="1">
      <w:lvl w:ilvl="1" w:tplc="74C408A4">
        <w:numFmt w:val="bullet"/>
        <w:lvlText w:val="o"/>
        <w:lvlJc w:val="left"/>
        <w:pPr>
          <w:tabs>
            <w:tab w:val="num" w:pos="1440"/>
          </w:tabs>
          <w:ind w:left="1440" w:hanging="360"/>
        </w:pPr>
        <w:rPr>
          <w:rFonts w:ascii="Courier New" w:hAnsi="Courier New" w:hint="default"/>
          <w:sz w:val="20"/>
        </w:rPr>
      </w:lvl>
    </w:lvlOverride>
  </w:num>
  <w:num w:numId="21">
    <w:abstractNumId w:val="1"/>
    <w:lvlOverride w:ilvl="1">
      <w:startOverride w:val="2"/>
    </w:lvlOverride>
  </w:num>
  <w:num w:numId="22">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23">
    <w:abstractNumId w:val="1"/>
    <w:lvlOverride w:ilvl="1">
      <w:startOverride w:val="3"/>
    </w:lvlOverride>
  </w:num>
  <w:num w:numId="24">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25">
    <w:abstractNumId w:val="1"/>
    <w:lvlOverride w:ilvl="1">
      <w:startOverride w:val="4"/>
    </w:lvlOverride>
  </w:num>
  <w:num w:numId="26">
    <w:abstractNumId w:val="1"/>
    <w:lvlOverride w:ilvl="1">
      <w:lvl w:ilvl="1" w:tplc="74C408A4">
        <w:numFmt w:val="bullet"/>
        <w:lvlText w:val=""/>
        <w:lvlJc w:val="left"/>
        <w:pPr>
          <w:tabs>
            <w:tab w:val="num" w:pos="1440"/>
          </w:tabs>
          <w:ind w:left="1440" w:hanging="360"/>
        </w:pPr>
        <w:rPr>
          <w:rFonts w:ascii="Symbol" w:hAnsi="Symbol" w:hint="default"/>
          <w:sz w:val="20"/>
        </w:rPr>
      </w:lvl>
    </w:lvlOverride>
  </w:num>
  <w:num w:numId="27">
    <w:abstractNumId w:val="1"/>
    <w:lvlOverride w:ilvl="1">
      <w:lvl w:ilvl="1" w:tplc="74C408A4">
        <w:numFmt w:val="bullet"/>
        <w:lvlText w:val=""/>
        <w:lvlJc w:val="left"/>
        <w:pPr>
          <w:tabs>
            <w:tab w:val="num" w:pos="1440"/>
          </w:tabs>
          <w:ind w:left="1440" w:hanging="360"/>
        </w:pPr>
        <w:rPr>
          <w:rFonts w:ascii="Symbol" w:hAnsi="Symbol" w:hint="default"/>
          <w:sz w:val="20"/>
        </w:rPr>
      </w:lvl>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28">
    <w:abstractNumId w:val="1"/>
    <w:lvlOverride w:ilvl="1">
      <w:startOverride w:val="5"/>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29">
    <w:abstractNumId w:val="1"/>
    <w:lvlOverride w:ilvl="1">
      <w:lvl w:ilvl="1" w:tplc="74C408A4">
        <w:numFmt w:val="bullet"/>
        <w:lvlText w:val=""/>
        <w:lvlJc w:val="left"/>
        <w:pPr>
          <w:tabs>
            <w:tab w:val="num" w:pos="1440"/>
          </w:tabs>
          <w:ind w:left="1440" w:hanging="360"/>
        </w:pPr>
        <w:rPr>
          <w:rFonts w:ascii="Symbol" w:hAnsi="Symbol" w:hint="default"/>
          <w:sz w:val="20"/>
        </w:rPr>
      </w:lvl>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0">
    <w:abstractNumId w:val="1"/>
    <w:lvlOverride w:ilvl="1">
      <w:startOverride w:val="7"/>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1">
    <w:abstractNumId w:val="1"/>
    <w:lvlOverride w:ilvl="1">
      <w:lvl w:ilvl="1" w:tplc="74C408A4">
        <w:numFmt w:val="bullet"/>
        <w:lvlText w:val="o"/>
        <w:lvlJc w:val="left"/>
        <w:pPr>
          <w:tabs>
            <w:tab w:val="num" w:pos="1440"/>
          </w:tabs>
          <w:ind w:left="1440" w:hanging="360"/>
        </w:pPr>
        <w:rPr>
          <w:rFonts w:ascii="Courier New" w:hAnsi="Courier New" w:hint="default"/>
          <w:sz w:val="20"/>
        </w:rPr>
      </w:lvl>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2">
    <w:abstractNumId w:val="1"/>
    <w:lvlOverride w:ilvl="1">
      <w:startOverride w:val="8"/>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3">
    <w:abstractNumId w:val="1"/>
    <w:lvlOverride w:ilvl="1">
      <w:lvl w:ilvl="1" w:tplc="74C408A4">
        <w:numFmt w:val="bullet"/>
        <w:lvlText w:val=""/>
        <w:lvlJc w:val="left"/>
        <w:pPr>
          <w:tabs>
            <w:tab w:val="num" w:pos="1440"/>
          </w:tabs>
          <w:ind w:left="1440" w:hanging="360"/>
        </w:pPr>
        <w:rPr>
          <w:rFonts w:ascii="Symbol" w:hAnsi="Symbol" w:hint="default"/>
          <w:sz w:val="20"/>
        </w:rPr>
      </w:lvl>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4">
    <w:abstractNumId w:val="1"/>
    <w:lvlOverride w:ilvl="1">
      <w:startOverride w:val="9"/>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5">
    <w:abstractNumId w:val="1"/>
    <w:lvlOverride w:ilvl="1">
      <w:lvl w:ilvl="1" w:tplc="74C408A4">
        <w:numFmt w:val="bullet"/>
        <w:lvlText w:val=""/>
        <w:lvlJc w:val="left"/>
        <w:pPr>
          <w:tabs>
            <w:tab w:val="num" w:pos="1440"/>
          </w:tabs>
          <w:ind w:left="1440" w:hanging="360"/>
        </w:pPr>
        <w:rPr>
          <w:rFonts w:ascii="Symbol" w:hAnsi="Symbol" w:hint="default"/>
          <w:sz w:val="20"/>
        </w:rPr>
      </w:lvl>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6">
    <w:abstractNumId w:val="1"/>
    <w:lvlOverride w:ilvl="1">
      <w:startOverride w:val="1"/>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7">
    <w:abstractNumId w:val="1"/>
    <w:lvlOverride w:ilvl="1">
      <w:startOverride w:val="2"/>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8">
    <w:abstractNumId w:val="1"/>
    <w:lvlOverride w:ilvl="1">
      <w:lvl w:ilvl="1" w:tplc="74C408A4">
        <w:numFmt w:val="bullet"/>
        <w:lvlText w:val=""/>
        <w:lvlJc w:val="left"/>
        <w:pPr>
          <w:tabs>
            <w:tab w:val="num" w:pos="1440"/>
          </w:tabs>
          <w:ind w:left="1440" w:hanging="360"/>
        </w:pPr>
        <w:rPr>
          <w:rFonts w:ascii="Symbol" w:hAnsi="Symbol" w:hint="default"/>
          <w:sz w:val="20"/>
        </w:rPr>
      </w:lvl>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39">
    <w:abstractNumId w:val="1"/>
    <w:lvlOverride w:ilvl="1">
      <w:startOverride w:val="3"/>
    </w:lvlOverride>
    <w:lvlOverride w:ilvl="2">
      <w:lvl w:ilvl="2" w:tplc="F55C5584">
        <w:numFmt w:val="bullet"/>
        <w:lvlText w:val=""/>
        <w:lvlJc w:val="left"/>
        <w:pPr>
          <w:tabs>
            <w:tab w:val="num" w:pos="2160"/>
          </w:tabs>
          <w:ind w:left="2160" w:hanging="360"/>
        </w:pPr>
        <w:rPr>
          <w:rFonts w:ascii="Symbol" w:hAnsi="Symbol" w:hint="default"/>
          <w:sz w:val="20"/>
        </w:rPr>
      </w:lvl>
    </w:lvlOverride>
  </w:num>
  <w:num w:numId="40">
    <w:abstractNumId w:val="0"/>
    <w:lvlOverride w:ilvl="1">
      <w:startOverride w:val="4"/>
    </w:lvlOverride>
  </w:num>
  <w:num w:numId="41">
    <w:abstractNumId w:val="0"/>
    <w:lvlOverride w:ilvl="1">
      <w:startOverride w:val="5"/>
    </w:lvlOverride>
  </w:num>
  <w:num w:numId="42">
    <w:abstractNumId w:val="2"/>
  </w:num>
  <w:num w:numId="43">
    <w:abstractNumId w:val="2"/>
    <w:lvlOverride w:ilvl="1">
      <w:startOverride w:val="6"/>
    </w:lvlOverride>
  </w:num>
  <w:num w:numId="44">
    <w:abstractNumId w:val="3"/>
  </w:num>
  <w:num w:numId="45">
    <w:abstractNumId w:val="3"/>
    <w:lvlOverride w:ilvl="1">
      <w:startOverride w:val="8"/>
    </w:lvlOverride>
  </w:num>
  <w:num w:numId="46">
    <w:abstractNumId w:val="3"/>
    <w:lvlOverride w:ilvl="1">
      <w:lvl w:ilvl="1" w:tplc="34FAC218">
        <w:numFmt w:val="bullet"/>
        <w:lvlText w:val=""/>
        <w:lvlJc w:val="left"/>
        <w:pPr>
          <w:tabs>
            <w:tab w:val="num" w:pos="1440"/>
          </w:tabs>
          <w:ind w:left="1440" w:hanging="360"/>
        </w:pPr>
        <w:rPr>
          <w:rFonts w:ascii="Symbol" w:hAnsi="Symbol" w:hint="default"/>
          <w:sz w:val="20"/>
        </w:rPr>
      </w:lvl>
    </w:lvlOverride>
  </w:num>
  <w:num w:numId="47">
    <w:abstractNumId w:val="3"/>
    <w:lvlOverride w:ilvl="1">
      <w:startOverride w:val="9"/>
    </w:lvlOverride>
  </w:num>
  <w:num w:numId="48">
    <w:abstractNumId w:val="3"/>
    <w:lvlOverride w:ilvl="1">
      <w:lvl w:ilvl="1" w:tplc="34FAC218">
        <w:numFmt w:val="bullet"/>
        <w:lvlText w:val=""/>
        <w:lvlJc w:val="left"/>
        <w:pPr>
          <w:tabs>
            <w:tab w:val="num" w:pos="1440"/>
          </w:tabs>
          <w:ind w:left="1440" w:hanging="360"/>
        </w:pPr>
        <w:rPr>
          <w:rFonts w:ascii="Symbol" w:hAnsi="Symbol" w:hint="default"/>
          <w:sz w:val="20"/>
        </w:rPr>
      </w:lvl>
    </w:lvlOverride>
  </w:num>
  <w:num w:numId="49">
    <w:abstractNumId w:val="3"/>
    <w:lvlOverride w:ilvl="1">
      <w:startOverride w:val="10"/>
    </w:lvlOverride>
  </w:num>
  <w:num w:numId="50">
    <w:abstractNumId w:val="3"/>
    <w:lvlOverride w:ilvl="1">
      <w:lvl w:ilvl="1" w:tplc="34FAC218">
        <w:numFmt w:val="bullet"/>
        <w:lvlText w:val=""/>
        <w:lvlJc w:val="left"/>
        <w:pPr>
          <w:tabs>
            <w:tab w:val="num" w:pos="1440"/>
          </w:tabs>
          <w:ind w:left="1440" w:hanging="360"/>
        </w:pPr>
        <w:rPr>
          <w:rFonts w:ascii="Symbol" w:hAnsi="Symbol" w:hint="default"/>
          <w:sz w:val="20"/>
        </w:rPr>
      </w:lvl>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1875C9"/>
    <w:rsid w:val="0018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C5065D"/>
  <w15:chartTrackingRefBased/>
  <w15:docId w15:val="{9EAE6E10-CDB7-486E-BC24-B0FAFF91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88779">
      <w:marLeft w:val="0"/>
      <w:marRight w:val="0"/>
      <w:marTop w:val="0"/>
      <w:marBottom w:val="0"/>
      <w:divBdr>
        <w:top w:val="none" w:sz="0" w:space="0" w:color="auto"/>
        <w:left w:val="none" w:sz="0" w:space="0" w:color="auto"/>
        <w:bottom w:val="none" w:sz="0" w:space="0" w:color="auto"/>
        <w:right w:val="none" w:sz="0" w:space="0" w:color="auto"/>
      </w:divBdr>
    </w:div>
    <w:div w:id="293827742">
      <w:marLeft w:val="0"/>
      <w:marRight w:val="0"/>
      <w:marTop w:val="0"/>
      <w:marBottom w:val="0"/>
      <w:divBdr>
        <w:top w:val="none" w:sz="0" w:space="0" w:color="auto"/>
        <w:left w:val="none" w:sz="0" w:space="0" w:color="auto"/>
        <w:bottom w:val="none" w:sz="0" w:space="0" w:color="auto"/>
        <w:right w:val="none" w:sz="0" w:space="0" w:color="auto"/>
      </w:divBdr>
    </w:div>
    <w:div w:id="1753627904">
      <w:marLeft w:val="0"/>
      <w:marRight w:val="0"/>
      <w:marTop w:val="0"/>
      <w:marBottom w:val="0"/>
      <w:divBdr>
        <w:top w:val="none" w:sz="0" w:space="0" w:color="auto"/>
        <w:left w:val="none" w:sz="0" w:space="0" w:color="auto"/>
        <w:bottom w:val="none" w:sz="0" w:space="0" w:color="auto"/>
        <w:right w:val="none" w:sz="0" w:space="0" w:color="auto"/>
      </w:divBdr>
      <w:divsChild>
        <w:div w:id="98785683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2223</Words>
  <Characters>12673</Characters>
  <Application>Microsoft Office Word</Application>
  <DocSecurity>0</DocSecurity>
  <Lines>105</Lines>
  <Paragraphs>29</Paragraphs>
  <ScaleCrop>false</ScaleCrop>
  <Company/>
  <LinksUpToDate>false</LinksUpToDate>
  <CharactersWithSpaces>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Peng</dc:creator>
  <cp:keywords/>
  <dc:description/>
  <cp:lastModifiedBy>Tian Peng</cp:lastModifiedBy>
  <cp:revision>2</cp:revision>
  <dcterms:created xsi:type="dcterms:W3CDTF">2021-10-02T23:49:00Z</dcterms:created>
  <dcterms:modified xsi:type="dcterms:W3CDTF">2021-10-02T23:49:00Z</dcterms:modified>
</cp:coreProperties>
</file>