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D9BDC" w14:textId="77777777" w:rsidR="00000000" w:rsidRDefault="00BA623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SS8 Financial Report and Analysis</w:t>
      </w:r>
    </w:p>
    <w:p w14:paraId="5C110FFA" w14:textId="77777777" w:rsidR="00000000" w:rsidRDefault="00BA623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Saturday, July 17, 2021</w:t>
      </w:r>
    </w:p>
    <w:p w14:paraId="159EC77C" w14:textId="77777777" w:rsidR="00000000" w:rsidRDefault="00BA623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8:48 PM</w:t>
      </w:r>
    </w:p>
    <w:p w14:paraId="07579579"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0E09FD" w14:textId="77777777" w:rsidR="00000000" w:rsidRDefault="00BA623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 xml:space="preserve">READING 25. INVENTORIES </w:t>
      </w:r>
    </w:p>
    <w:p w14:paraId="23A2103E"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55F27E" w14:textId="77777777" w:rsidR="00000000" w:rsidRDefault="00BA6235">
      <w:pPr>
        <w:numPr>
          <w:ilvl w:val="0"/>
          <w:numId w:val="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costs included in inventories and costs recognized as expenses in the period in which they are incurred</w:t>
      </w:r>
    </w:p>
    <w:p w14:paraId="4B4488B1" w14:textId="77777777" w:rsidR="00000000" w:rsidRDefault="00BA6235">
      <w:pPr>
        <w:numPr>
          <w:ilvl w:val="0"/>
          <w:numId w:val="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different inventory valuation methods (cost formulas): </w:t>
      </w:r>
    </w:p>
    <w:p w14:paraId="1F3CBBA1" w14:textId="77777777" w:rsidR="00000000" w:rsidRDefault="00BA6235">
      <w:pPr>
        <w:numPr>
          <w:ilvl w:val="0"/>
          <w:numId w:val="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617A8DC" wp14:editId="24B5B400">
            <wp:extent cx="566737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1371600"/>
                    </a:xfrm>
                    <a:prstGeom prst="rect">
                      <a:avLst/>
                    </a:prstGeom>
                    <a:noFill/>
                    <a:ln>
                      <a:noFill/>
                    </a:ln>
                  </pic:spPr>
                </pic:pic>
              </a:graphicData>
            </a:graphic>
          </wp:inline>
        </w:drawing>
      </w:r>
    </w:p>
    <w:p w14:paraId="77F6D458" w14:textId="77777777" w:rsidR="00000000" w:rsidRDefault="00BA6235">
      <w:pPr>
        <w:numPr>
          <w:ilvl w:val="0"/>
          <w:numId w:val="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Calculate and compare cost of sales, gross profit, and ending inventory using different inventory valuation methods and using </w:t>
      </w:r>
      <w:r>
        <w:rPr>
          <w:rFonts w:ascii="Calibri" w:eastAsia="Times New Roman" w:hAnsi="Calibri" w:cs="Calibri"/>
          <w:b/>
          <w:bCs/>
          <w:color w:val="2E75B5"/>
          <w:sz w:val="22"/>
          <w:szCs w:val="22"/>
        </w:rPr>
        <w:t>perpetual</w:t>
      </w:r>
      <w:r>
        <w:rPr>
          <w:rFonts w:ascii="Calibri" w:eastAsia="Times New Roman" w:hAnsi="Calibri" w:cs="Calibri"/>
          <w:color w:val="2E75B5"/>
          <w:sz w:val="22"/>
          <w:szCs w:val="22"/>
        </w:rPr>
        <w:t xml:space="preserve"> and </w:t>
      </w:r>
      <w:r>
        <w:rPr>
          <w:rFonts w:ascii="Calibri" w:eastAsia="Times New Roman" w:hAnsi="Calibri" w:cs="Calibri"/>
          <w:b/>
          <w:bCs/>
          <w:color w:val="2E75B5"/>
          <w:sz w:val="22"/>
          <w:szCs w:val="22"/>
        </w:rPr>
        <w:t>periodic</w:t>
      </w:r>
      <w:r>
        <w:rPr>
          <w:rFonts w:ascii="Calibri" w:eastAsia="Times New Roman" w:hAnsi="Calibri" w:cs="Calibri"/>
          <w:color w:val="2E75B5"/>
          <w:sz w:val="22"/>
          <w:szCs w:val="22"/>
        </w:rPr>
        <w:t xml:space="preserve"> inventory systems</w:t>
      </w:r>
    </w:p>
    <w:p w14:paraId="533D3166" w14:textId="77777777" w:rsidR="00000000" w:rsidRDefault="00BA6235">
      <w:pPr>
        <w:numPr>
          <w:ilvl w:val="0"/>
          <w:numId w:val="4"/>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9C720B1" wp14:editId="173E0516">
            <wp:extent cx="5581650" cy="52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1650" cy="523875"/>
                    </a:xfrm>
                    <a:prstGeom prst="rect">
                      <a:avLst/>
                    </a:prstGeom>
                    <a:noFill/>
                    <a:ln>
                      <a:noFill/>
                    </a:ln>
                  </pic:spPr>
                </pic:pic>
              </a:graphicData>
            </a:graphic>
          </wp:inline>
        </w:drawing>
      </w:r>
    </w:p>
    <w:p w14:paraId="6D9CF297" w14:textId="77777777" w:rsidR="00000000" w:rsidRDefault="00BA6235">
      <w:pPr>
        <w:numPr>
          <w:ilvl w:val="0"/>
          <w:numId w:val="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Calculate and explain how inflation and deflat</w:t>
      </w:r>
      <w:r>
        <w:rPr>
          <w:rFonts w:ascii="Calibri" w:eastAsia="Times New Roman" w:hAnsi="Calibri" w:cs="Calibri"/>
          <w:color w:val="2E75B5"/>
          <w:sz w:val="22"/>
          <w:szCs w:val="22"/>
        </w:rPr>
        <w:t>ion of inventory costs affect the financial statements and ratios of companies that use different inventory valuation methods</w:t>
      </w:r>
    </w:p>
    <w:p w14:paraId="39137135" w14:textId="77777777" w:rsidR="00000000" w:rsidRDefault="00BA6235">
      <w:pPr>
        <w:numPr>
          <w:ilvl w:val="0"/>
          <w:numId w:val="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LIFO reserve and LIFO liquidation and their effects on financial statements, ratios</w:t>
      </w:r>
    </w:p>
    <w:p w14:paraId="39EADCE4" w14:textId="77777777" w:rsidR="00000000" w:rsidRDefault="00BA6235">
      <w:pPr>
        <w:numPr>
          <w:ilvl w:val="0"/>
          <w:numId w:val="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Convert a company’s reported financial</w:t>
      </w:r>
      <w:r>
        <w:rPr>
          <w:rFonts w:ascii="Calibri" w:eastAsia="Times New Roman" w:hAnsi="Calibri" w:cs="Calibri"/>
          <w:color w:val="2E75B5"/>
          <w:sz w:val="22"/>
          <w:szCs w:val="22"/>
        </w:rPr>
        <w:t xml:space="preserve"> statements from LIFO to FIFO for purposes of comparison</w:t>
      </w:r>
    </w:p>
    <w:p w14:paraId="0228DA1E"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155EE37" wp14:editId="18A089ED">
            <wp:extent cx="4810125" cy="1476375"/>
            <wp:effectExtent l="0" t="0" r="9525" b="9525"/>
            <wp:docPr id="3" name="Picture 3" descr="LIFO &#10;Higher &#10;Lower &#10;Lower &#10;[ote: Assumes increasing prices and stable or increasing inventory levels. &#10;Cost of sales &#10;Ending inventory &#10;Gross profit &#10;FIFO &#10;Lower &#10;Higher &#10;Hig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O &#10;Higher &#10;Lower &#10;Lower &#10;[ote: Assumes increasing prices and stable or increasing inventory levels. &#10;Cost of sales &#10;Ending inventory &#10;Gross profit &#10;FIFO &#10;Lower &#10;Higher &#10;High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125" cy="1476375"/>
                    </a:xfrm>
                    <a:prstGeom prst="rect">
                      <a:avLst/>
                    </a:prstGeom>
                    <a:noFill/>
                    <a:ln>
                      <a:noFill/>
                    </a:ln>
                  </pic:spPr>
                </pic:pic>
              </a:graphicData>
            </a:graphic>
          </wp:inline>
        </w:drawing>
      </w:r>
    </w:p>
    <w:p w14:paraId="744468B8" w14:textId="77777777" w:rsidR="00000000" w:rsidRDefault="00BA6235">
      <w:pPr>
        <w:numPr>
          <w:ilvl w:val="0"/>
          <w:numId w:val="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1D809AF" wp14:editId="37F86E71">
            <wp:extent cx="5667375" cy="52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523875"/>
                    </a:xfrm>
                    <a:prstGeom prst="rect">
                      <a:avLst/>
                    </a:prstGeom>
                    <a:noFill/>
                    <a:ln>
                      <a:noFill/>
                    </a:ln>
                  </pic:spPr>
                </pic:pic>
              </a:graphicData>
            </a:graphic>
          </wp:inline>
        </w:drawing>
      </w:r>
    </w:p>
    <w:p w14:paraId="7F72410B" w14:textId="77777777" w:rsidR="00000000" w:rsidRDefault="00BA6235">
      <w:pPr>
        <w:numPr>
          <w:ilvl w:val="0"/>
          <w:numId w:val="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measurement of inventory at the lower of cost and net realizable value</w:t>
      </w:r>
    </w:p>
    <w:p w14:paraId="5D3650FC" w14:textId="77777777" w:rsidR="00000000" w:rsidRDefault="00BA6235">
      <w:pPr>
        <w:numPr>
          <w:ilvl w:val="0"/>
          <w:numId w:val="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implications of valuing inventory at NRV for financial statements and</w:t>
      </w:r>
      <w:r>
        <w:rPr>
          <w:rFonts w:ascii="Calibri" w:eastAsia="Times New Roman" w:hAnsi="Calibri" w:cs="Calibri"/>
          <w:color w:val="2E75B5"/>
          <w:sz w:val="22"/>
          <w:szCs w:val="22"/>
        </w:rPr>
        <w:t xml:space="preserve"> ratios</w:t>
      </w:r>
    </w:p>
    <w:p w14:paraId="07CDB57B" w14:textId="77777777" w:rsidR="00000000" w:rsidRDefault="00BA6235">
      <w:pPr>
        <w:numPr>
          <w:ilvl w:val="0"/>
          <w:numId w:val="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0B1C628" wp14:editId="4F0BD5F4">
            <wp:extent cx="5572125" cy="18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180975"/>
                    </a:xfrm>
                    <a:prstGeom prst="rect">
                      <a:avLst/>
                    </a:prstGeom>
                    <a:noFill/>
                    <a:ln>
                      <a:noFill/>
                    </a:ln>
                  </pic:spPr>
                </pic:pic>
              </a:graphicData>
            </a:graphic>
          </wp:inline>
        </w:drawing>
      </w:r>
    </w:p>
    <w:p w14:paraId="79B7F2AB" w14:textId="77777777" w:rsidR="00000000" w:rsidRDefault="00BA6235">
      <w:pPr>
        <w:numPr>
          <w:ilvl w:val="0"/>
          <w:numId w:val="9"/>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financial statement presentation of and disclosures relating to inventories</w:t>
      </w:r>
    </w:p>
    <w:p w14:paraId="20E572CC" w14:textId="77777777" w:rsidR="00000000" w:rsidRDefault="00BA6235">
      <w:pPr>
        <w:numPr>
          <w:ilvl w:val="0"/>
          <w:numId w:val="10"/>
        </w:numPr>
        <w:textAlignment w:val="center"/>
        <w:rPr>
          <w:rFonts w:ascii="Calibri" w:eastAsia="Times New Roman" w:hAnsi="Calibri" w:cs="Calibri"/>
          <w:sz w:val="22"/>
          <w:szCs w:val="22"/>
        </w:rPr>
      </w:pPr>
      <w:r>
        <w:rPr>
          <w:rFonts w:ascii="Calibri" w:eastAsia="Times New Roman" w:hAnsi="Calibri" w:cs="Calibri"/>
          <w:sz w:val="22"/>
          <w:szCs w:val="22"/>
        </w:rPr>
        <w:t xml:space="preserve">Disclosures in footnotes: </w:t>
      </w:r>
      <w:r>
        <w:rPr>
          <w:rFonts w:ascii="Calibri" w:eastAsia="Times New Roman" w:hAnsi="Calibri" w:cs="Calibri"/>
          <w:sz w:val="22"/>
          <w:szCs w:val="22"/>
        </w:rPr>
        <w:t>inventory methods, total carrying value by classification = fair value - selling cost, COGS, inventory write-downs and reversals(IFRS only cuz GAAP Xallow)</w:t>
      </w:r>
    </w:p>
    <w:p w14:paraId="1D71CC83" w14:textId="77777777" w:rsidR="00000000" w:rsidRDefault="00BA6235">
      <w:pPr>
        <w:numPr>
          <w:ilvl w:val="1"/>
          <w:numId w:val="10"/>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Change in methods: Under IFRS, the firm must demonstrate that the change will provide reliable and m</w:t>
      </w:r>
      <w:r>
        <w:rPr>
          <w:rFonts w:ascii="Calibri" w:eastAsia="Times New Roman" w:hAnsi="Calibri" w:cs="Calibri"/>
          <w:sz w:val="22"/>
          <w:szCs w:val="22"/>
        </w:rPr>
        <w:t>ore relevant information. Under U.S. GAAP, the firm must explain why the change in cost flow method is preferable. Exception-change to LIFO</w:t>
      </w:r>
    </w:p>
    <w:p w14:paraId="31BF6D3F" w14:textId="77777777" w:rsidR="00000000" w:rsidRDefault="00BA6235">
      <w:pPr>
        <w:numPr>
          <w:ilvl w:val="0"/>
          <w:numId w:val="1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issues that analysts should consider when examining a company’s inventory disclosures and other sources of i</w:t>
      </w:r>
      <w:r>
        <w:rPr>
          <w:rFonts w:ascii="Calibri" w:eastAsia="Times New Roman" w:hAnsi="Calibri" w:cs="Calibri"/>
          <w:color w:val="2E75B5"/>
          <w:sz w:val="22"/>
          <w:szCs w:val="22"/>
        </w:rPr>
        <w:t>nformation</w:t>
      </w:r>
    </w:p>
    <w:p w14:paraId="17CED172" w14:textId="77777777" w:rsidR="00000000" w:rsidRDefault="00BA6235">
      <w:pPr>
        <w:numPr>
          <w:ilvl w:val="0"/>
          <w:numId w:val="1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Calculate and compare ratios of companies, including companies that use different inventory methods</w:t>
      </w:r>
    </w:p>
    <w:p w14:paraId="7445C7CB" w14:textId="77777777" w:rsidR="00000000" w:rsidRDefault="00BA6235">
      <w:pPr>
        <w:numPr>
          <w:ilvl w:val="0"/>
          <w:numId w:val="1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Analyze and compare the financial statements of companies, including companies that use different inventory methods</w:t>
      </w:r>
    </w:p>
    <w:p w14:paraId="340EBE98"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41BE149" wp14:editId="0C9E79BA">
            <wp:extent cx="57054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5475" cy="1790700"/>
                    </a:xfrm>
                    <a:prstGeom prst="rect">
                      <a:avLst/>
                    </a:prstGeom>
                    <a:noFill/>
                    <a:ln>
                      <a:noFill/>
                    </a:ln>
                  </pic:spPr>
                </pic:pic>
              </a:graphicData>
            </a:graphic>
          </wp:inline>
        </w:drawing>
      </w:r>
    </w:p>
    <w:p w14:paraId="34B28CD5"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D1A963"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5C04EB" w14:textId="77777777" w:rsidR="00000000" w:rsidRDefault="00BA623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26. LONG-LIVED ASSETS</w:t>
      </w:r>
    </w:p>
    <w:p w14:paraId="53358FED"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DF47CC" w14:textId="77777777" w:rsidR="00000000" w:rsidRDefault="00BA6235">
      <w:pPr>
        <w:numPr>
          <w:ilvl w:val="0"/>
          <w:numId w:val="12"/>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costs that are capitalized and costs that are expensed in the period in which they are incurred</w:t>
      </w:r>
    </w:p>
    <w:p w14:paraId="38D228A3" w14:textId="77777777" w:rsidR="00000000" w:rsidRDefault="00BA6235">
      <w:pPr>
        <w:numPr>
          <w:ilvl w:val="0"/>
          <w:numId w:val="1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6B07DA2" wp14:editId="2BD07802">
            <wp:extent cx="566737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543050"/>
                    </a:xfrm>
                    <a:prstGeom prst="rect">
                      <a:avLst/>
                    </a:prstGeom>
                    <a:noFill/>
                    <a:ln>
                      <a:noFill/>
                    </a:ln>
                  </pic:spPr>
                </pic:pic>
              </a:graphicData>
            </a:graphic>
          </wp:inline>
        </w:drawing>
      </w:r>
    </w:p>
    <w:p w14:paraId="716DD2A6" w14:textId="77777777" w:rsidR="00000000" w:rsidRDefault="00BA6235">
      <w:pPr>
        <w:numPr>
          <w:ilvl w:val="0"/>
          <w:numId w:val="1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Compare </w:t>
      </w:r>
      <w:r>
        <w:rPr>
          <w:rFonts w:ascii="Calibri" w:eastAsia="Times New Roman" w:hAnsi="Calibri" w:cs="Calibri"/>
          <w:color w:val="2E75B5"/>
          <w:sz w:val="22"/>
          <w:szCs w:val="22"/>
        </w:rPr>
        <w:t>intangible assets: purchased, internally developed, acquired in business combination</w:t>
      </w:r>
    </w:p>
    <w:p w14:paraId="1D37178D" w14:textId="77777777" w:rsidR="00000000" w:rsidRDefault="00BA6235">
      <w:pPr>
        <w:numPr>
          <w:ilvl w:val="0"/>
          <w:numId w:val="15"/>
        </w:numPr>
        <w:textAlignment w:val="center"/>
        <w:rPr>
          <w:rFonts w:ascii="Calibri" w:eastAsia="Times New Roman" w:hAnsi="Calibri" w:cs="Calibri"/>
          <w:sz w:val="22"/>
          <w:szCs w:val="22"/>
        </w:rPr>
      </w:pPr>
      <w:r>
        <w:rPr>
          <w:rFonts w:ascii="Calibri" w:eastAsia="Times New Roman" w:hAnsi="Calibri" w:cs="Calibri"/>
          <w:b/>
          <w:bCs/>
          <w:sz w:val="22"/>
          <w:szCs w:val="22"/>
          <w:shd w:val="clear" w:color="auto" w:fill="FAC08F"/>
        </w:rPr>
        <w:t>IFRS identifiable</w:t>
      </w:r>
      <w:r>
        <w:rPr>
          <w:rFonts w:ascii="Calibri" w:eastAsia="Times New Roman" w:hAnsi="Calibri" w:cs="Calibri"/>
          <w:sz w:val="22"/>
          <w:szCs w:val="22"/>
          <w:shd w:val="clear" w:color="auto" w:fill="FAC08F"/>
        </w:rPr>
        <w:t xml:space="preserve"> intangible assets: can be separated from firm or from contractual legal right</w:t>
      </w:r>
      <w:r>
        <w:rPr>
          <w:rFonts w:ascii="Calibri" w:eastAsia="Times New Roman" w:hAnsi="Calibri" w:cs="Calibri"/>
          <w:sz w:val="22"/>
          <w:szCs w:val="22"/>
        </w:rPr>
        <w:t>, controlled by firm, expected to provide future economic benefits[probable,</w:t>
      </w:r>
      <w:r>
        <w:rPr>
          <w:rFonts w:ascii="Calibri" w:eastAsia="Times New Roman" w:hAnsi="Calibri" w:cs="Calibri"/>
          <w:sz w:val="22"/>
          <w:szCs w:val="22"/>
        </w:rPr>
        <w:t xml:space="preserve"> measurable]. </w:t>
      </w:r>
      <w:r>
        <w:rPr>
          <w:rFonts w:ascii="Calibri" w:eastAsia="Times New Roman" w:hAnsi="Calibri" w:cs="Calibri"/>
          <w:b/>
          <w:bCs/>
          <w:sz w:val="22"/>
          <w:szCs w:val="22"/>
        </w:rPr>
        <w:t>Unidentifiable</w:t>
      </w:r>
      <w:r>
        <w:rPr>
          <w:rFonts w:ascii="Calibri" w:eastAsia="Times New Roman" w:hAnsi="Calibri" w:cs="Calibri"/>
          <w:sz w:val="22"/>
          <w:szCs w:val="22"/>
        </w:rPr>
        <w:t xml:space="preserve">: cannot be purchased separately with indefinite life, eg. Goodwill (purchase price - fair value of identifiable, net of liabilities acquired). </w:t>
      </w:r>
    </w:p>
    <w:p w14:paraId="658F4FC4" w14:textId="77777777" w:rsidR="00000000" w:rsidRDefault="00BA6235">
      <w:pPr>
        <w:numPr>
          <w:ilvl w:val="0"/>
          <w:numId w:val="1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798BB7E" wp14:editId="395DB7A7">
            <wp:extent cx="5572125" cy="120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200150"/>
                    </a:xfrm>
                    <a:prstGeom prst="rect">
                      <a:avLst/>
                    </a:prstGeom>
                    <a:noFill/>
                    <a:ln>
                      <a:noFill/>
                    </a:ln>
                  </pic:spPr>
                </pic:pic>
              </a:graphicData>
            </a:graphic>
          </wp:inline>
        </w:drawing>
      </w:r>
    </w:p>
    <w:p w14:paraId="45F40059" w14:textId="77777777" w:rsidR="00000000" w:rsidRDefault="00BA6235">
      <w:pPr>
        <w:numPr>
          <w:ilvl w:val="0"/>
          <w:numId w:val="1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 xml:space="preserve">Explain </w:t>
      </w:r>
      <w:r>
        <w:rPr>
          <w:rFonts w:ascii="Calibri" w:eastAsia="Times New Roman" w:hAnsi="Calibri" w:cs="Calibri"/>
          <w:color w:val="2E75B5"/>
          <w:sz w:val="22"/>
          <w:szCs w:val="22"/>
        </w:rPr>
        <w:t>and evaluate how capitalizing versus expensing costs in the period in which they are incurred affects financial statements and ratios</w:t>
      </w:r>
    </w:p>
    <w:p w14:paraId="3CBE309F" w14:textId="77777777" w:rsidR="00000000" w:rsidRDefault="00BA6235">
      <w:pPr>
        <w:numPr>
          <w:ilvl w:val="0"/>
          <w:numId w:val="1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B5B4447" wp14:editId="575743FD">
            <wp:extent cx="559117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609600"/>
                    </a:xfrm>
                    <a:prstGeom prst="rect">
                      <a:avLst/>
                    </a:prstGeom>
                    <a:noFill/>
                    <a:ln>
                      <a:noFill/>
                    </a:ln>
                  </pic:spPr>
                </pic:pic>
              </a:graphicData>
            </a:graphic>
          </wp:inline>
        </w:drawing>
      </w:r>
    </w:p>
    <w:p w14:paraId="675C18E1"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49D825D7" wp14:editId="04307649">
            <wp:extent cx="3448050" cy="3352800"/>
            <wp:effectExtent l="0" t="0" r="0" b="0"/>
            <wp:docPr id="10" name="Picture 10" descr="Total assets &#10;Shareholders' equity &#10;Income variability &#10;Net income (first year) &#10;Net income (subsequent years) &#10;Cash flow from operations &#10;Cash flow from investing &#10;Debt ratio &amp; debt-to-equity &#10;Interest coverage (first year) &#10;Interest coverage (subsequent years) &#10;Capitalizing &#10;Higher &#10;Higher &#10;Lower &#10;Higher &#10;Lower &#10;Higher &#10;Lower &#10;Lower &#10;Higher &#10;Lower &#10;Expensing &#10;Lower &#10;Lower &#10;Higher &#10;Lower &#10;Higher &#10;Lower &#10;Higher &#10;Higher &#10;Lower &#10;Hig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tal assets &#10;Shareholders' equity &#10;Income variability &#10;Net income (first year) &#10;Net income (subsequent years) &#10;Cash flow from operations &#10;Cash flow from investing &#10;Debt ratio &amp; debt-to-equity &#10;Interest coverage (first year) &#10;Interest coverage (subsequent years) &#10;Capitalizing &#10;Higher &#10;Higher &#10;Lower &#10;Higher &#10;Lower &#10;Higher &#10;Lower &#10;Lower &#10;Higher &#10;Lower &#10;Expensing &#10;Lower &#10;Lower &#10;Higher &#10;Lower &#10;Higher &#10;Lower &#10;Higher &#10;Higher &#10;Lower &#10;High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3352800"/>
                    </a:xfrm>
                    <a:prstGeom prst="rect">
                      <a:avLst/>
                    </a:prstGeom>
                    <a:noFill/>
                    <a:ln>
                      <a:noFill/>
                    </a:ln>
                  </pic:spPr>
                </pic:pic>
              </a:graphicData>
            </a:graphic>
          </wp:inline>
        </w:drawing>
      </w:r>
    </w:p>
    <w:p w14:paraId="533356C4" w14:textId="77777777" w:rsidR="00000000" w:rsidRDefault="00BA6235">
      <w:pPr>
        <w:numPr>
          <w:ilvl w:val="0"/>
          <w:numId w:val="1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different depreciation methods for property, plant, and equipment and calculate depreciation expense</w:t>
      </w:r>
    </w:p>
    <w:p w14:paraId="73946DAC" w14:textId="77777777" w:rsidR="00000000" w:rsidRDefault="00BA6235">
      <w:pPr>
        <w:numPr>
          <w:ilvl w:val="0"/>
          <w:numId w:val="19"/>
        </w:numPr>
        <w:textAlignment w:val="center"/>
        <w:rPr>
          <w:rFonts w:ascii="Calibri" w:eastAsia="Times New Roman" w:hAnsi="Calibri" w:cs="Calibri"/>
          <w:sz w:val="22"/>
          <w:szCs w:val="22"/>
        </w:rPr>
      </w:pPr>
      <w:r>
        <w:rPr>
          <w:rFonts w:ascii="Calibri" w:eastAsia="Times New Roman" w:hAnsi="Calibri" w:cs="Calibri"/>
          <w:sz w:val="22"/>
          <w:szCs w:val="22"/>
        </w:rPr>
        <w:t>Ca</w:t>
      </w:r>
      <w:r>
        <w:rPr>
          <w:rFonts w:ascii="Calibri" w:eastAsia="Times New Roman" w:hAnsi="Calibri" w:cs="Calibri"/>
          <w:sz w:val="22"/>
          <w:szCs w:val="22"/>
        </w:rPr>
        <w:t xml:space="preserve">rrying (book) value = Historical cost[purchase price + delivery + installation, gross invest] - accumulated depreciation. Straight-line, accelerated, double-declining, units-of-production methods. IFRS requires </w:t>
      </w:r>
      <w:r>
        <w:rPr>
          <w:rFonts w:ascii="Calibri" w:eastAsia="Times New Roman" w:hAnsi="Calibri" w:cs="Calibri"/>
          <w:b/>
          <w:bCs/>
          <w:sz w:val="22"/>
          <w:szCs w:val="22"/>
        </w:rPr>
        <w:t>component depreciation</w:t>
      </w:r>
      <w:r>
        <w:rPr>
          <w:rFonts w:ascii="Calibri" w:eastAsia="Times New Roman" w:hAnsi="Calibri" w:cs="Calibri"/>
          <w:sz w:val="22"/>
          <w:szCs w:val="22"/>
        </w:rPr>
        <w:t>, while GAAP allows but</w:t>
      </w:r>
      <w:r>
        <w:rPr>
          <w:rFonts w:ascii="Calibri" w:eastAsia="Times New Roman" w:hAnsi="Calibri" w:cs="Calibri"/>
          <w:sz w:val="22"/>
          <w:szCs w:val="22"/>
        </w:rPr>
        <w:t xml:space="preserve"> rarely use. </w:t>
      </w:r>
    </w:p>
    <w:p w14:paraId="204062D6" w14:textId="77777777" w:rsidR="00000000" w:rsidRDefault="00BA6235">
      <w:pPr>
        <w:numPr>
          <w:ilvl w:val="0"/>
          <w:numId w:val="2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how the choice of depreciation method and assumptions concerning useful life and residual value affect depreciation expense, financial statements, and ratios </w:t>
      </w:r>
    </w:p>
    <w:p w14:paraId="611C6F40" w14:textId="77777777" w:rsidR="00000000" w:rsidRDefault="00BA6235">
      <w:pPr>
        <w:numPr>
          <w:ilvl w:val="0"/>
          <w:numId w:val="2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different </w:t>
      </w:r>
      <w:r>
        <w:rPr>
          <w:rFonts w:ascii="Calibri" w:eastAsia="Times New Roman" w:hAnsi="Calibri" w:cs="Calibri"/>
          <w:b/>
          <w:bCs/>
          <w:color w:val="2E75B5"/>
          <w:sz w:val="22"/>
          <w:szCs w:val="22"/>
        </w:rPr>
        <w:t>amortization</w:t>
      </w:r>
      <w:r>
        <w:rPr>
          <w:rFonts w:ascii="Calibri" w:eastAsia="Times New Roman" w:hAnsi="Calibri" w:cs="Calibri"/>
          <w:color w:val="2E75B5"/>
          <w:sz w:val="22"/>
          <w:szCs w:val="22"/>
        </w:rPr>
        <w:t xml:space="preserve"> methods for intangible assets with finite </w:t>
      </w:r>
      <w:r>
        <w:rPr>
          <w:rFonts w:ascii="Calibri" w:eastAsia="Times New Roman" w:hAnsi="Calibri" w:cs="Calibri"/>
          <w:color w:val="2E75B5"/>
          <w:sz w:val="22"/>
          <w:szCs w:val="22"/>
        </w:rPr>
        <w:t xml:space="preserve">lives and calculate amortization expense: </w:t>
      </w:r>
      <w:r>
        <w:rPr>
          <w:rFonts w:ascii="Calibri" w:eastAsia="Times New Roman" w:hAnsi="Calibri" w:cs="Calibri"/>
          <w:color w:val="000000"/>
          <w:sz w:val="22"/>
          <w:szCs w:val="22"/>
        </w:rPr>
        <w:t xml:space="preserve">same above straight-line, accelerated DDB, check useful life time. </w:t>
      </w:r>
    </w:p>
    <w:p w14:paraId="1AE4DD58" w14:textId="77777777" w:rsidR="00000000" w:rsidRDefault="00BA6235">
      <w:pPr>
        <w:numPr>
          <w:ilvl w:val="0"/>
          <w:numId w:val="2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how the choice of amortization method and assumptions concerning useful life and residual value affect amortization expense, financial st</w:t>
      </w:r>
      <w:r>
        <w:rPr>
          <w:rFonts w:ascii="Calibri" w:eastAsia="Times New Roman" w:hAnsi="Calibri" w:cs="Calibri"/>
          <w:color w:val="2E75B5"/>
          <w:sz w:val="22"/>
          <w:szCs w:val="22"/>
        </w:rPr>
        <w:t>atements, and ratios</w:t>
      </w:r>
    </w:p>
    <w:p w14:paraId="590C2C71"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2368571" wp14:editId="10AA1F5D">
            <wp:extent cx="2847975" cy="2714625"/>
            <wp:effectExtent l="0" t="0" r="9525" b="9525"/>
            <wp:docPr id="11" name="Picture 11" descr="Depreciation expense &#10;Net income &#10;Total assets &#10;Shareholders' equity &#10;Return on assets &#10;Return on equity &#10;Asset turnover ratios &#10;Cash flow &#10;Straight-Line &#10;Lower &#10;Higher &#10;Higher &#10;Higher &#10;Higher &#10;Higher &#10;Lower &#10;Same &#10;Accelerated &#10;Higher &#10;Lower &#10;Lower &#10;Lower &#10;Lower &#10;Lower &#10;Higher &#10;S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reciation expense &#10;Net income &#10;Total assets &#10;Shareholders' equity &#10;Return on assets &#10;Return on equity &#10;Asset turnover ratios &#10;Cash flow &#10;Straight-Line &#10;Lower &#10;Higher &#10;Higher &#10;Higher &#10;Higher &#10;Higher &#10;Lower &#10;Same &#10;Accelerated &#10;Higher &#10;Lower &#10;Lower &#10;Lower &#10;Lower &#10;Lower &#10;Higher &#10;Sam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2714625"/>
                    </a:xfrm>
                    <a:prstGeom prst="rect">
                      <a:avLst/>
                    </a:prstGeom>
                    <a:noFill/>
                    <a:ln>
                      <a:noFill/>
                    </a:ln>
                  </pic:spPr>
                </pic:pic>
              </a:graphicData>
            </a:graphic>
          </wp:inline>
        </w:drawing>
      </w:r>
    </w:p>
    <w:p w14:paraId="4311E316" w14:textId="77777777" w:rsidR="00000000" w:rsidRDefault="00BA6235">
      <w:pPr>
        <w:numPr>
          <w:ilvl w:val="0"/>
          <w:numId w:val="2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revaluation model</w:t>
      </w:r>
    </w:p>
    <w:p w14:paraId="20419C62" w14:textId="77777777" w:rsidR="00000000" w:rsidRDefault="00BA6235">
      <w:pPr>
        <w:numPr>
          <w:ilvl w:val="0"/>
          <w:numId w:val="2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981E80F" wp14:editId="37B066E9">
            <wp:extent cx="566737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1028700"/>
                    </a:xfrm>
                    <a:prstGeom prst="rect">
                      <a:avLst/>
                    </a:prstGeom>
                    <a:noFill/>
                    <a:ln>
                      <a:noFill/>
                    </a:ln>
                  </pic:spPr>
                </pic:pic>
              </a:graphicData>
            </a:graphic>
          </wp:inline>
        </w:drawing>
      </w:r>
    </w:p>
    <w:p w14:paraId="101929D4"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0568BBDC" wp14:editId="1DFB97C7">
            <wp:extent cx="5143500" cy="1524000"/>
            <wp:effectExtent l="0" t="0" r="0" b="0"/>
            <wp:docPr id="13" name="Picture 13" descr="On December 31, 2()X1, Parsons Corp. reports a carrying value for an asset class as $30 million &#10;and a fair value of $29 million and reports a revaluation loss on the income statement of $1 million. &#10;On December 31, 20X2, Parsons determines that the fair market value of the asset class is $1.5 &#10;million above its carrying value. This upward revaluation will be reported as a Sl million gain on &#10;the income statement (to reverse the previously recorded loss on the income statement) and a $0.5 &#10;million increase in the revaluation surplus account that does not affect income, but increases equity &#10;directly. &#10;On December 31, 20X3, Parsons determines that the fair market value of the asset class is $1 &#10;million below its carrying value. This loss first goes to reduce the existing revaluation surplus of &#10;$0.5 million, and the other $0.5 million of the downward revaluation is reported as a loss on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 December 31, 2()X1, Parsons Corp. reports a carrying value for an asset class as $30 million &#10;and a fair value of $29 million and reports a revaluation loss on the income statement of $1 million. &#10;On December 31, 20X2, Parsons determines that the fair market value of the asset class is $1.5 &#10;million above its carrying value. This upward revaluation will be reported as a Sl million gain on &#10;the income statement (to reverse the previously recorded loss on the income statement) and a $0.5 &#10;million increase in the revaluation surplus account that does not affect income, but increases equity &#10;directly. &#10;On December 31, 20X3, Parsons determines that the fair market value of the asset class is $1 &#10;million below its carrying value. This loss first goes to reduce the existing revaluation surplus of &#10;$0.5 million, and the other $0.5 million of the downward revaluation is reported as a loss on th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524000"/>
                    </a:xfrm>
                    <a:prstGeom prst="rect">
                      <a:avLst/>
                    </a:prstGeom>
                    <a:noFill/>
                    <a:ln>
                      <a:noFill/>
                    </a:ln>
                  </pic:spPr>
                </pic:pic>
              </a:graphicData>
            </a:graphic>
          </wp:inline>
        </w:drawing>
      </w:r>
    </w:p>
    <w:p w14:paraId="306675C5" w14:textId="77777777" w:rsidR="00000000" w:rsidRDefault="00BA6235">
      <w:pPr>
        <w:numPr>
          <w:ilvl w:val="0"/>
          <w:numId w:val="2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the </w:t>
      </w:r>
      <w:r>
        <w:rPr>
          <w:rFonts w:ascii="Calibri" w:eastAsia="Times New Roman" w:hAnsi="Calibri" w:cs="Calibri"/>
          <w:b/>
          <w:bCs/>
          <w:color w:val="2E75B5"/>
          <w:sz w:val="22"/>
          <w:szCs w:val="22"/>
          <w:highlight w:val="yellow"/>
        </w:rPr>
        <w:t>impairment</w:t>
      </w:r>
      <w:r>
        <w:rPr>
          <w:rFonts w:ascii="Calibri" w:eastAsia="Times New Roman" w:hAnsi="Calibri" w:cs="Calibri"/>
          <w:color w:val="2E75B5"/>
          <w:sz w:val="22"/>
          <w:szCs w:val="22"/>
        </w:rPr>
        <w:t xml:space="preserve"> of property, plant, and</w:t>
      </w:r>
      <w:r>
        <w:rPr>
          <w:rFonts w:ascii="Calibri" w:eastAsia="Times New Roman" w:hAnsi="Calibri" w:cs="Calibri"/>
          <w:color w:val="2E75B5"/>
          <w:sz w:val="22"/>
          <w:szCs w:val="22"/>
        </w:rPr>
        <w:t xml:space="preserve"> equipment and intangible assets</w:t>
      </w:r>
    </w:p>
    <w:p w14:paraId="65C0D28B" w14:textId="77777777" w:rsidR="00000000" w:rsidRDefault="00BA6235">
      <w:pPr>
        <w:numPr>
          <w:ilvl w:val="0"/>
          <w:numId w:val="24"/>
        </w:numPr>
        <w:textAlignment w:val="center"/>
        <w:rPr>
          <w:rFonts w:ascii="Calibri" w:eastAsia="Times New Roman" w:hAnsi="Calibri" w:cs="Calibri"/>
          <w:sz w:val="22"/>
          <w:szCs w:val="22"/>
        </w:rPr>
      </w:pPr>
      <w:r>
        <w:rPr>
          <w:rFonts w:ascii="Calibri" w:eastAsia="Times New Roman" w:hAnsi="Calibri" w:cs="Calibri"/>
          <w:sz w:val="22"/>
          <w:szCs w:val="22"/>
        </w:rPr>
        <w:t xml:space="preserve">IFRS: annual asses impairment=carrying(cost-accu. Dep) &gt; </w:t>
      </w:r>
      <w:r>
        <w:rPr>
          <w:rFonts w:ascii="Calibri" w:eastAsia="Times New Roman" w:hAnsi="Calibri" w:cs="Calibri"/>
          <w:b/>
          <w:bCs/>
          <w:sz w:val="22"/>
          <w:szCs w:val="22"/>
        </w:rPr>
        <w:t xml:space="preserve">recoverable amount(Fair Value -selling cost </w:t>
      </w:r>
      <w:r>
        <w:rPr>
          <w:rFonts w:ascii="Calibri" w:eastAsia="Times New Roman" w:hAnsi="Calibri" w:cs="Calibri"/>
          <w:b/>
          <w:bCs/>
          <w:sz w:val="22"/>
          <w:szCs w:val="22"/>
          <w:u w:val="single"/>
        </w:rPr>
        <w:t>or</w:t>
      </w:r>
      <w:r>
        <w:rPr>
          <w:rFonts w:ascii="Calibri" w:eastAsia="Times New Roman" w:hAnsi="Calibri" w:cs="Calibri"/>
          <w:b/>
          <w:bCs/>
          <w:sz w:val="22"/>
          <w:szCs w:val="22"/>
        </w:rPr>
        <w:t xml:space="preserve"> value in use[PV of CFs])</w:t>
      </w:r>
      <w:r>
        <w:rPr>
          <w:rFonts w:ascii="Calibri" w:eastAsia="Times New Roman" w:hAnsi="Calibri" w:cs="Calibri"/>
          <w:sz w:val="22"/>
          <w:szCs w:val="22"/>
        </w:rPr>
        <w:t xml:space="preserve">, or significant </w:t>
      </w:r>
      <w:r>
        <w:rPr>
          <w:rFonts w:ascii="Calibri" w:eastAsia="Times New Roman" w:hAnsi="Calibri" w:cs="Calibri"/>
          <w:sz w:val="22"/>
          <w:szCs w:val="22"/>
        </w:rPr>
        <w:t xml:space="preserve">circumstances in market value change, write-down to recoverable[GAAP fair] on BS, impairment loss in IS limited reversal of write-up. </w:t>
      </w:r>
    </w:p>
    <w:p w14:paraId="3159FF61" w14:textId="77777777" w:rsidR="00000000" w:rsidRDefault="00BA6235">
      <w:pPr>
        <w:numPr>
          <w:ilvl w:val="0"/>
          <w:numId w:val="24"/>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US GAAP: only impairment when circumstances cannot recover carrying value</w:t>
      </w:r>
      <w:r>
        <w:rPr>
          <w:rFonts w:ascii="Calibri" w:eastAsia="Times New Roman" w:hAnsi="Calibri" w:cs="Calibri"/>
          <w:sz w:val="22"/>
          <w:szCs w:val="22"/>
        </w:rPr>
        <w:t>, 1.recoverability test: carrying&gt;future undisco</w:t>
      </w:r>
      <w:r>
        <w:rPr>
          <w:rFonts w:ascii="Calibri" w:eastAsia="Times New Roman" w:hAnsi="Calibri" w:cs="Calibri"/>
          <w:sz w:val="22"/>
          <w:szCs w:val="22"/>
        </w:rPr>
        <w:t>unted CFs, 2.loss in IS measure=carrying-fair(or discounted PVCF).</w:t>
      </w:r>
    </w:p>
    <w:p w14:paraId="64A700C1"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7FA7140" wp14:editId="3DD79AC9">
            <wp:extent cx="5267325" cy="1238250"/>
            <wp:effectExtent l="0" t="0" r="9525" b="0"/>
            <wp:docPr id="14" name="Picture 14" descr="The carrying value of the equipment is $900,000 original cost $100,000 accumulated depreciation &#10;= $800,000, and the recoverable amount under IFRS is $785,000 (greater of $785,000 value in use &#10;and $760,000 fair value less selling costs). Under IFRS, the asset is written down on the balance &#10;sheet to the $785,000 recoverable amount, and a $15,000 loss ($800,000 carrying value — $785,000 &#10;recoverable amount) is recognized in the income statement. &#10;Under U.S. GAAP, the asset is impaired because the $795,000 expected future cash flows is less &#10;than the $800,000 carrying value. The asset is written down on the balance sheet to its $790,000 &#10;fair value, and a $10,000 loss ($800,000 carrying value — $790,000 fair value) is recognized on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carrying value of the equipment is $900,000 original cost $100,000 accumulated depreciation &#10;= $800,000, and the recoverable amount under IFRS is $785,000 (greater of $785,000 value in use &#10;and $760,000 fair value less selling costs). Under IFRS, the asset is written down on the balance &#10;sheet to the $785,000 recoverable amount, and a $15,000 loss ($800,000 carrying value — $785,000 &#10;recoverable amount) is recognized in the income statement. &#10;Under U.S. GAAP, the asset is impaired because the $795,000 expected future cash flows is less &#10;than the $800,000 carrying value. The asset is written down on the balance sheet to its $790,000 &#10;fair value, and a $10,000 loss ($800,000 carrying value — $790,000 fair value) is recognized on th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238250"/>
                    </a:xfrm>
                    <a:prstGeom prst="rect">
                      <a:avLst/>
                    </a:prstGeom>
                    <a:noFill/>
                    <a:ln>
                      <a:noFill/>
                    </a:ln>
                  </pic:spPr>
                </pic:pic>
              </a:graphicData>
            </a:graphic>
          </wp:inline>
        </w:drawing>
      </w:r>
    </w:p>
    <w:p w14:paraId="75D4E81E" w14:textId="77777777" w:rsidR="00000000" w:rsidRDefault="00BA6235">
      <w:pPr>
        <w:numPr>
          <w:ilvl w:val="0"/>
          <w:numId w:val="2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359F880" wp14:editId="7D9EF40E">
            <wp:extent cx="565785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52425"/>
                    </a:xfrm>
                    <a:prstGeom prst="rect">
                      <a:avLst/>
                    </a:prstGeom>
                    <a:noFill/>
                    <a:ln>
                      <a:noFill/>
                    </a:ln>
                  </pic:spPr>
                </pic:pic>
              </a:graphicData>
            </a:graphic>
          </wp:inline>
        </w:drawing>
      </w:r>
    </w:p>
    <w:p w14:paraId="03D9B858" w14:textId="77777777" w:rsidR="00000000" w:rsidRDefault="00BA6235">
      <w:pPr>
        <w:numPr>
          <w:ilvl w:val="0"/>
          <w:numId w:val="2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the derecognition of property, plant, </w:t>
      </w:r>
      <w:r>
        <w:rPr>
          <w:rFonts w:ascii="Calibri" w:eastAsia="Times New Roman" w:hAnsi="Calibri" w:cs="Calibri"/>
          <w:color w:val="2E75B5"/>
          <w:sz w:val="22"/>
          <w:szCs w:val="22"/>
        </w:rPr>
        <w:t>and equipment and intangible assets</w:t>
      </w:r>
    </w:p>
    <w:p w14:paraId="5281BBBE" w14:textId="77777777" w:rsidR="00000000" w:rsidRDefault="00BA6235">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 xml:space="preserve">When sold, gain/loss = actual selling price - carrying[original cost - accu. Dep - impair] in IS, CFI. When exchanged for other asset, carrying BV of exchanged=fair value if cannot truly estimated. </w:t>
      </w:r>
    </w:p>
    <w:p w14:paraId="560C5591" w14:textId="77777777" w:rsidR="00000000" w:rsidRDefault="00BA6235">
      <w:pPr>
        <w:numPr>
          <w:ilvl w:val="0"/>
          <w:numId w:val="2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and evaluate </w:t>
      </w:r>
      <w:r>
        <w:rPr>
          <w:rFonts w:ascii="Calibri" w:eastAsia="Times New Roman" w:hAnsi="Calibri" w:cs="Calibri"/>
          <w:color w:val="2E75B5"/>
          <w:sz w:val="22"/>
          <w:szCs w:val="22"/>
        </w:rPr>
        <w:t>how impairment, revaluation, and derecognition of property, plant, and equipment and intangible assets affect financial statements and ratios</w:t>
      </w:r>
    </w:p>
    <w:p w14:paraId="323B8AF2" w14:textId="77777777" w:rsidR="00000000" w:rsidRDefault="00BA6235">
      <w:pPr>
        <w:numPr>
          <w:ilvl w:val="0"/>
          <w:numId w:val="29"/>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605A7B5" wp14:editId="31FFB6E0">
            <wp:extent cx="56007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52425"/>
                    </a:xfrm>
                    <a:prstGeom prst="rect">
                      <a:avLst/>
                    </a:prstGeom>
                    <a:noFill/>
                    <a:ln>
                      <a:noFill/>
                    </a:ln>
                  </pic:spPr>
                </pic:pic>
              </a:graphicData>
            </a:graphic>
          </wp:inline>
        </w:drawing>
      </w:r>
    </w:p>
    <w:p w14:paraId="314E35A4" w14:textId="77777777" w:rsidR="00000000" w:rsidRDefault="00BA6235">
      <w:pPr>
        <w:numPr>
          <w:ilvl w:val="0"/>
          <w:numId w:val="3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w:t>
      </w:r>
      <w:r>
        <w:rPr>
          <w:rFonts w:ascii="Calibri" w:eastAsia="Times New Roman" w:hAnsi="Calibri" w:cs="Calibri"/>
          <w:color w:val="2E75B5"/>
          <w:sz w:val="22"/>
          <w:szCs w:val="22"/>
        </w:rPr>
        <w:t>the financial statement presentation of and disclosures relating to property, plant, and equipment and intangible assets</w:t>
      </w:r>
    </w:p>
    <w:p w14:paraId="206C923F" w14:textId="77777777" w:rsidR="00000000" w:rsidRDefault="00BA6235">
      <w:pPr>
        <w:numPr>
          <w:ilvl w:val="0"/>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IFRS disclosures:  o   Basis for measurement (usually historical cost). </w:t>
      </w:r>
    </w:p>
    <w:p w14:paraId="0033412C"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Useful lives[not required by GAAP]</w:t>
      </w:r>
      <w:r>
        <w:rPr>
          <w:rFonts w:ascii="Calibri" w:eastAsia="Times New Roman" w:hAnsi="Calibri" w:cs="Calibri"/>
          <w:sz w:val="22"/>
          <w:szCs w:val="22"/>
        </w:rPr>
        <w:t xml:space="preserve"> or depreciation rate. </w:t>
      </w:r>
    </w:p>
    <w:p w14:paraId="4957F6FF"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Gros</w:t>
      </w:r>
      <w:r>
        <w:rPr>
          <w:rFonts w:ascii="Calibri" w:eastAsia="Times New Roman" w:hAnsi="Calibri" w:cs="Calibri"/>
          <w:sz w:val="22"/>
          <w:szCs w:val="22"/>
          <w:shd w:val="clear" w:color="auto" w:fill="FAC08F"/>
        </w:rPr>
        <w:t>s carrying value and accumulated depreciation</w:t>
      </w:r>
      <w:r>
        <w:rPr>
          <w:rFonts w:ascii="Calibri" w:eastAsia="Times New Roman" w:hAnsi="Calibri" w:cs="Calibri"/>
          <w:sz w:val="22"/>
          <w:szCs w:val="22"/>
        </w:rPr>
        <w:t xml:space="preserve">. </w:t>
      </w:r>
    </w:p>
    <w:p w14:paraId="4EAB6F73"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Reconciliation of carrying amounts from beginning to end. </w:t>
      </w:r>
    </w:p>
    <w:p w14:paraId="21DF7CB3"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Title restrictions and </w:t>
      </w:r>
      <w:r>
        <w:rPr>
          <w:rFonts w:ascii="Calibri" w:eastAsia="Times New Roman" w:hAnsi="Calibri" w:cs="Calibri"/>
          <w:sz w:val="22"/>
          <w:szCs w:val="22"/>
          <w:shd w:val="clear" w:color="auto" w:fill="FAC08F"/>
        </w:rPr>
        <w:t>assets pledged as collateral</w:t>
      </w:r>
      <w:r>
        <w:rPr>
          <w:rFonts w:ascii="Calibri" w:eastAsia="Times New Roman" w:hAnsi="Calibri" w:cs="Calibri"/>
          <w:sz w:val="22"/>
          <w:szCs w:val="22"/>
        </w:rPr>
        <w:t xml:space="preserve">. </w:t>
      </w:r>
    </w:p>
    <w:p w14:paraId="15BFA46A"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Agreements to acquire PP&amp;E in the future(eg. Agreement to construction contract other).</w:t>
      </w:r>
    </w:p>
    <w:p w14:paraId="741331A0" w14:textId="77777777" w:rsidR="00000000" w:rsidRDefault="00BA6235">
      <w:pPr>
        <w:numPr>
          <w:ilvl w:val="2"/>
          <w:numId w:val="31"/>
        </w:numPr>
        <w:textAlignment w:val="center"/>
        <w:rPr>
          <w:rFonts w:ascii="Calibri" w:eastAsia="Times New Roman" w:hAnsi="Calibri" w:cs="Calibri"/>
          <w:sz w:val="22"/>
          <w:szCs w:val="22"/>
        </w:rPr>
      </w:pPr>
      <w:r>
        <w:rPr>
          <w:rFonts w:ascii="Calibri" w:eastAsia="Times New Roman" w:hAnsi="Calibri" w:cs="Calibri"/>
          <w:sz w:val="22"/>
          <w:szCs w:val="22"/>
        </w:rPr>
        <w:t>Revalua</w:t>
      </w:r>
      <w:r>
        <w:rPr>
          <w:rFonts w:ascii="Calibri" w:eastAsia="Times New Roman" w:hAnsi="Calibri" w:cs="Calibri"/>
          <w:sz w:val="22"/>
          <w:szCs w:val="22"/>
        </w:rPr>
        <w:t>tion (fair value) model is used: date, how fair value decided, carrying value</w:t>
      </w:r>
    </w:p>
    <w:p w14:paraId="1F63AD08"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Intangible assets w finite or indefinite lives </w:t>
      </w:r>
    </w:p>
    <w:p w14:paraId="4DF1C095"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Amount of impairment losses and reversal by asset </w:t>
      </w:r>
      <w:r>
        <w:rPr>
          <w:rFonts w:ascii="Calibri" w:eastAsia="Times New Roman" w:hAnsi="Calibri" w:cs="Calibri"/>
          <w:sz w:val="22"/>
          <w:szCs w:val="22"/>
          <w:u w:val="single"/>
        </w:rPr>
        <w:t>class</w:t>
      </w:r>
      <w:r>
        <w:rPr>
          <w:rFonts w:ascii="Calibri" w:eastAsia="Times New Roman" w:hAnsi="Calibri" w:cs="Calibri"/>
          <w:sz w:val="22"/>
          <w:szCs w:val="22"/>
        </w:rPr>
        <w:t xml:space="preserve">. </w:t>
      </w:r>
    </w:p>
    <w:p w14:paraId="4E75E234"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Where losses and loss reversals recognized in IS. </w:t>
      </w:r>
    </w:p>
    <w:p w14:paraId="1B73C913"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Circumstances that ca</w:t>
      </w:r>
      <w:r>
        <w:rPr>
          <w:rFonts w:ascii="Calibri" w:eastAsia="Times New Roman" w:hAnsi="Calibri" w:cs="Calibri"/>
          <w:sz w:val="22"/>
          <w:szCs w:val="22"/>
        </w:rPr>
        <w:t xml:space="preserve">use the impairment loss or reversal. </w:t>
      </w:r>
    </w:p>
    <w:p w14:paraId="43F58BC2" w14:textId="77777777" w:rsidR="00000000" w:rsidRDefault="00BA6235">
      <w:pPr>
        <w:numPr>
          <w:ilvl w:val="0"/>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US GAAP disclosures:  </w:t>
      </w:r>
    </w:p>
    <w:p w14:paraId="3DFF719C"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Depreciation methods and expense by period. </w:t>
      </w:r>
    </w:p>
    <w:p w14:paraId="0BB6493D"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Accumulated depreciation by major classes or in total. </w:t>
      </w:r>
    </w:p>
    <w:p w14:paraId="6B245B49"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Balances classes by nature and function i.e. land, improvements, machinery, furniture. </w:t>
      </w:r>
    </w:p>
    <w:p w14:paraId="6CCEED36"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AC08F"/>
        </w:rPr>
        <w:t>Intang</w:t>
      </w:r>
      <w:r>
        <w:rPr>
          <w:rFonts w:ascii="Calibri" w:eastAsia="Times New Roman" w:hAnsi="Calibri" w:cs="Calibri"/>
          <w:sz w:val="22"/>
          <w:szCs w:val="22"/>
          <w:shd w:val="clear" w:color="auto" w:fill="FAC08F"/>
        </w:rPr>
        <w:t xml:space="preserve">ible assets of estimate amortized expense for the next </w:t>
      </w:r>
      <w:r>
        <w:rPr>
          <w:rFonts w:ascii="Calibri" w:eastAsia="Times New Roman" w:hAnsi="Calibri" w:cs="Calibri"/>
          <w:b/>
          <w:bCs/>
          <w:sz w:val="22"/>
          <w:szCs w:val="22"/>
          <w:u w:val="single"/>
          <w:shd w:val="clear" w:color="auto" w:fill="FAC08F"/>
        </w:rPr>
        <w:t>5</w:t>
      </w:r>
      <w:r>
        <w:rPr>
          <w:rFonts w:ascii="Calibri" w:eastAsia="Times New Roman" w:hAnsi="Calibri" w:cs="Calibri"/>
          <w:sz w:val="22"/>
          <w:szCs w:val="22"/>
          <w:shd w:val="clear" w:color="auto" w:fill="FAC08F"/>
        </w:rPr>
        <w:t xml:space="preserve"> years</w:t>
      </w:r>
      <w:r>
        <w:rPr>
          <w:rFonts w:ascii="Calibri" w:eastAsia="Times New Roman" w:hAnsi="Calibri" w:cs="Calibri"/>
          <w:sz w:val="22"/>
          <w:szCs w:val="22"/>
        </w:rPr>
        <w:t xml:space="preserve">. </w:t>
      </w:r>
    </w:p>
    <w:p w14:paraId="596F2DD2"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A description of the impaired asset and amount of loss. </w:t>
      </w:r>
    </w:p>
    <w:p w14:paraId="193DBF36"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Circumstances that caused the impairment. </w:t>
      </w:r>
    </w:p>
    <w:p w14:paraId="70DD4000"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 xml:space="preserve">How fair value was determined. </w:t>
      </w:r>
    </w:p>
    <w:p w14:paraId="72ED217B" w14:textId="77777777" w:rsidR="00000000" w:rsidRDefault="00BA6235">
      <w:pPr>
        <w:numPr>
          <w:ilvl w:val="1"/>
          <w:numId w:val="31"/>
        </w:numPr>
        <w:textAlignment w:val="center"/>
        <w:rPr>
          <w:rFonts w:ascii="Calibri" w:eastAsia="Times New Roman" w:hAnsi="Calibri" w:cs="Calibri"/>
          <w:sz w:val="22"/>
          <w:szCs w:val="22"/>
        </w:rPr>
      </w:pPr>
      <w:r>
        <w:rPr>
          <w:rFonts w:ascii="Calibri" w:eastAsia="Times New Roman" w:hAnsi="Calibri" w:cs="Calibri"/>
          <w:sz w:val="22"/>
          <w:szCs w:val="22"/>
        </w:rPr>
        <w:t>Where the loss is recognized in the income statement.</w:t>
      </w:r>
    </w:p>
    <w:p w14:paraId="0E2A51AA" w14:textId="77777777" w:rsidR="00000000" w:rsidRDefault="00BA6235">
      <w:pPr>
        <w:numPr>
          <w:ilvl w:val="0"/>
          <w:numId w:val="32"/>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Analy</w:t>
      </w:r>
      <w:r>
        <w:rPr>
          <w:rFonts w:ascii="Calibri" w:eastAsia="Times New Roman" w:hAnsi="Calibri" w:cs="Calibri"/>
          <w:color w:val="2E75B5"/>
          <w:sz w:val="22"/>
          <w:szCs w:val="22"/>
        </w:rPr>
        <w:t>ze and interpret financial statement disclosures regarding property, plant, and equipment and intangible assets</w:t>
      </w:r>
    </w:p>
    <w:p w14:paraId="088BA27B" w14:textId="77777777" w:rsidR="00000000" w:rsidRDefault="00BA6235">
      <w:pPr>
        <w:numPr>
          <w:ilvl w:val="0"/>
          <w:numId w:val="3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A178D56" wp14:editId="3495ED8A">
            <wp:extent cx="5667375" cy="54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542925"/>
                    </a:xfrm>
                    <a:prstGeom prst="rect">
                      <a:avLst/>
                    </a:prstGeom>
                    <a:noFill/>
                    <a:ln>
                      <a:noFill/>
                    </a:ln>
                  </pic:spPr>
                </pic:pic>
              </a:graphicData>
            </a:graphic>
          </wp:inline>
        </w:drawing>
      </w:r>
    </w:p>
    <w:p w14:paraId="6FE4F33E" w14:textId="77777777" w:rsidR="00000000" w:rsidRDefault="00BA6235">
      <w:pPr>
        <w:numPr>
          <w:ilvl w:val="0"/>
          <w:numId w:val="3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Compare financial reporting of investment property with that of property, plant, &amp; equipment</w:t>
      </w:r>
    </w:p>
    <w:p w14:paraId="3D5471F5" w14:textId="77777777" w:rsidR="00000000" w:rsidRDefault="00BA6235">
      <w:pPr>
        <w:numPr>
          <w:ilvl w:val="0"/>
          <w:numId w:val="3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6C6A40A" wp14:editId="3D901CD4">
            <wp:extent cx="566737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23875"/>
                    </a:xfrm>
                    <a:prstGeom prst="rect">
                      <a:avLst/>
                    </a:prstGeom>
                    <a:noFill/>
                    <a:ln>
                      <a:noFill/>
                    </a:ln>
                  </pic:spPr>
                </pic:pic>
              </a:graphicData>
            </a:graphic>
          </wp:inline>
        </w:drawing>
      </w:r>
    </w:p>
    <w:p w14:paraId="6BA49526"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CAEBAF8" wp14:editId="3647A0A6">
            <wp:extent cx="5191125" cy="1676400"/>
            <wp:effectExtent l="0" t="0" r="9525" b="0"/>
            <wp:docPr id="19" name="Picture 19" descr="Transfer &#10;From &#10;Owner- &#10;occupied &#10;Inventory &#10;Investment &#10;property &#10;Transfer To &#10;Investment property &#10;Investment property &#10;Owner-occupied or &#10;inventory &#10;Financial Statement Treatment &#10;Treat as revaluation: recognize gain only if it reverses &#10;previously recognized loss &#10;Recognize gain or loss if fair value is different from &#10;carrying amount &#10;Fair value Of asset at date Of transfer will be its cost under &#10;new classif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fer &#10;From &#10;Owner- &#10;occupied &#10;Inventory &#10;Investment &#10;property &#10;Transfer To &#10;Investment property &#10;Investment property &#10;Owner-occupied or &#10;inventory &#10;Financial Statement Treatment &#10;Treat as revaluation: recognize gain only if it reverses &#10;previously recognized loss &#10;Recognize gain or loss if fair value is different from &#10;carrying amount &#10;Fair value Of asset at date Of transfer will be its cost under &#10;new classificatio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1676400"/>
                    </a:xfrm>
                    <a:prstGeom prst="rect">
                      <a:avLst/>
                    </a:prstGeom>
                    <a:noFill/>
                    <a:ln>
                      <a:noFill/>
                    </a:ln>
                  </pic:spPr>
                </pic:pic>
              </a:graphicData>
            </a:graphic>
          </wp:inline>
        </w:drawing>
      </w:r>
    </w:p>
    <w:p w14:paraId="23FAC825"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4EAD100" wp14:editId="6F60DEE3">
            <wp:extent cx="5791200" cy="1962150"/>
            <wp:effectExtent l="0" t="0" r="0" b="0"/>
            <wp:docPr id="20" name="Picture 20" descr="ملك١٠٠١١/١٥)- &#10;لمد) &#10;م ومهمهمل بي سا له رهماا 48مت &#10;مدع -٥: - امسإرعدن عمهرهور) &#10;بامم. -إرر &#10;ملمده :مامه سهبررمدهمم،،محه مهوععه طهم؟هيههته.مسهبر &#10;مو ها؟ &#10;امههه مهه ظمات مده ت . لمهدرحطعه سحمه7إتمومة» صسعه &#10;rvwft %-%Vati YPl.MüLeO-•T &#10;0 معاطهدنوهمهre؟ &#10;حصة7Pا3 &#10;@ ييد.A &#10;,Q عسحنالم؟ يعوم c(ölpYYl%og حدد، (G. تصساو &#10;٩ ).Ohmme -t؟ &#10;صلد هـممهa60 &#10;معادمهرهوم@ اهم &#10;٥٠١١ -ك إo) 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ملك١٠٠١١/١٥)- &#10;لمد) &#10;م ومهمهمل بي سا له رهماا 48مت &#10;مدع -٥: - امسإرعدن عمهرهور) &#10;بامم. -إرر &#10;ملمده :مامه سهبررمدهمم،،محه مهوععه طهم؟هيههته.مسهبر &#10;مو ها؟ &#10;امههه مهه ظمات مده ت . لمهدرحطعه سحمه7إتمومة» صسعه &#10;rvwft %-%Vati YPl.MüLeO-•T &#10;0 معاطهدنوهمهre؟ &#10;حصة7Pا3 &#10;@ ييد.A &#10;,Q عسحنالم؟ يعوم c(ölpYYl%og حدد، (G. تصساو &#10;٩ ).Ohmme -t؟ &#10;صلد هـممهa60 &#10;معادمهرهوم@ اهم &#10;٥٠١١ -ك إo) ٥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1962150"/>
                    </a:xfrm>
                    <a:prstGeom prst="rect">
                      <a:avLst/>
                    </a:prstGeom>
                    <a:noFill/>
                    <a:ln>
                      <a:noFill/>
                    </a:ln>
                  </pic:spPr>
                </pic:pic>
              </a:graphicData>
            </a:graphic>
          </wp:inline>
        </w:drawing>
      </w:r>
    </w:p>
    <w:p w14:paraId="66DCF84C"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2E790A"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E65104" w14:textId="77777777" w:rsidR="00000000" w:rsidRDefault="00BA623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 xml:space="preserve">READING 27. INCOME TAXES </w:t>
      </w:r>
    </w:p>
    <w:p w14:paraId="41BF053B"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388F29" w14:textId="77777777" w:rsidR="00000000" w:rsidRDefault="00BA6235">
      <w:pPr>
        <w:numPr>
          <w:ilvl w:val="0"/>
          <w:numId w:val="3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the differences between accounting profit and taxable income and define key terms, including </w:t>
      </w:r>
      <w:r>
        <w:rPr>
          <w:rFonts w:ascii="Calibri" w:eastAsia="Times New Roman" w:hAnsi="Calibri" w:cs="Calibri"/>
          <w:b/>
          <w:bCs/>
          <w:color w:val="2E75B5"/>
          <w:sz w:val="22"/>
          <w:szCs w:val="22"/>
        </w:rPr>
        <w:t>deferred tax assets, deferred tax liabilities</w:t>
      </w:r>
      <w:r>
        <w:rPr>
          <w:rFonts w:ascii="Calibri" w:eastAsia="Times New Roman" w:hAnsi="Calibri" w:cs="Calibri"/>
          <w:color w:val="2E75B5"/>
          <w:sz w:val="22"/>
          <w:szCs w:val="22"/>
        </w:rPr>
        <w:t>, valuation allowance, taxes payable, and income tax expense</w:t>
      </w:r>
    </w:p>
    <w:p w14:paraId="0CD8F2DC" w14:textId="77777777" w:rsidR="00000000" w:rsidRDefault="00BA6235">
      <w:pPr>
        <w:numPr>
          <w:ilvl w:val="0"/>
          <w:numId w:val="3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253AE43" wp14:editId="0F512DAA">
            <wp:extent cx="5667375" cy="866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866775"/>
                    </a:xfrm>
                    <a:prstGeom prst="rect">
                      <a:avLst/>
                    </a:prstGeom>
                    <a:noFill/>
                    <a:ln>
                      <a:noFill/>
                    </a:ln>
                  </pic:spPr>
                </pic:pic>
              </a:graphicData>
            </a:graphic>
          </wp:inline>
        </w:drawing>
      </w:r>
    </w:p>
    <w:p w14:paraId="79E9A907" w14:textId="77777777" w:rsidR="00000000" w:rsidRDefault="00BA6235">
      <w:pPr>
        <w:numPr>
          <w:ilvl w:val="0"/>
          <w:numId w:val="3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how deferred tax liabilities and assets are created and the factors that determine how a company’s deferred tax liabilities and assets should be treated for purposes of financial analysis</w:t>
      </w:r>
    </w:p>
    <w:p w14:paraId="140659D9" w14:textId="77777777" w:rsidR="00000000" w:rsidRDefault="00BA6235">
      <w:pPr>
        <w:numPr>
          <w:ilvl w:val="0"/>
          <w:numId w:val="38"/>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Calculate the tax base of a company’s assets and liabilities</w:t>
      </w:r>
    </w:p>
    <w:p w14:paraId="52B18750" w14:textId="77777777" w:rsidR="00000000" w:rsidRDefault="00BA6235">
      <w:pPr>
        <w:numPr>
          <w:ilvl w:val="0"/>
          <w:numId w:val="39"/>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85186D5" wp14:editId="2AAE7C70">
            <wp:extent cx="5572125" cy="695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695325"/>
                    </a:xfrm>
                    <a:prstGeom prst="rect">
                      <a:avLst/>
                    </a:prstGeom>
                    <a:noFill/>
                    <a:ln>
                      <a:noFill/>
                    </a:ln>
                  </pic:spPr>
                </pic:pic>
              </a:graphicData>
            </a:graphic>
          </wp:inline>
        </w:drawing>
      </w:r>
    </w:p>
    <w:p w14:paraId="7FA0EBB7" w14:textId="77777777" w:rsidR="00000000" w:rsidRDefault="00BA6235">
      <w:pPr>
        <w:numPr>
          <w:ilvl w:val="0"/>
          <w:numId w:val="40"/>
        </w:numPr>
        <w:textAlignment w:val="center"/>
        <w:rPr>
          <w:rFonts w:ascii="Calibri" w:eastAsia="Times New Roman" w:hAnsi="Calibri" w:cs="Calibri"/>
          <w:color w:val="2E75B5"/>
          <w:sz w:val="22"/>
          <w:szCs w:val="22"/>
        </w:rPr>
      </w:pPr>
      <w:r>
        <w:rPr>
          <w:rFonts w:ascii="Calibri" w:eastAsia="Times New Roman" w:hAnsi="Calibri" w:cs="Calibri"/>
          <w:noProof/>
          <w:color w:val="2E75B5"/>
          <w:sz w:val="22"/>
          <w:szCs w:val="22"/>
        </w:rPr>
        <w:drawing>
          <wp:inline distT="0" distB="0" distL="0" distR="0" wp14:anchorId="02E88D1D" wp14:editId="2E7A3C65">
            <wp:extent cx="5572125" cy="523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523875"/>
                    </a:xfrm>
                    <a:prstGeom prst="rect">
                      <a:avLst/>
                    </a:prstGeom>
                    <a:noFill/>
                    <a:ln>
                      <a:noFill/>
                    </a:ln>
                  </pic:spPr>
                </pic:pic>
              </a:graphicData>
            </a:graphic>
          </wp:inline>
        </w:drawing>
      </w:r>
    </w:p>
    <w:p w14:paraId="5B7FBBA6" w14:textId="77777777" w:rsidR="00000000" w:rsidRDefault="00BA6235">
      <w:pPr>
        <w:numPr>
          <w:ilvl w:val="0"/>
          <w:numId w:val="4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Evaluate the effect of tax </w:t>
      </w:r>
      <w:r>
        <w:rPr>
          <w:rFonts w:ascii="Calibri" w:eastAsia="Times New Roman" w:hAnsi="Calibri" w:cs="Calibri"/>
          <w:color w:val="2E75B5"/>
          <w:sz w:val="22"/>
          <w:szCs w:val="22"/>
        </w:rPr>
        <w:t>rate changes on a company’s financial statements and ratios</w:t>
      </w:r>
    </w:p>
    <w:p w14:paraId="4E4EA5FF"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226BC4A3" wp14:editId="1B6378CF">
            <wp:extent cx="5153025" cy="2667000"/>
            <wp:effectExtent l="0" t="0" r="9525" b="0"/>
            <wp:docPr id="24" name="Picture 24" descr="A firm purchases equipment for $24,000 that has a three-year useful life. The firm depreciates the &#10;equipment using the straight-line method for financial reporting and double-declining balance for &#10;tax reporting. The tax rate is 40% in the first year, but in the second year, the expected tax rate &#10;decreases to 35%. Calculate the deferred tax liability in each year of the asset's life. &#10;Answer: &#10;The carrying value and tax base of the asset are shown in the following table: &#10;Straight-line depreciation &#10;Carrying value &#10;DDB depreciation &#10;Tax base &#10;Carrying value minus tax base &#10;Year 1 &#10;$8,000 &#10;516,000 &#10;S16,ooo &#10;ss,ooo &#10;$8,000 &#10;Year 2 &#10;$8,000 &#10;$8,000 &#10;$5,333 &#10;$2,667 &#10;$5,333 &#10;Year 3 &#10;,ooo &#10;$2,667 &#10;The deferred tax liability is equal to the expected tax rate times the difference between the carrying &#10;value and the tax base. In Year 1, the expected tax rate was 40% and the DTL was 40% x $8,000 = &#10;$3,200. In Year 2, the expected tax rate changed to 35% and the DTL was 35% x $5,333 $1,86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rm purchases equipment for $24,000 that has a three-year useful life. The firm depreciates the &#10;equipment using the straight-line method for financial reporting and double-declining balance for &#10;tax reporting. The tax rate is 40% in the first year, but in the second year, the expected tax rate &#10;decreases to 35%. Calculate the deferred tax liability in each year of the asset's life. &#10;Answer: &#10;The carrying value and tax base of the asset are shown in the following table: &#10;Straight-line depreciation &#10;Carrying value &#10;DDB depreciation &#10;Tax base &#10;Carrying value minus tax base &#10;Year 1 &#10;$8,000 &#10;516,000 &#10;S16,ooo &#10;ss,ooo &#10;$8,000 &#10;Year 2 &#10;$8,000 &#10;$8,000 &#10;$5,333 &#10;$2,667 &#10;$5,333 &#10;Year 3 &#10;,ooo &#10;$2,667 &#10;The deferred tax liability is equal to the expected tax rate times the difference between the carrying &#10;value and the tax base. In Year 1, the expected tax rate was 40% and the DTL was 40% x $8,000 = &#10;$3,200. In Year 2, the expected tax rate changed to 35% and the DTL was 35% x $5,333 $1,867.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2667000"/>
                    </a:xfrm>
                    <a:prstGeom prst="rect">
                      <a:avLst/>
                    </a:prstGeom>
                    <a:noFill/>
                    <a:ln>
                      <a:noFill/>
                    </a:ln>
                  </pic:spPr>
                </pic:pic>
              </a:graphicData>
            </a:graphic>
          </wp:inline>
        </w:drawing>
      </w:r>
    </w:p>
    <w:p w14:paraId="3A43078C" w14:textId="77777777" w:rsidR="00000000" w:rsidRDefault="00BA6235">
      <w:pPr>
        <w:numPr>
          <w:ilvl w:val="0"/>
          <w:numId w:val="41"/>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Distinguish between temporary and permanent differences in pre-tax accounting income and taxable income</w:t>
      </w:r>
    </w:p>
    <w:p w14:paraId="38854C84" w14:textId="77777777" w:rsidR="00000000" w:rsidRDefault="00BA6235">
      <w:pPr>
        <w:numPr>
          <w:ilvl w:val="0"/>
          <w:numId w:val="4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21E5DA3" wp14:editId="71FB1825">
            <wp:extent cx="566737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028700"/>
                    </a:xfrm>
                    <a:prstGeom prst="rect">
                      <a:avLst/>
                    </a:prstGeom>
                    <a:noFill/>
                    <a:ln>
                      <a:noFill/>
                    </a:ln>
                  </pic:spPr>
                </pic:pic>
              </a:graphicData>
            </a:graphic>
          </wp:inline>
        </w:drawing>
      </w:r>
    </w:p>
    <w:p w14:paraId="6CD548CE" w14:textId="77777777" w:rsidR="00000000" w:rsidRDefault="00BA6235">
      <w:pPr>
        <w:numPr>
          <w:ilvl w:val="0"/>
          <w:numId w:val="43"/>
        </w:numPr>
        <w:textAlignment w:val="center"/>
        <w:rPr>
          <w:rFonts w:ascii="Cambria Math" w:eastAsia="Times New Roman" w:hAnsi="Cambria Math" w:cs="Calibri"/>
          <w:i/>
          <w:iCs/>
          <w:sz w:val="22"/>
          <w:szCs w:val="22"/>
        </w:rPr>
      </w:pPr>
      <w:r>
        <w:rPr>
          <w:rFonts w:ascii="Cambria Math" w:eastAsia="Times New Roman" w:hAnsi="Cambria Math" w:cs="Calibri"/>
          <w:i/>
          <w:iCs/>
          <w:noProof/>
          <w:sz w:val="22"/>
          <w:szCs w:val="22"/>
        </w:rPr>
        <w:drawing>
          <wp:inline distT="0" distB="0" distL="0" distR="0" wp14:anchorId="48DA2CCA" wp14:editId="74F52A34">
            <wp:extent cx="5648325" cy="619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8325" cy="619125"/>
                    </a:xfrm>
                    <a:prstGeom prst="rect">
                      <a:avLst/>
                    </a:prstGeom>
                    <a:noFill/>
                    <a:ln>
                      <a:noFill/>
                    </a:ln>
                  </pic:spPr>
                </pic:pic>
              </a:graphicData>
            </a:graphic>
          </wp:inline>
        </w:drawing>
      </w:r>
    </w:p>
    <w:p w14:paraId="4D56F368" w14:textId="77777777" w:rsidR="00000000" w:rsidRDefault="00BA6235">
      <w:pPr>
        <w:numPr>
          <w:ilvl w:val="0"/>
          <w:numId w:val="4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w:t>
      </w:r>
      <w:r>
        <w:rPr>
          <w:rFonts w:ascii="Calibri" w:eastAsia="Times New Roman" w:hAnsi="Calibri" w:cs="Calibri"/>
          <w:color w:val="2E75B5"/>
          <w:sz w:val="22"/>
          <w:szCs w:val="22"/>
        </w:rPr>
        <w:t>the valuation allowance for deferred tax assets—when it is required and what effect it has on financial statements</w:t>
      </w:r>
    </w:p>
    <w:p w14:paraId="1BC4BE44" w14:textId="77777777" w:rsidR="00000000" w:rsidRDefault="00BA6235">
      <w:pPr>
        <w:numPr>
          <w:ilvl w:val="0"/>
          <w:numId w:val="4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C611183" wp14:editId="32E9BBE9">
            <wp:extent cx="5667375" cy="352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352425"/>
                    </a:xfrm>
                    <a:prstGeom prst="rect">
                      <a:avLst/>
                    </a:prstGeom>
                    <a:noFill/>
                    <a:ln>
                      <a:noFill/>
                    </a:ln>
                  </pic:spPr>
                </pic:pic>
              </a:graphicData>
            </a:graphic>
          </wp:inline>
        </w:drawing>
      </w:r>
    </w:p>
    <w:p w14:paraId="65C3F63E" w14:textId="77777777" w:rsidR="00000000" w:rsidRDefault="00BA6235">
      <w:pPr>
        <w:numPr>
          <w:ilvl w:val="0"/>
          <w:numId w:val="4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recognition and measurement of current and deferred tax items</w:t>
      </w:r>
    </w:p>
    <w:p w14:paraId="29CA8390" w14:textId="77777777" w:rsidR="00000000" w:rsidRDefault="00BA6235">
      <w:pPr>
        <w:numPr>
          <w:ilvl w:val="0"/>
          <w:numId w:val="46"/>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Analyze </w:t>
      </w:r>
      <w:r>
        <w:rPr>
          <w:rFonts w:ascii="Calibri" w:eastAsia="Times New Roman" w:hAnsi="Calibri" w:cs="Calibri"/>
          <w:b/>
          <w:bCs/>
          <w:color w:val="2E75B5"/>
          <w:sz w:val="22"/>
          <w:szCs w:val="22"/>
        </w:rPr>
        <w:t>disclosures</w:t>
      </w:r>
      <w:r>
        <w:rPr>
          <w:rFonts w:ascii="Calibri" w:eastAsia="Times New Roman" w:hAnsi="Calibri" w:cs="Calibri"/>
          <w:color w:val="2E75B5"/>
          <w:sz w:val="22"/>
          <w:szCs w:val="22"/>
        </w:rPr>
        <w:t xml:space="preserve"> relating to deferred tax </w:t>
      </w:r>
      <w:r>
        <w:rPr>
          <w:rFonts w:ascii="Calibri" w:eastAsia="Times New Roman" w:hAnsi="Calibri" w:cs="Calibri"/>
          <w:color w:val="2E75B5"/>
          <w:sz w:val="22"/>
          <w:szCs w:val="22"/>
        </w:rPr>
        <w:t>items and the effective tax rate reconciliation and explain how information included in these disclosures affects a company’s financial statements and financial ratios</w:t>
      </w:r>
    </w:p>
    <w:p w14:paraId="5925F963" w14:textId="77777777" w:rsidR="00000000" w:rsidRDefault="00BA6235">
      <w:pPr>
        <w:numPr>
          <w:ilvl w:val="0"/>
          <w:numId w:val="47"/>
        </w:numPr>
        <w:textAlignment w:val="center"/>
        <w:rPr>
          <w:rFonts w:ascii="Calibri" w:eastAsia="Times New Roman" w:hAnsi="Calibri" w:cs="Calibri"/>
          <w:sz w:val="22"/>
          <w:szCs w:val="22"/>
        </w:rPr>
      </w:pPr>
      <w:r>
        <w:rPr>
          <w:rFonts w:ascii="Calibri" w:eastAsia="Times New Roman" w:hAnsi="Calibri" w:cs="Calibri"/>
          <w:sz w:val="22"/>
          <w:szCs w:val="22"/>
        </w:rPr>
        <w:t xml:space="preserve">DTL results from using </w:t>
      </w:r>
      <w:r>
        <w:rPr>
          <w:rFonts w:ascii="Calibri" w:eastAsia="Times New Roman" w:hAnsi="Calibri" w:cs="Calibri"/>
          <w:sz w:val="22"/>
          <w:szCs w:val="22"/>
          <w:u w:val="single"/>
        </w:rPr>
        <w:t>accelerated depreciation</w:t>
      </w:r>
      <w:r>
        <w:rPr>
          <w:rFonts w:ascii="Calibri" w:eastAsia="Times New Roman" w:hAnsi="Calibri" w:cs="Calibri"/>
          <w:sz w:val="22"/>
          <w:szCs w:val="22"/>
        </w:rPr>
        <w:t xml:space="preserve"> for tax purposes and normal for financia</w:t>
      </w:r>
      <w:r>
        <w:rPr>
          <w:rFonts w:ascii="Calibri" w:eastAsia="Times New Roman" w:hAnsi="Calibri" w:cs="Calibri"/>
          <w:sz w:val="22"/>
          <w:szCs w:val="22"/>
        </w:rPr>
        <w:t>l</w:t>
      </w:r>
    </w:p>
    <w:p w14:paraId="20DD2F25" w14:textId="77777777" w:rsidR="00000000" w:rsidRDefault="00BA6235">
      <w:pPr>
        <w:numPr>
          <w:ilvl w:val="0"/>
          <w:numId w:val="47"/>
        </w:numPr>
        <w:textAlignment w:val="center"/>
        <w:rPr>
          <w:rFonts w:ascii="Calibri" w:eastAsia="Times New Roman" w:hAnsi="Calibri" w:cs="Calibri"/>
          <w:sz w:val="22"/>
          <w:szCs w:val="22"/>
        </w:rPr>
      </w:pPr>
      <w:r>
        <w:rPr>
          <w:rFonts w:ascii="Calibri" w:eastAsia="Times New Roman" w:hAnsi="Calibri" w:cs="Calibri"/>
          <w:sz w:val="22"/>
          <w:szCs w:val="22"/>
          <w:u w:val="single"/>
        </w:rPr>
        <w:t>Impairments</w:t>
      </w:r>
      <w:r>
        <w:rPr>
          <w:rFonts w:ascii="Calibri" w:eastAsia="Times New Roman" w:hAnsi="Calibri" w:cs="Calibri"/>
          <w:sz w:val="22"/>
          <w:szCs w:val="22"/>
        </w:rPr>
        <w:t xml:space="preserve"> resulting in DTA, cuz write-down is immediate but tax deduction will wait till sold. </w:t>
      </w:r>
    </w:p>
    <w:p w14:paraId="606672A9" w14:textId="77777777" w:rsidR="00000000" w:rsidRDefault="00BA6235">
      <w:pPr>
        <w:numPr>
          <w:ilvl w:val="0"/>
          <w:numId w:val="47"/>
        </w:numPr>
        <w:textAlignment w:val="center"/>
        <w:rPr>
          <w:rFonts w:ascii="Calibri" w:eastAsia="Times New Roman" w:hAnsi="Calibri" w:cs="Calibri"/>
          <w:sz w:val="22"/>
          <w:szCs w:val="22"/>
        </w:rPr>
      </w:pPr>
      <w:r>
        <w:rPr>
          <w:rFonts w:ascii="Calibri" w:eastAsia="Times New Roman" w:hAnsi="Calibri" w:cs="Calibri"/>
          <w:sz w:val="22"/>
          <w:szCs w:val="22"/>
          <w:u w:val="single"/>
        </w:rPr>
        <w:t>Restructuring</w:t>
      </w:r>
      <w:r>
        <w:rPr>
          <w:rFonts w:ascii="Calibri" w:eastAsia="Times New Roman" w:hAnsi="Calibri" w:cs="Calibri"/>
          <w:sz w:val="22"/>
          <w:szCs w:val="22"/>
        </w:rPr>
        <w:t xml:space="preserve"> generates DTA, cuz costs recognized for financial but not tax deductible until paid. Note significant cash outflows(net of tax savings) in the</w:t>
      </w:r>
      <w:r>
        <w:rPr>
          <w:rFonts w:ascii="Calibri" w:eastAsia="Times New Roman" w:hAnsi="Calibri" w:cs="Calibri"/>
          <w:sz w:val="22"/>
          <w:szCs w:val="22"/>
        </w:rPr>
        <w:t xml:space="preserve"> years after restructuring costs report. </w:t>
      </w:r>
    </w:p>
    <w:p w14:paraId="55499D87" w14:textId="77777777" w:rsidR="00000000" w:rsidRDefault="00BA6235">
      <w:pPr>
        <w:numPr>
          <w:ilvl w:val="0"/>
          <w:numId w:val="4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BDAB415" wp14:editId="203B6CB0">
            <wp:extent cx="5572125" cy="17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71450"/>
                    </a:xfrm>
                    <a:prstGeom prst="rect">
                      <a:avLst/>
                    </a:prstGeom>
                    <a:noFill/>
                    <a:ln>
                      <a:noFill/>
                    </a:ln>
                  </pic:spPr>
                </pic:pic>
              </a:graphicData>
            </a:graphic>
          </wp:inline>
        </w:drawing>
      </w:r>
    </w:p>
    <w:p w14:paraId="042D1F9C" w14:textId="77777777" w:rsidR="00000000" w:rsidRDefault="00BA6235">
      <w:pPr>
        <w:numPr>
          <w:ilvl w:val="0"/>
          <w:numId w:val="47"/>
        </w:numPr>
        <w:textAlignment w:val="center"/>
        <w:rPr>
          <w:rFonts w:ascii="Calibri" w:eastAsia="Times New Roman" w:hAnsi="Calibri" w:cs="Calibri"/>
          <w:sz w:val="22"/>
          <w:szCs w:val="22"/>
        </w:rPr>
      </w:pPr>
      <w:r>
        <w:rPr>
          <w:rFonts w:ascii="Calibri" w:eastAsia="Times New Roman" w:hAnsi="Calibri" w:cs="Calibri"/>
          <w:sz w:val="22"/>
          <w:szCs w:val="22"/>
        </w:rPr>
        <w:t>Post</w:t>
      </w:r>
      <w:r>
        <w:rPr>
          <w:rFonts w:ascii="Calibri" w:eastAsia="Times New Roman" w:hAnsi="Calibri" w:cs="Calibri"/>
          <w:sz w:val="22"/>
          <w:szCs w:val="22"/>
        </w:rPr>
        <w:t xml:space="preserve">-employment benefits, deferred compensation: DTA reversing to tax deductible until paid. </w:t>
      </w:r>
    </w:p>
    <w:p w14:paraId="522255CC" w14:textId="77777777" w:rsidR="00000000" w:rsidRDefault="00BA6235">
      <w:pPr>
        <w:numPr>
          <w:ilvl w:val="0"/>
          <w:numId w:val="48"/>
        </w:numPr>
        <w:textAlignment w:val="center"/>
        <w:rPr>
          <w:rFonts w:ascii="Calibri" w:eastAsia="Times New Roman" w:hAnsi="Calibri" w:cs="Calibri"/>
          <w:sz w:val="22"/>
          <w:szCs w:val="22"/>
        </w:rPr>
      </w:pPr>
      <w:r>
        <w:rPr>
          <w:rFonts w:ascii="Calibri" w:eastAsia="Times New Roman" w:hAnsi="Calibri" w:cs="Calibri"/>
          <w:sz w:val="21"/>
          <w:szCs w:val="21"/>
          <w:u w:val="single"/>
        </w:rPr>
        <w:t>Available-for-sale</w:t>
      </w:r>
      <w:r>
        <w:rPr>
          <w:rFonts w:ascii="Calibri" w:eastAsia="Times New Roman" w:hAnsi="Calibri" w:cs="Calibri"/>
          <w:sz w:val="21"/>
          <w:szCs w:val="21"/>
        </w:rPr>
        <w:t xml:space="preserve"> marketable securities of unrealized gain/loss reflect on shareholders' equity: DTL</w:t>
      </w:r>
    </w:p>
    <w:p w14:paraId="0A4260CF" w14:textId="77777777" w:rsidR="00000000" w:rsidRDefault="00BA6235">
      <w:pPr>
        <w:numPr>
          <w:ilvl w:val="0"/>
          <w:numId w:val="48"/>
        </w:numPr>
        <w:textAlignment w:val="center"/>
        <w:rPr>
          <w:rFonts w:ascii="Calibri" w:eastAsia="Times New Roman" w:hAnsi="Calibri" w:cs="Calibri"/>
          <w:sz w:val="22"/>
          <w:szCs w:val="22"/>
        </w:rPr>
      </w:pPr>
      <w:r>
        <w:rPr>
          <w:rFonts w:ascii="Calibri" w:eastAsia="Times New Roman" w:hAnsi="Calibri" w:cs="Calibri"/>
          <w:sz w:val="21"/>
          <w:szCs w:val="21"/>
        </w:rPr>
        <w:t xml:space="preserve">Unrecognized DTL for </w:t>
      </w:r>
      <w:r>
        <w:rPr>
          <w:rFonts w:ascii="Calibri" w:eastAsia="Times New Roman" w:hAnsi="Calibri" w:cs="Calibri"/>
          <w:sz w:val="21"/>
          <w:szCs w:val="21"/>
        </w:rPr>
        <w:t xml:space="preserve">undistributed earnings of subsidiaries and joint ventures </w:t>
      </w:r>
    </w:p>
    <w:p w14:paraId="2F8895AE" w14:textId="77777777" w:rsidR="00000000" w:rsidRDefault="00BA6235">
      <w:pPr>
        <w:numPr>
          <w:ilvl w:val="0"/>
          <w:numId w:val="48"/>
        </w:numPr>
        <w:textAlignment w:val="center"/>
        <w:rPr>
          <w:rFonts w:ascii="Calibri" w:eastAsia="Times New Roman" w:hAnsi="Calibri" w:cs="Calibri"/>
          <w:sz w:val="22"/>
          <w:szCs w:val="22"/>
        </w:rPr>
      </w:pPr>
      <w:r>
        <w:rPr>
          <w:rFonts w:ascii="Calibri" w:eastAsia="Times New Roman" w:hAnsi="Calibri" w:cs="Calibri"/>
          <w:sz w:val="21"/>
          <w:szCs w:val="21"/>
        </w:rPr>
        <w:t xml:space="preserve">Current-year tax effect of each type of temporary difference </w:t>
      </w:r>
    </w:p>
    <w:p w14:paraId="25E2FBB2" w14:textId="77777777" w:rsidR="00000000" w:rsidRDefault="00BA6235">
      <w:pPr>
        <w:numPr>
          <w:ilvl w:val="0"/>
          <w:numId w:val="48"/>
        </w:numPr>
        <w:textAlignment w:val="center"/>
        <w:rPr>
          <w:rFonts w:ascii="Calibri" w:eastAsia="Times New Roman" w:hAnsi="Calibri" w:cs="Calibri"/>
          <w:sz w:val="22"/>
          <w:szCs w:val="22"/>
        </w:rPr>
      </w:pPr>
      <w:r>
        <w:rPr>
          <w:rFonts w:ascii="Calibri" w:eastAsia="Times New Roman" w:hAnsi="Calibri" w:cs="Calibri"/>
          <w:sz w:val="21"/>
          <w:szCs w:val="21"/>
        </w:rPr>
        <w:t xml:space="preserve">Reconciliation of reported income tax expense and tax expense based on statutory rate </w:t>
      </w:r>
    </w:p>
    <w:p w14:paraId="0FDE9A15" w14:textId="77777777" w:rsidR="00000000" w:rsidRDefault="00BA6235">
      <w:pPr>
        <w:numPr>
          <w:ilvl w:val="0"/>
          <w:numId w:val="48"/>
        </w:numPr>
        <w:textAlignment w:val="center"/>
        <w:rPr>
          <w:rFonts w:ascii="Calibri" w:eastAsia="Times New Roman" w:hAnsi="Calibri" w:cs="Calibri"/>
          <w:sz w:val="22"/>
          <w:szCs w:val="22"/>
        </w:rPr>
      </w:pPr>
      <w:r>
        <w:rPr>
          <w:rFonts w:ascii="Calibri" w:eastAsia="Times New Roman" w:hAnsi="Calibri" w:cs="Calibri"/>
          <w:sz w:val="21"/>
          <w:szCs w:val="21"/>
        </w:rPr>
        <w:t xml:space="preserve">Tax loss carryforwards and credits </w:t>
      </w:r>
    </w:p>
    <w:p w14:paraId="69C9D6DE" w14:textId="77777777" w:rsidR="00000000" w:rsidRDefault="00BA6235">
      <w:pPr>
        <w:numPr>
          <w:ilvl w:val="0"/>
          <w:numId w:val="49"/>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Identify the</w:t>
      </w:r>
      <w:r>
        <w:rPr>
          <w:rFonts w:ascii="Calibri" w:eastAsia="Times New Roman" w:hAnsi="Calibri" w:cs="Calibri"/>
          <w:color w:val="2E75B5"/>
          <w:sz w:val="22"/>
          <w:szCs w:val="22"/>
        </w:rPr>
        <w:t xml:space="preserve"> key provisions of and differences between income tax accounting under International Financial Reporting Standards (IFRS) and US generally accepted accounting principles (GAAP)</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17"/>
        <w:gridCol w:w="3039"/>
        <w:gridCol w:w="3104"/>
      </w:tblGrid>
      <w:tr w:rsidR="00000000" w14:paraId="3854D16A" w14:textId="77777777">
        <w:trPr>
          <w:divId w:val="825516367"/>
        </w:trPr>
        <w:tc>
          <w:tcPr>
            <w:tcW w:w="2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44E82C" w14:textId="77777777" w:rsidR="00000000" w:rsidRDefault="00BA6235">
            <w:pPr>
              <w:pStyle w:val="NormalWeb"/>
              <w:spacing w:before="0" w:beforeAutospacing="0" w:after="0" w:afterAutospacing="0"/>
              <w:rPr>
                <w:rFonts w:ascii="Calibri" w:hAnsi="Calibri" w:cs="Calibri"/>
                <w:sz w:val="18"/>
                <w:szCs w:val="18"/>
              </w:rPr>
            </w:pPr>
            <w:r>
              <w:rPr>
                <w:rFonts w:ascii="Calibri" w:hAnsi="Calibri" w:cs="Calibri"/>
                <w:i/>
                <w:iCs/>
                <w:sz w:val="18"/>
                <w:szCs w:val="18"/>
              </w:rPr>
              <w:t>Tax Accounting Differences</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8BE4E9"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U.S. GAAP</w:t>
            </w:r>
          </w:p>
        </w:tc>
        <w:tc>
          <w:tcPr>
            <w:tcW w:w="2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D97B1D"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IFRS</w:t>
            </w:r>
          </w:p>
        </w:tc>
      </w:tr>
      <w:tr w:rsidR="00000000" w14:paraId="1C7ABC7B" w14:textId="77777777">
        <w:trPr>
          <w:divId w:val="825516367"/>
        </w:trPr>
        <w:tc>
          <w:tcPr>
            <w:tcW w:w="27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2AD18"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b/>
                <w:bCs/>
                <w:sz w:val="22"/>
                <w:szCs w:val="22"/>
              </w:rPr>
              <w:t>Revaluation</w:t>
            </w:r>
            <w:r>
              <w:rPr>
                <w:rFonts w:ascii="Calibri" w:hAnsi="Calibri" w:cs="Calibri"/>
                <w:sz w:val="22"/>
                <w:szCs w:val="22"/>
              </w:rPr>
              <w:t xml:space="preserve"> </w:t>
            </w:r>
            <w:r>
              <w:rPr>
                <w:rFonts w:ascii="Calibri" w:hAnsi="Calibri" w:cs="Calibri"/>
                <w:sz w:val="22"/>
                <w:szCs w:val="22"/>
              </w:rPr>
              <w:t>of fixed assets and intangible assets</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7468B"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Not applicable, no revaluation allowed.</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9E749"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Deferred taxes are recognized in </w:t>
            </w:r>
            <w:r>
              <w:rPr>
                <w:rFonts w:ascii="Calibri" w:hAnsi="Calibri" w:cs="Calibri"/>
                <w:b/>
                <w:bCs/>
                <w:sz w:val="22"/>
                <w:szCs w:val="22"/>
              </w:rPr>
              <w:t>equity</w:t>
            </w:r>
            <w:r>
              <w:rPr>
                <w:rFonts w:ascii="Calibri" w:hAnsi="Calibri" w:cs="Calibri"/>
                <w:sz w:val="22"/>
                <w:szCs w:val="22"/>
              </w:rPr>
              <w:t>. (</w:t>
            </w:r>
            <w:r>
              <w:rPr>
                <w:rFonts w:ascii="Calibri" w:hAnsi="Calibri" w:cs="Calibri"/>
                <w:sz w:val="22"/>
                <w:szCs w:val="22"/>
                <w:shd w:val="clear" w:color="auto" w:fill="FAC08F"/>
              </w:rPr>
              <w:t xml:space="preserve">Only the portion of the difference between the tax base and the carrying amount that is </w:t>
            </w:r>
            <w:r>
              <w:rPr>
                <w:rFonts w:ascii="Calibri" w:hAnsi="Calibri" w:cs="Calibri"/>
                <w:sz w:val="22"/>
                <w:szCs w:val="22"/>
                <w:u w:val="single"/>
                <w:shd w:val="clear" w:color="auto" w:fill="FAC08F"/>
              </w:rPr>
              <w:t>not the result of the revaluation</w:t>
            </w:r>
            <w:r>
              <w:rPr>
                <w:rFonts w:ascii="Calibri" w:hAnsi="Calibri" w:cs="Calibri"/>
                <w:sz w:val="22"/>
                <w:szCs w:val="22"/>
                <w:shd w:val="clear" w:color="auto" w:fill="FAC08F"/>
              </w:rPr>
              <w:t xml:space="preserve"> is recognized </w:t>
            </w:r>
            <w:r>
              <w:rPr>
                <w:rFonts w:ascii="Calibri" w:hAnsi="Calibri" w:cs="Calibri"/>
                <w:sz w:val="22"/>
                <w:szCs w:val="22"/>
                <w:shd w:val="clear" w:color="auto" w:fill="FAC08F"/>
              </w:rPr>
              <w:t>as giving rise to a deferred tax liability.</w:t>
            </w:r>
            <w:r>
              <w:rPr>
                <w:rFonts w:ascii="Calibri" w:hAnsi="Calibri" w:cs="Calibri"/>
                <w:sz w:val="22"/>
                <w:szCs w:val="22"/>
              </w:rPr>
              <w:t xml:space="preserve"> The portion arising from the revaluation surplus is used to reduce the revaluation surplus in equity.)</w:t>
            </w:r>
          </w:p>
        </w:tc>
      </w:tr>
      <w:tr w:rsidR="00000000" w14:paraId="21C6C997" w14:textId="77777777">
        <w:trPr>
          <w:divId w:val="825516367"/>
        </w:trPr>
        <w:tc>
          <w:tcPr>
            <w:tcW w:w="27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9D7B46"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Undistributed profit from an investment in subsidiary</w:t>
            </w:r>
          </w:p>
        </w:tc>
        <w:tc>
          <w:tcPr>
            <w:tcW w:w="30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EF5E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No deferred taxes for foreign subsidiaries that meet t</w:t>
            </w:r>
            <w:r>
              <w:rPr>
                <w:rFonts w:ascii="Calibri" w:hAnsi="Calibri" w:cs="Calibri"/>
                <w:sz w:val="22"/>
                <w:szCs w:val="22"/>
              </w:rPr>
              <w:t>he indefinite reversal criterion.</w:t>
            </w:r>
          </w:p>
          <w:p w14:paraId="2E7DB2E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63DE3"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No deferred taxes for domestic subsidiaries if the amounts are tax free.</w:t>
            </w:r>
          </w:p>
        </w:tc>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0F6B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Deferred taxes are recognized unless the parent is able to control the distribution of profit and it is probable the temporary difference will not </w:t>
            </w:r>
            <w:r>
              <w:rPr>
                <w:rFonts w:ascii="Calibri" w:hAnsi="Calibri" w:cs="Calibri"/>
                <w:sz w:val="22"/>
                <w:szCs w:val="22"/>
              </w:rPr>
              <w:t>reverse in the future.</w:t>
            </w:r>
          </w:p>
        </w:tc>
      </w:tr>
      <w:tr w:rsidR="00000000" w14:paraId="72293E0A" w14:textId="77777777">
        <w:trPr>
          <w:divId w:val="825516367"/>
        </w:trPr>
        <w:tc>
          <w:tcPr>
            <w:tcW w:w="2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07547"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Undistributed profit from an investment in a joint venture (JV)</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10134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No deferred taxes for foreign corporate JVs that meet the indefinite reversal criterion.</w:t>
            </w:r>
          </w:p>
        </w:tc>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1BAD5"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Deferred taxes are recognized unless the venturer is able to control the sharin</w:t>
            </w:r>
            <w:r>
              <w:rPr>
                <w:rFonts w:ascii="Calibri" w:hAnsi="Calibri" w:cs="Calibri"/>
                <w:sz w:val="22"/>
                <w:szCs w:val="22"/>
              </w:rPr>
              <w:t>g of profit and it is probable the temporary difference will not reverse in the future.</w:t>
            </w:r>
          </w:p>
        </w:tc>
      </w:tr>
      <w:tr w:rsidR="00000000" w14:paraId="629E335D" w14:textId="77777777">
        <w:trPr>
          <w:divId w:val="825516367"/>
        </w:trPr>
        <w:tc>
          <w:tcPr>
            <w:tcW w:w="2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DFC78" w14:textId="77777777" w:rsidR="00000000" w:rsidRDefault="00BA6235">
            <w:pPr>
              <w:pStyle w:val="NormalWeb"/>
              <w:spacing w:before="0" w:beforeAutospacing="0" w:after="0" w:afterAutospacing="0"/>
              <w:rPr>
                <w:sz w:val="22"/>
                <w:szCs w:val="22"/>
              </w:rPr>
            </w:pPr>
            <w:r>
              <w:rPr>
                <w:rFonts w:ascii="Calibri" w:hAnsi="Calibri" w:cs="Calibri"/>
                <w:b/>
                <w:bCs/>
                <w:sz w:val="22"/>
                <w:szCs w:val="22"/>
                <w:highlight w:val="yellow"/>
              </w:rPr>
              <w:t>Undistributed</w:t>
            </w:r>
            <w:r>
              <w:rPr>
                <w:rFonts w:ascii="Microsoft YaHei" w:eastAsia="Microsoft YaHei" w:hAnsi="Microsoft YaHei" w:hint="eastAsia"/>
                <w:b/>
                <w:bCs/>
                <w:sz w:val="22"/>
                <w:szCs w:val="22"/>
                <w:highlight w:val="yellow"/>
              </w:rPr>
              <w:t xml:space="preserve"> </w:t>
            </w:r>
            <w:r>
              <w:rPr>
                <w:rFonts w:ascii="Calibri" w:hAnsi="Calibri" w:cs="Calibri"/>
                <w:b/>
                <w:bCs/>
                <w:sz w:val="22"/>
                <w:szCs w:val="22"/>
                <w:highlight w:val="yellow"/>
              </w:rPr>
              <w:t>profit from an investment</w:t>
            </w:r>
            <w:r>
              <w:rPr>
                <w:rFonts w:ascii="Calibri" w:hAnsi="Calibri" w:cs="Calibri"/>
                <w:sz w:val="22"/>
                <w:szCs w:val="22"/>
                <w:highlight w:val="yellow"/>
              </w:rPr>
              <w:t xml:space="preserve"> in an </w:t>
            </w:r>
            <w:r>
              <w:rPr>
                <w:rFonts w:ascii="Calibri" w:hAnsi="Calibri" w:cs="Calibri"/>
                <w:b/>
                <w:bCs/>
                <w:sz w:val="22"/>
                <w:szCs w:val="22"/>
                <w:highlight w:val="yellow"/>
              </w:rPr>
              <w:t>associate</w:t>
            </w:r>
            <w:r>
              <w:rPr>
                <w:rFonts w:ascii="Calibri" w:hAnsi="Calibri" w:cs="Calibri"/>
                <w:sz w:val="22"/>
                <w:szCs w:val="22"/>
                <w:highlight w:val="yellow"/>
              </w:rPr>
              <w:t xml:space="preserve"> firm</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0B64BA"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Deferred taxes are recognized from temporary differences.</w:t>
            </w:r>
          </w:p>
        </w:tc>
        <w:tc>
          <w:tcPr>
            <w:tcW w:w="3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242B4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Deferred taxes are recognized unless the investor is able to control the sharing of profit and it is probable the temporary difference will not reverse in the future.</w:t>
            </w:r>
          </w:p>
        </w:tc>
      </w:tr>
      <w:tr w:rsidR="00000000" w14:paraId="2FEEAAF1" w14:textId="77777777">
        <w:trPr>
          <w:divId w:val="825516367"/>
        </w:trPr>
        <w:tc>
          <w:tcPr>
            <w:tcW w:w="2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5636E"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DTA recognition </w:t>
            </w:r>
          </w:p>
          <w:p w14:paraId="37645B56"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hint="eastAsia"/>
                <w:sz w:val="22"/>
                <w:szCs w:val="22"/>
              </w:rPr>
              <w:t>(Deferred tax asset</w:t>
            </w:r>
            <w:r>
              <w:rPr>
                <w:rFonts w:ascii="Calibri" w:hAnsi="Calibri" w:cs="Calibri"/>
                <w:sz w:val="22"/>
                <w:szCs w:val="22"/>
              </w:rPr>
              <w:t>)</w:t>
            </w:r>
          </w:p>
        </w:tc>
        <w:tc>
          <w:tcPr>
            <w:tcW w:w="30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0CD0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Recognized </w:t>
            </w:r>
            <w:r>
              <w:rPr>
                <w:rFonts w:ascii="Calibri" w:hAnsi="Calibri" w:cs="Calibri"/>
                <w:sz w:val="22"/>
                <w:szCs w:val="22"/>
              </w:rPr>
              <w:t>in full and then reduced if “more likely than not” &lt;50% that some or all of the tax asset won't be realized.</w:t>
            </w:r>
          </w:p>
        </w:tc>
        <w:tc>
          <w:tcPr>
            <w:tcW w:w="3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97719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Recognized if “probable” that sufficient taxable profit will be available to recover the tax asset.</w:t>
            </w:r>
          </w:p>
        </w:tc>
      </w:tr>
      <w:tr w:rsidR="00000000" w14:paraId="763EC860" w14:textId="77777777">
        <w:trPr>
          <w:divId w:val="825516367"/>
        </w:trPr>
        <w:tc>
          <w:tcPr>
            <w:tcW w:w="2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20B2A5"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Tax rate used to measure deferred taxes</w:t>
            </w:r>
          </w:p>
        </w:tc>
        <w:tc>
          <w:tcPr>
            <w:tcW w:w="30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724EA3"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Enacte</w:t>
            </w:r>
            <w:r>
              <w:rPr>
                <w:rFonts w:ascii="Calibri" w:hAnsi="Calibri" w:cs="Calibri"/>
                <w:sz w:val="22"/>
                <w:szCs w:val="22"/>
              </w:rPr>
              <w:t>d tax rate only.</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3FB63B"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Enacted or substantively enacted</w:t>
            </w:r>
            <w:r>
              <w:rPr>
                <w:rFonts w:ascii="Calibri" w:hAnsi="Calibri" w:cs="Calibri"/>
                <w:sz w:val="22"/>
                <w:szCs w:val="22"/>
              </w:rPr>
              <w:t xml:space="preserve"> tax rate. </w:t>
            </w:r>
          </w:p>
        </w:tc>
      </w:tr>
      <w:tr w:rsidR="00000000" w14:paraId="05801ED5" w14:textId="77777777">
        <w:trPr>
          <w:divId w:val="825516367"/>
        </w:trPr>
        <w:tc>
          <w:tcPr>
            <w:tcW w:w="2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A0DFF"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Presentation of deferred taxes on the balance sheet</w:t>
            </w:r>
          </w:p>
        </w:tc>
        <w:tc>
          <w:tcPr>
            <w:tcW w:w="3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7EB0B"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Classified as current or noncurrent based on the classification of the underlying asset or liability.</w:t>
            </w:r>
          </w:p>
        </w:tc>
        <w:tc>
          <w:tcPr>
            <w:tcW w:w="2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0E50E"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Classified as noncurrent.</w:t>
            </w:r>
          </w:p>
        </w:tc>
      </w:tr>
    </w:tbl>
    <w:p w14:paraId="1F2B9591"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59A64"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D0C970" w14:textId="77777777" w:rsidR="00000000" w:rsidRDefault="00BA623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READING 2</w:t>
      </w:r>
      <w:r>
        <w:rPr>
          <w:rFonts w:ascii="Calibri" w:eastAsia="Times New Roman" w:hAnsi="Calibri" w:cs="Calibri"/>
          <w:color w:val="1E4E79"/>
          <w:sz w:val="32"/>
          <w:szCs w:val="32"/>
        </w:rPr>
        <w:t xml:space="preserve">8.NON-CURRENT (LONG-TERM) LIABILITIES </w:t>
      </w:r>
    </w:p>
    <w:p w14:paraId="15CCC919"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B7DC6" w14:textId="77777777" w:rsidR="00000000" w:rsidRDefault="00BA6235">
      <w:pPr>
        <w:numPr>
          <w:ilvl w:val="0"/>
          <w:numId w:val="5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Determine the initial recognition, initial measurement and subsequent measurement of bonds</w:t>
      </w:r>
    </w:p>
    <w:p w14:paraId="27250FE4" w14:textId="77777777" w:rsidR="00000000" w:rsidRDefault="00BA6235">
      <w:pPr>
        <w:numPr>
          <w:ilvl w:val="0"/>
          <w:numId w:val="5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effective interest method and calculate interest expense, amortization of bond discounts/premiums, and interest</w:t>
      </w:r>
      <w:r>
        <w:rPr>
          <w:rFonts w:ascii="Calibri" w:eastAsia="Times New Roman" w:hAnsi="Calibri" w:cs="Calibri"/>
          <w:color w:val="2E75B5"/>
          <w:sz w:val="22"/>
          <w:szCs w:val="22"/>
        </w:rPr>
        <w:t xml:space="preserve"> payments</w:t>
      </w:r>
    </w:p>
    <w:p w14:paraId="53DF5426" w14:textId="77777777" w:rsidR="00000000" w:rsidRDefault="00BA6235">
      <w:pPr>
        <w:numPr>
          <w:ilvl w:val="0"/>
          <w:numId w:val="51"/>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2C5545C" wp14:editId="07421EA6">
            <wp:extent cx="5648325" cy="137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1371600"/>
                    </a:xfrm>
                    <a:prstGeom prst="rect">
                      <a:avLst/>
                    </a:prstGeom>
                    <a:noFill/>
                    <a:ln>
                      <a:noFill/>
                    </a:ln>
                  </pic:spPr>
                </pic:pic>
              </a:graphicData>
            </a:graphic>
          </wp:inline>
        </w:drawing>
      </w:r>
    </w:p>
    <w:p w14:paraId="39AC2A18"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0E9E75E3" wp14:editId="701D460D">
            <wp:extent cx="5334000" cy="1295400"/>
            <wp:effectExtent l="0" t="0" r="0" b="0"/>
            <wp:docPr id="30" name="Picture 30" descr="Interest expense each year is equal to market interest rate at issuance times the book value of the &#10;liability at the beginning of the year. Because the bond does not pay cash coupon interest, the entire &#10;amount of interest expense amortizes the discount. &#10;20X2 &#10;20X3 &#10;(l) Beginning &#10;Book Value &#10;$711.78 &#10;797.19 &#10;892.85 &#10;(2) Interest &#10;Expense &#10;(1) x 12% &#10;$85.41 &#10;95.66 &#10;107.15 &#10;(3) Ending &#10;BOOk value &#10;$797.19 &#10;892.85 &#10;1,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rest expense each year is equal to market interest rate at issuance times the book value of the &#10;liability at the beginning of the year. Because the bond does not pay cash coupon interest, the entire &#10;amount of interest expense amortizes the discount. &#10;20X2 &#10;20X3 &#10;(l) Beginning &#10;Book Value &#10;$711.78 &#10;797.19 &#10;892.85 &#10;(2) Interest &#10;Expense &#10;(1) x 12% &#10;$85.41 &#10;95.66 &#10;107.15 &#10;(3) Ending &#10;BOOk value &#10;$797.19 &#10;892.85 &#10;1,000.0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1295400"/>
                    </a:xfrm>
                    <a:prstGeom prst="rect">
                      <a:avLst/>
                    </a:prstGeom>
                    <a:noFill/>
                    <a:ln>
                      <a:noFill/>
                    </a:ln>
                  </pic:spPr>
                </pic:pic>
              </a:graphicData>
            </a:graphic>
          </wp:inline>
        </w:drawing>
      </w:r>
    </w:p>
    <w:p w14:paraId="1CD7B0F7" w14:textId="77777777" w:rsidR="00000000" w:rsidRDefault="00BA6235">
      <w:pPr>
        <w:numPr>
          <w:ilvl w:val="0"/>
          <w:numId w:val="52"/>
        </w:numPr>
        <w:textAlignment w:val="center"/>
        <w:rPr>
          <w:rFonts w:ascii="Calibri" w:eastAsia="Times New Roman" w:hAnsi="Calibri" w:cs="Calibri"/>
          <w:sz w:val="22"/>
          <w:szCs w:val="22"/>
        </w:rPr>
      </w:pPr>
      <w:r>
        <w:rPr>
          <w:rFonts w:ascii="Calibri" w:eastAsia="Times New Roman" w:hAnsi="Calibri" w:cs="Calibri"/>
          <w:sz w:val="22"/>
          <w:szCs w:val="22"/>
        </w:rPr>
        <w:t xml:space="preserve">Zero-coupon bond (aka pure-discount) makes no periodic interest payments. 3yr, YTM=12%, with a par value of $1,000; calculate interest expense and BV using effective interest method? </w:t>
      </w:r>
    </w:p>
    <w:p w14:paraId="19ACA9D5"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Interest </w:t>
      </w:r>
      <w:r>
        <w:rPr>
          <w:rFonts w:ascii="Calibri" w:hAnsi="Calibri" w:cs="Calibri"/>
          <w:sz w:val="22"/>
          <w:szCs w:val="22"/>
        </w:rPr>
        <w:t>expense reported in IS = market*BV of bond BS liability; but interest rate and book value of bond liability are calculated using bond's yield at issue time, not current yield. At any point in time, BV of bond liability=PV of remaining future cash flows (co</w:t>
      </w:r>
      <w:r>
        <w:rPr>
          <w:rFonts w:ascii="Calibri" w:hAnsi="Calibri" w:cs="Calibri"/>
          <w:sz w:val="22"/>
          <w:szCs w:val="22"/>
        </w:rPr>
        <w:t xml:space="preserve">upon pmt &amp; face value). </w:t>
      </w:r>
    </w:p>
    <w:p w14:paraId="0FFC0967" w14:textId="77777777" w:rsidR="00000000" w:rsidRDefault="00BA6235">
      <w:pPr>
        <w:numPr>
          <w:ilvl w:val="0"/>
          <w:numId w:val="53"/>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the </w:t>
      </w:r>
      <w:r>
        <w:rPr>
          <w:rFonts w:ascii="Calibri" w:eastAsia="Times New Roman" w:hAnsi="Calibri" w:cs="Calibri"/>
          <w:b/>
          <w:bCs/>
          <w:color w:val="2E75B5"/>
          <w:sz w:val="22"/>
          <w:szCs w:val="22"/>
        </w:rPr>
        <w:t>derecognition</w:t>
      </w:r>
      <w:r>
        <w:rPr>
          <w:rFonts w:ascii="Calibri" w:eastAsia="Times New Roman" w:hAnsi="Calibri" w:cs="Calibri"/>
          <w:color w:val="2E75B5"/>
          <w:sz w:val="22"/>
          <w:szCs w:val="22"/>
        </w:rPr>
        <w:t xml:space="preserve"> of debt</w:t>
      </w:r>
    </w:p>
    <w:p w14:paraId="530170A9" w14:textId="77777777" w:rsidR="00000000" w:rsidRDefault="00BA6235">
      <w:pPr>
        <w:numPr>
          <w:ilvl w:val="0"/>
          <w:numId w:val="54"/>
        </w:numPr>
        <w:textAlignment w:val="center"/>
        <w:rPr>
          <w:rFonts w:ascii="Calibri" w:eastAsia="Times New Roman" w:hAnsi="Calibri" w:cs="Calibri"/>
          <w:sz w:val="22"/>
          <w:szCs w:val="22"/>
        </w:rPr>
      </w:pPr>
      <w:r>
        <w:rPr>
          <w:rFonts w:ascii="Calibri" w:eastAsia="Times New Roman" w:hAnsi="Calibri" w:cs="Calibri"/>
          <w:b/>
          <w:bCs/>
          <w:sz w:val="22"/>
          <w:szCs w:val="22"/>
        </w:rPr>
        <w:t>Issuance costs</w:t>
      </w:r>
      <w:r>
        <w:rPr>
          <w:rFonts w:ascii="Calibri" w:eastAsia="Times New Roman" w:hAnsi="Calibri" w:cs="Calibri"/>
          <w:sz w:val="22"/>
          <w:szCs w:val="22"/>
        </w:rPr>
        <w:t xml:space="preserve">: initial bond liability reduced by legal accounting fees, printing costs, </w:t>
      </w:r>
      <w:r>
        <w:rPr>
          <w:rFonts w:ascii="Calibri" w:eastAsia="Times New Roman" w:hAnsi="Calibri" w:cs="Calibri"/>
          <w:sz w:val="22"/>
          <w:szCs w:val="22"/>
        </w:rPr>
        <w:t xml:space="preserve">commission; are treated as unamortized discount on BS, but net against bond proceeds cash inflows as CFF under IFRS, GAAP more flexible. </w:t>
      </w:r>
    </w:p>
    <w:p w14:paraId="794BDEBB" w14:textId="77777777" w:rsidR="00000000" w:rsidRDefault="00BA6235">
      <w:pPr>
        <w:numPr>
          <w:ilvl w:val="0"/>
          <w:numId w:val="54"/>
        </w:numPr>
        <w:textAlignment w:val="center"/>
        <w:rPr>
          <w:rFonts w:ascii="Calibri" w:eastAsia="Times New Roman" w:hAnsi="Calibri" w:cs="Calibri"/>
          <w:sz w:val="22"/>
          <w:szCs w:val="22"/>
        </w:rPr>
      </w:pPr>
      <w:r>
        <w:rPr>
          <w:rFonts w:ascii="Calibri" w:eastAsia="Times New Roman" w:hAnsi="Calibri" w:cs="Calibri"/>
          <w:b/>
          <w:bCs/>
          <w:sz w:val="22"/>
          <w:szCs w:val="22"/>
        </w:rPr>
        <w:t>Redeem</w:t>
      </w:r>
      <w:r>
        <w:rPr>
          <w:rFonts w:ascii="Calibri" w:eastAsia="Times New Roman" w:hAnsi="Calibri" w:cs="Calibri"/>
          <w:sz w:val="22"/>
          <w:szCs w:val="22"/>
        </w:rPr>
        <w:t xml:space="preserve"> before maturity cuz low interest rate: a gain/loss recognized in continuing operations IS = BV of bond liabilit</w:t>
      </w:r>
      <w:r>
        <w:rPr>
          <w:rFonts w:ascii="Calibri" w:eastAsia="Times New Roman" w:hAnsi="Calibri" w:cs="Calibri"/>
          <w:sz w:val="22"/>
          <w:szCs w:val="22"/>
        </w:rPr>
        <w:t xml:space="preserve">y - redemption price at reacquisition date; CFF. </w:t>
      </w:r>
    </w:p>
    <w:p w14:paraId="6EAC95E1" w14:textId="77777777" w:rsidR="00000000" w:rsidRDefault="00BA6235">
      <w:pPr>
        <w:numPr>
          <w:ilvl w:val="0"/>
          <w:numId w:val="55"/>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Describe the role of </w:t>
      </w:r>
      <w:r>
        <w:rPr>
          <w:rFonts w:ascii="Calibri" w:eastAsia="Times New Roman" w:hAnsi="Calibri" w:cs="Calibri"/>
          <w:b/>
          <w:bCs/>
          <w:color w:val="2E75B5"/>
          <w:sz w:val="22"/>
          <w:szCs w:val="22"/>
        </w:rPr>
        <w:t>debt covenants</w:t>
      </w:r>
      <w:r>
        <w:rPr>
          <w:rFonts w:ascii="Calibri" w:eastAsia="Times New Roman" w:hAnsi="Calibri" w:cs="Calibri"/>
          <w:color w:val="2E75B5"/>
          <w:sz w:val="22"/>
          <w:szCs w:val="22"/>
        </w:rPr>
        <w:t xml:space="preserve"> in protecting creditors</w:t>
      </w:r>
    </w:p>
    <w:p w14:paraId="6DFED2F2" w14:textId="77777777" w:rsidR="00000000" w:rsidRDefault="00BA6235">
      <w:pPr>
        <w:numPr>
          <w:ilvl w:val="0"/>
          <w:numId w:val="5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E155098" wp14:editId="02C1920B">
            <wp:extent cx="5667375" cy="695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695325"/>
                    </a:xfrm>
                    <a:prstGeom prst="rect">
                      <a:avLst/>
                    </a:prstGeom>
                    <a:noFill/>
                    <a:ln>
                      <a:noFill/>
                    </a:ln>
                  </pic:spPr>
                </pic:pic>
              </a:graphicData>
            </a:graphic>
          </wp:inline>
        </w:drawing>
      </w:r>
    </w:p>
    <w:p w14:paraId="63EF71A4" w14:textId="77777777" w:rsidR="00000000" w:rsidRDefault="00BA6235">
      <w:pPr>
        <w:numPr>
          <w:ilvl w:val="0"/>
          <w:numId w:val="5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Describe the financial statement presentation of and disclosures relating to debt</w:t>
      </w:r>
    </w:p>
    <w:p w14:paraId="73E797C9" w14:textId="77777777" w:rsidR="00000000" w:rsidRDefault="00BA6235">
      <w:pPr>
        <w:numPr>
          <w:ilvl w:val="0"/>
          <w:numId w:val="57"/>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motivations for leasing assets instead of purchasing them</w:t>
      </w:r>
    </w:p>
    <w:p w14:paraId="16B6F9DA" w14:textId="77777777" w:rsidR="00000000" w:rsidRDefault="00BA6235">
      <w:pPr>
        <w:numPr>
          <w:ilvl w:val="0"/>
          <w:numId w:val="5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70C53A9" wp14:editId="0EF265EC">
            <wp:extent cx="5572125" cy="352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52425"/>
                    </a:xfrm>
                    <a:prstGeom prst="rect">
                      <a:avLst/>
                    </a:prstGeom>
                    <a:noFill/>
                    <a:ln>
                      <a:noFill/>
                    </a:ln>
                  </pic:spPr>
                </pic:pic>
              </a:graphicData>
            </a:graphic>
          </wp:inline>
        </w:drawing>
      </w:r>
    </w:p>
    <w:p w14:paraId="049BCF2E" w14:textId="77777777" w:rsidR="00000000" w:rsidRDefault="00BA6235">
      <w:pPr>
        <w:numPr>
          <w:ilvl w:val="0"/>
          <w:numId w:val="58"/>
        </w:numPr>
        <w:textAlignment w:val="center"/>
        <w:rPr>
          <w:rFonts w:ascii="Calibri" w:eastAsia="Times New Roman" w:hAnsi="Calibri" w:cs="Calibri"/>
          <w:sz w:val="22"/>
          <w:szCs w:val="22"/>
        </w:rPr>
      </w:pPr>
      <w:r>
        <w:rPr>
          <w:rFonts w:ascii="Calibri" w:eastAsia="Times New Roman" w:hAnsi="Calibri" w:cs="Calibri"/>
          <w:b/>
          <w:bCs/>
          <w:sz w:val="22"/>
          <w:szCs w:val="22"/>
        </w:rPr>
        <w:t>Operating lease</w:t>
      </w:r>
      <w:r>
        <w:rPr>
          <w:rFonts w:ascii="Calibri" w:eastAsia="Times New Roman" w:hAnsi="Calibri" w:cs="Calibri"/>
          <w:sz w:val="22"/>
          <w:szCs w:val="22"/>
        </w:rPr>
        <w:t>: rental arrangement, A/L not r</w:t>
      </w:r>
      <w:r>
        <w:rPr>
          <w:rFonts w:ascii="Calibri" w:eastAsia="Times New Roman" w:hAnsi="Calibri" w:cs="Calibri"/>
          <w:sz w:val="22"/>
          <w:szCs w:val="22"/>
        </w:rPr>
        <w:t xml:space="preserve">eported by lessee, periodic lease=rental expense. </w:t>
      </w:r>
    </w:p>
    <w:p w14:paraId="6867C6EA" w14:textId="77777777" w:rsidR="00000000" w:rsidRDefault="00BA6235">
      <w:pPr>
        <w:numPr>
          <w:ilvl w:val="0"/>
          <w:numId w:val="59"/>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Explain the financial reporting of leases from a </w:t>
      </w:r>
      <w:r>
        <w:rPr>
          <w:rFonts w:ascii="Calibri" w:eastAsia="Times New Roman" w:hAnsi="Calibri" w:cs="Calibri"/>
          <w:b/>
          <w:bCs/>
          <w:color w:val="2E75B5"/>
          <w:sz w:val="22"/>
          <w:szCs w:val="22"/>
        </w:rPr>
        <w:t>lessee’s</w:t>
      </w:r>
      <w:r>
        <w:rPr>
          <w:rFonts w:ascii="Calibri" w:eastAsia="Times New Roman" w:hAnsi="Calibri" w:cs="Calibri"/>
          <w:color w:val="2E75B5"/>
          <w:sz w:val="22"/>
          <w:szCs w:val="22"/>
        </w:rPr>
        <w:t xml:space="preserve"> perspective: </w:t>
      </w:r>
      <w:r>
        <w:rPr>
          <w:rFonts w:ascii="Calibri" w:eastAsia="Times New Roman" w:hAnsi="Calibri" w:cs="Calibri"/>
          <w:b/>
          <w:bCs/>
          <w:color w:val="000000"/>
          <w:sz w:val="22"/>
          <w:szCs w:val="22"/>
        </w:rPr>
        <w:t xml:space="preserve">IFRS same from 2019 </w:t>
      </w:r>
    </w:p>
    <w:p w14:paraId="7046E97A"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043CCBF4" wp14:editId="2B69127A">
            <wp:extent cx="3019425" cy="2428875"/>
            <wp:effectExtent l="0" t="0" r="9525" b="9525"/>
            <wp:docPr id="33" name="Picture 33" descr="Assets &#10;Liabilities (current and long-term) &#10;Net income (in the early years) &#10;Net income (later years) &#10;Total net income &#10;EBIT (operating income) &#10;Cash flow from operations &#10;Cash flow from financing &#10;Total cash flow &#10;Finance Lease &#10;Higher &#10;Higher &#10;Lower &#10;Higher &#10;Same &#10;Higher &#10;Higher &#10;Lower &#10;Operating Lease &#10;Lower &#10;Lower &#10;Higher &#10;Lower &#10;Same &#10;Lower &#10;Lower &#10;Higher &#10;S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ets &#10;Liabilities (current and long-term) &#10;Net income (in the early years) &#10;Net income (later years) &#10;Total net income &#10;EBIT (operating income) &#10;Cash flow from operations &#10;Cash flow from financing &#10;Total cash flow &#10;Finance Lease &#10;Higher &#10;Higher &#10;Lower &#10;Higher &#10;Same &#10;Higher &#10;Higher &#10;Lower &#10;Operating Lease &#10;Lower &#10;Lower &#10;Higher &#10;Lower &#10;Same &#10;Lower &#10;Lower &#10;Higher &#10;Sam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2428875"/>
                    </a:xfrm>
                    <a:prstGeom prst="rect">
                      <a:avLst/>
                    </a:prstGeom>
                    <a:noFill/>
                    <a:ln>
                      <a:noFill/>
                    </a:ln>
                  </pic:spPr>
                </pic:pic>
              </a:graphicData>
            </a:graphic>
          </wp:inline>
        </w:drawing>
      </w:r>
    </w:p>
    <w:p w14:paraId="6B77F1CB"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8F6AD0E" wp14:editId="2A59F104">
            <wp:extent cx="2800350" cy="1819275"/>
            <wp:effectExtent l="0" t="0" r="0" b="9525"/>
            <wp:docPr id="34" name="Picture 34" descr="Current ratio (CA / CL) &#10;Working capital (CA — CL) &#10;Asset turnover (revenue I TA) &#10;Return on assets* (NI / TA) &#10;Return on equity* (NI / SE) &#10;Debt / assets &#10;Debt / &#10;Lower &#10;Lower &#10;Lower &#10;Lower &#10;Lower &#10;Higher &#10;Higher &#10;Higher &#10;Higher &#10;Higher &#10;Higher &#10;Higher &#10;L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rrent ratio (CA / CL) &#10;Working capital (CA — CL) &#10;Asset turnover (revenue I TA) &#10;Return on assets* (NI / TA) &#10;Return on equity* (NI / SE) &#10;Debt / assets &#10;Debt / &#10;Lower &#10;Lower &#10;Lower &#10;Lower &#10;Lower &#10;Higher &#10;Higher &#10;Higher &#10;Higher &#10;Higher &#10;Higher &#10;Higher &#10;Lowe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1819275"/>
                    </a:xfrm>
                    <a:prstGeom prst="rect">
                      <a:avLst/>
                    </a:prstGeom>
                    <a:noFill/>
                    <a:ln>
                      <a:noFill/>
                    </a:ln>
                  </pic:spPr>
                </pic:pic>
              </a:graphicData>
            </a:graphic>
          </wp:inline>
        </w:drawing>
      </w:r>
    </w:p>
    <w:p w14:paraId="7383D7FA" w14:textId="77777777" w:rsidR="00000000" w:rsidRDefault="00BA6235">
      <w:pPr>
        <w:numPr>
          <w:ilvl w:val="0"/>
          <w:numId w:val="60"/>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Explain the financial reporting of leases from a lessor’s perspective - chapter+p224</w:t>
      </w:r>
    </w:p>
    <w:p w14:paraId="24018CEE" w14:textId="77777777" w:rsidR="00000000" w:rsidRDefault="00BA6235">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Under I</w:t>
      </w:r>
      <w:r>
        <w:rPr>
          <w:rFonts w:ascii="Calibri" w:eastAsia="Times New Roman" w:hAnsi="Calibri" w:cs="Calibri"/>
          <w:sz w:val="22"/>
          <w:szCs w:val="22"/>
        </w:rPr>
        <w:t xml:space="preserve">FRS, </w:t>
      </w:r>
      <w:r>
        <w:rPr>
          <w:rFonts w:ascii="Calibri" w:eastAsia="Times New Roman" w:hAnsi="Calibri" w:cs="Calibri"/>
          <w:b/>
          <w:bCs/>
          <w:sz w:val="22"/>
          <w:szCs w:val="22"/>
        </w:rPr>
        <w:t>finance lease</w:t>
      </w:r>
      <w:r>
        <w:rPr>
          <w:rFonts w:ascii="Calibri" w:eastAsia="Times New Roman" w:hAnsi="Calibri" w:cs="Calibri"/>
          <w:sz w:val="22"/>
          <w:szCs w:val="22"/>
        </w:rPr>
        <w:t xml:space="preserve">: “transfers substantially all the risks and rewards incidental to ownership of an underlying asset”, lessor derecognizes the underlying leased asset, </w:t>
      </w:r>
      <w:r>
        <w:rPr>
          <w:rFonts w:ascii="Calibri" w:eastAsia="Times New Roman" w:hAnsi="Calibri" w:cs="Calibri"/>
          <w:sz w:val="22"/>
          <w:szCs w:val="22"/>
        </w:rPr>
        <w:t xml:space="preserve">and recognizes a lease receivable, and recognizes selling profit where applicable. </w:t>
      </w:r>
      <w:r>
        <w:rPr>
          <w:rFonts w:ascii="Calibri" w:eastAsia="Times New Roman" w:hAnsi="Calibri" w:cs="Calibri"/>
          <w:b/>
          <w:bCs/>
          <w:sz w:val="22"/>
          <w:szCs w:val="22"/>
        </w:rPr>
        <w:t>Operating leases</w:t>
      </w:r>
      <w:r>
        <w:rPr>
          <w:rFonts w:ascii="Calibri" w:eastAsia="Times New Roman" w:hAnsi="Calibri" w:cs="Calibri"/>
          <w:sz w:val="22"/>
          <w:szCs w:val="22"/>
        </w:rPr>
        <w:t xml:space="preserve">: lessor derecognizes underlying asset and recognizes lease receipts as income&amp;BS lease invest/R. </w:t>
      </w:r>
    </w:p>
    <w:p w14:paraId="6A884AB8" w14:textId="77777777" w:rsidR="00000000" w:rsidRDefault="00BA6235">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 xml:space="preserve">Under US GAAP, a lessor classifies a finance lease in one </w:t>
      </w:r>
      <w:r>
        <w:rPr>
          <w:rFonts w:ascii="Calibri" w:eastAsia="Times New Roman" w:hAnsi="Calibri" w:cs="Calibri"/>
          <w:sz w:val="22"/>
          <w:szCs w:val="22"/>
        </w:rPr>
        <w:t xml:space="preserve">of three categories: </w:t>
      </w:r>
      <w:r>
        <w:rPr>
          <w:rFonts w:ascii="Calibri" w:eastAsia="Times New Roman" w:hAnsi="Calibri" w:cs="Calibri"/>
          <w:b/>
          <w:bCs/>
          <w:sz w:val="22"/>
          <w:szCs w:val="22"/>
        </w:rPr>
        <w:t>sales-type</w:t>
      </w:r>
      <w:r>
        <w:rPr>
          <w:rFonts w:ascii="Calibri" w:eastAsia="Times New Roman" w:hAnsi="Calibri" w:cs="Calibri"/>
          <w:sz w:val="22"/>
          <w:szCs w:val="22"/>
        </w:rPr>
        <w:t>(PV of lease payment&gt;carrying value),</w:t>
      </w:r>
      <w:r>
        <w:rPr>
          <w:rFonts w:ascii="Calibri" w:eastAsia="Times New Roman" w:hAnsi="Calibri" w:cs="Calibri"/>
          <w:b/>
          <w:bCs/>
          <w:sz w:val="22"/>
          <w:szCs w:val="22"/>
        </w:rPr>
        <w:t xml:space="preserve"> direct financing</w:t>
      </w:r>
      <w:r>
        <w:rPr>
          <w:rFonts w:ascii="Calibri" w:eastAsia="Times New Roman" w:hAnsi="Calibri" w:cs="Calibri"/>
          <w:sz w:val="22"/>
          <w:szCs w:val="22"/>
        </w:rPr>
        <w:t>(PV pmt=carrying), or</w:t>
      </w:r>
      <w:r>
        <w:rPr>
          <w:rFonts w:ascii="Calibri" w:eastAsia="Times New Roman" w:hAnsi="Calibri" w:cs="Calibri"/>
          <w:b/>
          <w:bCs/>
          <w:sz w:val="22"/>
          <w:szCs w:val="22"/>
        </w:rPr>
        <w:t xml:space="preserve"> operating</w:t>
      </w:r>
      <w:r>
        <w:rPr>
          <w:rFonts w:ascii="Calibri" w:eastAsia="Times New Roman" w:hAnsi="Calibri" w:cs="Calibri"/>
          <w:sz w:val="22"/>
          <w:szCs w:val="22"/>
        </w:rPr>
        <w:t>; IFRS x diff. The lessor’s classification and accounting for operating leases under US GAAP is similar to that under IFRS. For both sales-t</w:t>
      </w:r>
      <w:r>
        <w:rPr>
          <w:rFonts w:ascii="Calibri" w:eastAsia="Times New Roman" w:hAnsi="Calibri" w:cs="Calibri"/>
          <w:sz w:val="22"/>
          <w:szCs w:val="22"/>
        </w:rPr>
        <w:t xml:space="preserve">ype and direct financing leases, the lessor derecognizes the underlying asset and recognizes a lease receivable; however, the lessor recognizes selling profit only if the lease is considered a sales-type lease. For </w:t>
      </w:r>
      <w:r>
        <w:rPr>
          <w:rFonts w:ascii="Calibri" w:eastAsia="Times New Roman" w:hAnsi="Calibri" w:cs="Calibri"/>
          <w:b/>
          <w:bCs/>
          <w:sz w:val="22"/>
          <w:szCs w:val="22"/>
        </w:rPr>
        <w:t>lessee</w:t>
      </w:r>
      <w:r>
        <w:rPr>
          <w:rFonts w:ascii="Calibri" w:eastAsia="Times New Roman" w:hAnsi="Calibri" w:cs="Calibri"/>
          <w:sz w:val="22"/>
          <w:szCs w:val="22"/>
        </w:rPr>
        <w:t xml:space="preserve"> accounting, the distinction betwee</w:t>
      </w:r>
      <w:r>
        <w:rPr>
          <w:rFonts w:ascii="Calibri" w:eastAsia="Times New Roman" w:hAnsi="Calibri" w:cs="Calibri"/>
          <w:sz w:val="22"/>
          <w:szCs w:val="22"/>
        </w:rPr>
        <w:t xml:space="preserve">n finance leases and operating leases exists in US GAAP but not in IFRS. </w:t>
      </w:r>
    </w:p>
    <w:p w14:paraId="09A760E5" w14:textId="77777777" w:rsidR="00000000" w:rsidRDefault="00BA6235">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DBE5F1"/>
        </w:rPr>
        <w:t>Operating lease is an off-balance-sheet, cuz appear neither in A nor L. Adjustment for operating leases is to treat them as capital leases by estimating present value of  future leas</w:t>
      </w:r>
      <w:r>
        <w:rPr>
          <w:rFonts w:ascii="Calibri" w:eastAsia="Times New Roman" w:hAnsi="Calibri" w:cs="Calibri"/>
          <w:sz w:val="22"/>
          <w:szCs w:val="22"/>
          <w:shd w:val="clear" w:color="auto" w:fill="DBE5F1"/>
        </w:rPr>
        <w:t xml:space="preserve">e obligations and adding that value to the firm’s liabilities and long-lived assets. In finance lease, </w:t>
      </w:r>
      <w:r>
        <w:rPr>
          <w:rFonts w:ascii="Calibri" w:eastAsia="Times New Roman" w:hAnsi="Calibri" w:cs="Calibri"/>
          <w:sz w:val="22"/>
          <w:szCs w:val="22"/>
          <w:shd w:val="clear" w:color="auto" w:fill="FAC08F"/>
        </w:rPr>
        <w:t>inception of lease is lower of PV of future min lease pmt or fair value of leased asset</w:t>
      </w:r>
      <w:r>
        <w:rPr>
          <w:rFonts w:ascii="Calibri" w:eastAsia="Times New Roman" w:hAnsi="Calibri" w:cs="Calibri"/>
          <w:sz w:val="22"/>
          <w:szCs w:val="22"/>
          <w:shd w:val="clear" w:color="auto" w:fill="DBE5F1"/>
        </w:rPr>
        <w:t>; interest rate used by lessee is lower of incremental borrowing r</w:t>
      </w:r>
      <w:r>
        <w:rPr>
          <w:rFonts w:ascii="Calibri" w:eastAsia="Times New Roman" w:hAnsi="Calibri" w:cs="Calibri"/>
          <w:sz w:val="22"/>
          <w:szCs w:val="22"/>
          <w:shd w:val="clear" w:color="auto" w:fill="DBE5F1"/>
        </w:rPr>
        <w:t>ate or lessor's implicit rate; interest CFO, principal CFF</w:t>
      </w:r>
    </w:p>
    <w:p w14:paraId="753CE1D1" w14:textId="77777777" w:rsidR="00000000" w:rsidRDefault="00BA6235">
      <w:pPr>
        <w:numPr>
          <w:ilvl w:val="0"/>
          <w:numId w:val="62"/>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Compare presentation and disclosure of defined contribution and defined benefit pension plans</w:t>
      </w:r>
    </w:p>
    <w:p w14:paraId="3BB00AB5" w14:textId="77777777" w:rsidR="00000000" w:rsidRDefault="00BA6235">
      <w:pPr>
        <w:numPr>
          <w:ilvl w:val="0"/>
          <w:numId w:val="63"/>
        </w:numPr>
        <w:textAlignment w:val="center"/>
        <w:rPr>
          <w:rFonts w:ascii="Calibri" w:eastAsia="Times New Roman" w:hAnsi="Calibri" w:cs="Calibri"/>
          <w:sz w:val="22"/>
          <w:szCs w:val="22"/>
        </w:rPr>
      </w:pPr>
      <w:r>
        <w:rPr>
          <w:rFonts w:ascii="Calibri" w:eastAsia="Times New Roman" w:hAnsi="Calibri" w:cs="Calibri"/>
          <w:sz w:val="22"/>
          <w:szCs w:val="22"/>
        </w:rPr>
        <w:t>Under both IFRS and US GAAP, companies must report the difference between the defined benefit pension o</w:t>
      </w:r>
      <w:r>
        <w:rPr>
          <w:rFonts w:ascii="Calibri" w:eastAsia="Times New Roman" w:hAnsi="Calibri" w:cs="Calibri"/>
          <w:sz w:val="22"/>
          <w:szCs w:val="22"/>
        </w:rPr>
        <w:t xml:space="preserve">bligation and the pension assets as an asset or liability on the balance sheet. An </w:t>
      </w:r>
      <w:r>
        <w:rPr>
          <w:rFonts w:ascii="Calibri" w:eastAsia="Times New Roman" w:hAnsi="Calibri" w:cs="Calibri"/>
          <w:b/>
          <w:bCs/>
          <w:sz w:val="22"/>
          <w:szCs w:val="22"/>
        </w:rPr>
        <w:t>underfunded</w:t>
      </w:r>
      <w:r>
        <w:rPr>
          <w:rFonts w:ascii="Calibri" w:eastAsia="Times New Roman" w:hAnsi="Calibri" w:cs="Calibri"/>
          <w:sz w:val="22"/>
          <w:szCs w:val="22"/>
        </w:rPr>
        <w:t xml:space="preserve"> (fair value of plan's asset &gt; estimated pension obligation) defined benefit pension plan is shown as a non-current net pension liability. </w:t>
      </w:r>
      <w:r>
        <w:rPr>
          <w:rFonts w:ascii="Calibri" w:eastAsia="Times New Roman" w:hAnsi="Calibri" w:cs="Calibri"/>
          <w:b/>
          <w:bCs/>
          <w:sz w:val="22"/>
          <w:szCs w:val="22"/>
        </w:rPr>
        <w:t>Defined contribution pl</w:t>
      </w:r>
      <w:r>
        <w:rPr>
          <w:rFonts w:ascii="Calibri" w:eastAsia="Times New Roman" w:hAnsi="Calibri" w:cs="Calibri"/>
          <w:b/>
          <w:bCs/>
          <w:sz w:val="22"/>
          <w:szCs w:val="22"/>
        </w:rPr>
        <w:t>an</w:t>
      </w:r>
      <w:r>
        <w:rPr>
          <w:rFonts w:ascii="Calibri" w:eastAsia="Times New Roman" w:hAnsi="Calibri" w:cs="Calibri"/>
          <w:sz w:val="22"/>
          <w:szCs w:val="22"/>
        </w:rPr>
        <w:t xml:space="preserve">: amount of contribution into the plan is specified (i.e., defined) and the amount of pension that is ultimately paid by the) plan (received by the retiree depends on the performance of the plan’s assets, payment record as pension expense. </w:t>
      </w:r>
      <w:r>
        <w:rPr>
          <w:rFonts w:ascii="Calibri" w:eastAsia="Times New Roman" w:hAnsi="Calibri" w:cs="Calibri"/>
          <w:b/>
          <w:bCs/>
          <w:sz w:val="22"/>
          <w:szCs w:val="22"/>
        </w:rPr>
        <w:t>Defined benefi</w:t>
      </w:r>
      <w:r>
        <w:rPr>
          <w:rFonts w:ascii="Calibri" w:eastAsia="Times New Roman" w:hAnsi="Calibri" w:cs="Calibri"/>
          <w:b/>
          <w:bCs/>
          <w:sz w:val="22"/>
          <w:szCs w:val="22"/>
        </w:rPr>
        <w:t>t plan</w:t>
      </w:r>
      <w:r>
        <w:rPr>
          <w:rFonts w:ascii="Calibri" w:eastAsia="Times New Roman" w:hAnsi="Calibri" w:cs="Calibri"/>
          <w:sz w:val="22"/>
          <w:szCs w:val="22"/>
        </w:rPr>
        <w:t xml:space="preserve">: amount of pension ultimately paid by the plan (received by the retiree) is defined to a formula; actuarial gain/loss report as OCmpInc in BS and interest expense accrued on begin net pension obligation is profit/loss in IS. </w:t>
      </w:r>
    </w:p>
    <w:p w14:paraId="6B979E4A" w14:textId="77777777" w:rsidR="00000000" w:rsidRDefault="00BA6235">
      <w:pPr>
        <w:numPr>
          <w:ilvl w:val="0"/>
          <w:numId w:val="64"/>
        </w:numPr>
        <w:textAlignment w:val="center"/>
        <w:rPr>
          <w:rFonts w:ascii="Calibri" w:eastAsia="Times New Roman" w:hAnsi="Calibri" w:cs="Calibri"/>
          <w:color w:val="2E75B5"/>
          <w:sz w:val="22"/>
          <w:szCs w:val="22"/>
        </w:rPr>
      </w:pPr>
      <w:r>
        <w:rPr>
          <w:rFonts w:ascii="Calibri" w:eastAsia="Times New Roman" w:hAnsi="Calibri" w:cs="Calibri"/>
          <w:color w:val="2E75B5"/>
          <w:sz w:val="22"/>
          <w:szCs w:val="22"/>
        </w:rPr>
        <w:t xml:space="preserve">Calculate </w:t>
      </w:r>
      <w:r>
        <w:rPr>
          <w:rFonts w:ascii="Calibri" w:eastAsia="Times New Roman" w:hAnsi="Calibri" w:cs="Calibri"/>
          <w:color w:val="2E75B5"/>
          <w:sz w:val="22"/>
          <w:szCs w:val="22"/>
        </w:rPr>
        <w:t>and interpret leverage and coverage ratios</w:t>
      </w:r>
    </w:p>
    <w:p w14:paraId="32A0633C" w14:textId="77777777" w:rsidR="00000000" w:rsidRDefault="00BA623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When evaluating </w:t>
      </w:r>
      <w:r>
        <w:rPr>
          <w:rFonts w:ascii="Calibri" w:hAnsi="Calibri" w:cs="Calibri"/>
          <w:sz w:val="22"/>
          <w:szCs w:val="22"/>
          <w:shd w:val="clear" w:color="auto" w:fill="FAC08F"/>
        </w:rPr>
        <w:t>solvency, accounts payable and accrued liabilities aren't considered debt, only calculate interest bear obligation: notes payable</w:t>
      </w:r>
      <w:r>
        <w:rPr>
          <w:rFonts w:ascii="Calibri" w:hAnsi="Calibri" w:cs="Calibri"/>
          <w:sz w:val="22"/>
          <w:szCs w:val="22"/>
        </w:rPr>
        <w:t xml:space="preserve">, LT debt. Fixed charge coverage refers to ratios. </w:t>
      </w:r>
    </w:p>
    <w:p w14:paraId="4E0BD36E" w14:textId="77777777" w:rsidR="00000000" w:rsidRDefault="00BA6235">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77FF4E7" wp14:editId="62E32293">
            <wp:extent cx="1190625" cy="247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0625" cy="247650"/>
                    </a:xfrm>
                    <a:prstGeom prst="rect">
                      <a:avLst/>
                    </a:prstGeom>
                    <a:noFill/>
                    <a:ln>
                      <a:noFill/>
                    </a:ln>
                  </pic:spPr>
                </pic:pic>
              </a:graphicData>
            </a:graphic>
          </wp:inline>
        </w:drawing>
      </w:r>
    </w:p>
    <w:p w14:paraId="36BB0C9C"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DF9ADB" w14:textId="77777777" w:rsidR="00000000" w:rsidRDefault="00BA6235">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EB24761" wp14:editId="5869363E">
            <wp:extent cx="361950" cy="139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 cy="1390650"/>
                    </a:xfrm>
                    <a:prstGeom prst="rect">
                      <a:avLst/>
                    </a:prstGeom>
                    <a:noFill/>
                    <a:ln>
                      <a:noFill/>
                    </a:ln>
                  </pic:spPr>
                </pic:pic>
              </a:graphicData>
            </a:graphic>
          </wp:inline>
        </w:drawing>
      </w:r>
    </w:p>
    <w:p w14:paraId="5D44A9C2"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316E64" w14:textId="77777777" w:rsidR="00000000" w:rsidRDefault="00BA6235">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5752D8D7" wp14:editId="205594A9">
            <wp:extent cx="2667000" cy="619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619125"/>
                    </a:xfrm>
                    <a:prstGeom prst="rect">
                      <a:avLst/>
                    </a:prstGeom>
                    <a:noFill/>
                    <a:ln>
                      <a:noFill/>
                    </a:ln>
                  </pic:spPr>
                </pic:pic>
              </a:graphicData>
            </a:graphic>
          </wp:inline>
        </w:drawing>
      </w:r>
    </w:p>
    <w:p w14:paraId="3964AFEB" w14:textId="77777777" w:rsidR="00000000" w:rsidRDefault="00BA623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BDB00C" w14:textId="77777777" w:rsidR="00000000" w:rsidRDefault="00BA6235">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0E34E818" wp14:editId="1EB8AC40">
            <wp:extent cx="2400300" cy="27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0300" cy="276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14:anchorId="2DB4CA53" wp14:editId="0BC2990A">
            <wp:extent cx="5715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65A"/>
    <w:multiLevelType w:val="multilevel"/>
    <w:tmpl w:val="BB40FB6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2996175"/>
    <w:multiLevelType w:val="multilevel"/>
    <w:tmpl w:val="0306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75DAF"/>
    <w:multiLevelType w:val="multilevel"/>
    <w:tmpl w:val="92D2236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76902D0"/>
    <w:multiLevelType w:val="multilevel"/>
    <w:tmpl w:val="387667E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7EF1763"/>
    <w:multiLevelType w:val="multilevel"/>
    <w:tmpl w:val="B48A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97421"/>
    <w:multiLevelType w:val="multilevel"/>
    <w:tmpl w:val="AEE2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9B1337"/>
    <w:multiLevelType w:val="multilevel"/>
    <w:tmpl w:val="CB749E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2061D34"/>
    <w:multiLevelType w:val="multilevel"/>
    <w:tmpl w:val="04FCAB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12167F35"/>
    <w:multiLevelType w:val="multilevel"/>
    <w:tmpl w:val="DE7CEF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164F0CBC"/>
    <w:multiLevelType w:val="multilevel"/>
    <w:tmpl w:val="8586ED6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16A1558A"/>
    <w:multiLevelType w:val="multilevel"/>
    <w:tmpl w:val="BE18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E20368"/>
    <w:multiLevelType w:val="multilevel"/>
    <w:tmpl w:val="B7D636D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1743222A"/>
    <w:multiLevelType w:val="multilevel"/>
    <w:tmpl w:val="A26EE40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1CC4386E"/>
    <w:multiLevelType w:val="multilevel"/>
    <w:tmpl w:val="0444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EB687E"/>
    <w:multiLevelType w:val="multilevel"/>
    <w:tmpl w:val="D2EAEA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E12445E"/>
    <w:multiLevelType w:val="multilevel"/>
    <w:tmpl w:val="1814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281C61"/>
    <w:multiLevelType w:val="multilevel"/>
    <w:tmpl w:val="C154637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24116610"/>
    <w:multiLevelType w:val="multilevel"/>
    <w:tmpl w:val="8A98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6978EE"/>
    <w:multiLevelType w:val="multilevel"/>
    <w:tmpl w:val="0AAC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405A60"/>
    <w:multiLevelType w:val="multilevel"/>
    <w:tmpl w:val="D88865D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2DA6045B"/>
    <w:multiLevelType w:val="multilevel"/>
    <w:tmpl w:val="6C3E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E44D6A"/>
    <w:multiLevelType w:val="multilevel"/>
    <w:tmpl w:val="5C4AF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A85174"/>
    <w:multiLevelType w:val="multilevel"/>
    <w:tmpl w:val="15E075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31A306E2"/>
    <w:multiLevelType w:val="multilevel"/>
    <w:tmpl w:val="6AB03E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32D97720"/>
    <w:multiLevelType w:val="multilevel"/>
    <w:tmpl w:val="D4DCA8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33AB5581"/>
    <w:multiLevelType w:val="multilevel"/>
    <w:tmpl w:val="E54AF2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35B64CC7"/>
    <w:multiLevelType w:val="multilevel"/>
    <w:tmpl w:val="6B3A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A3797"/>
    <w:multiLevelType w:val="multilevel"/>
    <w:tmpl w:val="A8126D5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8" w15:restartNumberingAfterBreak="0">
    <w:nsid w:val="45407858"/>
    <w:multiLevelType w:val="multilevel"/>
    <w:tmpl w:val="224663A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 w15:restartNumberingAfterBreak="0">
    <w:nsid w:val="454D5534"/>
    <w:multiLevelType w:val="multilevel"/>
    <w:tmpl w:val="C636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91039A"/>
    <w:multiLevelType w:val="multilevel"/>
    <w:tmpl w:val="A8F40A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46DE6B44"/>
    <w:multiLevelType w:val="multilevel"/>
    <w:tmpl w:val="C606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77C357F"/>
    <w:multiLevelType w:val="multilevel"/>
    <w:tmpl w:val="1E9E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CB6808"/>
    <w:multiLevelType w:val="multilevel"/>
    <w:tmpl w:val="90CC467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57884075"/>
    <w:multiLevelType w:val="multilevel"/>
    <w:tmpl w:val="2192467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59402A21"/>
    <w:multiLevelType w:val="multilevel"/>
    <w:tmpl w:val="C8AC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5A2B7E"/>
    <w:multiLevelType w:val="multilevel"/>
    <w:tmpl w:val="560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E617E7"/>
    <w:multiLevelType w:val="multilevel"/>
    <w:tmpl w:val="5466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D010BA"/>
    <w:multiLevelType w:val="multilevel"/>
    <w:tmpl w:val="E6F2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934FAA"/>
    <w:multiLevelType w:val="multilevel"/>
    <w:tmpl w:val="C6D6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2C1985"/>
    <w:multiLevelType w:val="multilevel"/>
    <w:tmpl w:val="680C2CD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1" w15:restartNumberingAfterBreak="0">
    <w:nsid w:val="60607FC5"/>
    <w:multiLevelType w:val="multilevel"/>
    <w:tmpl w:val="F2E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1346A"/>
    <w:multiLevelType w:val="multilevel"/>
    <w:tmpl w:val="09BA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BF1D1A"/>
    <w:multiLevelType w:val="multilevel"/>
    <w:tmpl w:val="6E96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CC1FA0"/>
    <w:multiLevelType w:val="multilevel"/>
    <w:tmpl w:val="E202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E301A2"/>
    <w:multiLevelType w:val="multilevel"/>
    <w:tmpl w:val="B69C0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C67B12"/>
    <w:multiLevelType w:val="multilevel"/>
    <w:tmpl w:val="8272C6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7" w15:restartNumberingAfterBreak="0">
    <w:nsid w:val="68217CC8"/>
    <w:multiLevelType w:val="multilevel"/>
    <w:tmpl w:val="9660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94E3526"/>
    <w:multiLevelType w:val="multilevel"/>
    <w:tmpl w:val="4B0A2C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9" w15:restartNumberingAfterBreak="0">
    <w:nsid w:val="6B752B86"/>
    <w:multiLevelType w:val="multilevel"/>
    <w:tmpl w:val="CB0C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CB11A8D"/>
    <w:multiLevelType w:val="multilevel"/>
    <w:tmpl w:val="8F72B56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6DA813A5"/>
    <w:multiLevelType w:val="multilevel"/>
    <w:tmpl w:val="C91C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815CAC"/>
    <w:multiLevelType w:val="multilevel"/>
    <w:tmpl w:val="1F382AD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70890E9C"/>
    <w:multiLevelType w:val="multilevel"/>
    <w:tmpl w:val="73B8BD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715D540F"/>
    <w:multiLevelType w:val="multilevel"/>
    <w:tmpl w:val="0ECAA30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5" w15:restartNumberingAfterBreak="0">
    <w:nsid w:val="732941F0"/>
    <w:multiLevelType w:val="multilevel"/>
    <w:tmpl w:val="928E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BD25F4"/>
    <w:multiLevelType w:val="multilevel"/>
    <w:tmpl w:val="6E922E9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764B7B25"/>
    <w:multiLevelType w:val="multilevel"/>
    <w:tmpl w:val="175431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77B40864"/>
    <w:multiLevelType w:val="multilevel"/>
    <w:tmpl w:val="210C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B61D70"/>
    <w:multiLevelType w:val="multilevel"/>
    <w:tmpl w:val="F656C1E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0" w15:restartNumberingAfterBreak="0">
    <w:nsid w:val="78D3155F"/>
    <w:multiLevelType w:val="multilevel"/>
    <w:tmpl w:val="FFD2BA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1" w15:restartNumberingAfterBreak="0">
    <w:nsid w:val="7C965B3E"/>
    <w:multiLevelType w:val="multilevel"/>
    <w:tmpl w:val="39F2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F37360B"/>
    <w:multiLevelType w:val="multilevel"/>
    <w:tmpl w:val="1C7E98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7FE42CFE"/>
    <w:multiLevelType w:val="multilevel"/>
    <w:tmpl w:val="A7E479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52"/>
    <w:lvlOverride w:ilvl="0">
      <w:startOverride w:val="1"/>
    </w:lvlOverride>
  </w:num>
  <w:num w:numId="2">
    <w:abstractNumId w:val="58"/>
  </w:num>
  <w:num w:numId="3">
    <w:abstractNumId w:val="59"/>
    <w:lvlOverride w:ilvl="0">
      <w:startOverride w:val="3"/>
    </w:lvlOverride>
  </w:num>
  <w:num w:numId="4">
    <w:abstractNumId w:val="39"/>
  </w:num>
  <w:num w:numId="5">
    <w:abstractNumId w:val="57"/>
    <w:lvlOverride w:ilvl="0">
      <w:startOverride w:val="4"/>
    </w:lvlOverride>
  </w:num>
  <w:num w:numId="6">
    <w:abstractNumId w:val="47"/>
  </w:num>
  <w:num w:numId="7">
    <w:abstractNumId w:val="11"/>
    <w:lvlOverride w:ilvl="0">
      <w:startOverride w:val="7"/>
    </w:lvlOverride>
  </w:num>
  <w:num w:numId="8">
    <w:abstractNumId w:val="29"/>
  </w:num>
  <w:num w:numId="9">
    <w:abstractNumId w:val="12"/>
    <w:lvlOverride w:ilvl="0">
      <w:startOverride w:val="9"/>
    </w:lvlOverride>
  </w:num>
  <w:num w:numId="10">
    <w:abstractNumId w:val="21"/>
  </w:num>
  <w:num w:numId="11">
    <w:abstractNumId w:val="63"/>
    <w:lvlOverride w:ilvl="0">
      <w:startOverride w:val="10"/>
    </w:lvlOverride>
  </w:num>
  <w:num w:numId="12">
    <w:abstractNumId w:val="28"/>
    <w:lvlOverride w:ilvl="0">
      <w:startOverride w:val="1"/>
    </w:lvlOverride>
  </w:num>
  <w:num w:numId="13">
    <w:abstractNumId w:val="13"/>
  </w:num>
  <w:num w:numId="14">
    <w:abstractNumId w:val="30"/>
    <w:lvlOverride w:ilvl="0">
      <w:startOverride w:val="2"/>
    </w:lvlOverride>
  </w:num>
  <w:num w:numId="15">
    <w:abstractNumId w:val="10"/>
  </w:num>
  <w:num w:numId="16">
    <w:abstractNumId w:val="62"/>
    <w:lvlOverride w:ilvl="0">
      <w:startOverride w:val="3"/>
    </w:lvlOverride>
  </w:num>
  <w:num w:numId="17">
    <w:abstractNumId w:val="36"/>
  </w:num>
  <w:num w:numId="18">
    <w:abstractNumId w:val="7"/>
    <w:lvlOverride w:ilvl="0">
      <w:startOverride w:val="4"/>
    </w:lvlOverride>
  </w:num>
  <w:num w:numId="19">
    <w:abstractNumId w:val="20"/>
  </w:num>
  <w:num w:numId="20">
    <w:abstractNumId w:val="56"/>
    <w:lvlOverride w:ilvl="0">
      <w:startOverride w:val="5"/>
    </w:lvlOverride>
  </w:num>
  <w:num w:numId="21">
    <w:abstractNumId w:val="33"/>
    <w:lvlOverride w:ilvl="0">
      <w:startOverride w:val="8"/>
    </w:lvlOverride>
  </w:num>
  <w:num w:numId="22">
    <w:abstractNumId w:val="5"/>
  </w:num>
  <w:num w:numId="23">
    <w:abstractNumId w:val="60"/>
    <w:lvlOverride w:ilvl="0">
      <w:startOverride w:val="9"/>
    </w:lvlOverride>
  </w:num>
  <w:num w:numId="24">
    <w:abstractNumId w:val="61"/>
  </w:num>
  <w:num w:numId="25">
    <w:abstractNumId w:val="17"/>
  </w:num>
  <w:num w:numId="26">
    <w:abstractNumId w:val="48"/>
    <w:lvlOverride w:ilvl="0">
      <w:startOverride w:val="10"/>
    </w:lvlOverride>
  </w:num>
  <w:num w:numId="27">
    <w:abstractNumId w:val="32"/>
  </w:num>
  <w:num w:numId="28">
    <w:abstractNumId w:val="9"/>
    <w:lvlOverride w:ilvl="0">
      <w:startOverride w:val="11"/>
    </w:lvlOverride>
  </w:num>
  <w:num w:numId="29">
    <w:abstractNumId w:val="37"/>
  </w:num>
  <w:num w:numId="30">
    <w:abstractNumId w:val="0"/>
    <w:lvlOverride w:ilvl="0">
      <w:startOverride w:val="12"/>
    </w:lvlOverride>
  </w:num>
  <w:num w:numId="31">
    <w:abstractNumId w:val="45"/>
  </w:num>
  <w:num w:numId="32">
    <w:abstractNumId w:val="22"/>
    <w:lvlOverride w:ilvl="0">
      <w:startOverride w:val="13"/>
    </w:lvlOverride>
  </w:num>
  <w:num w:numId="33">
    <w:abstractNumId w:val="26"/>
  </w:num>
  <w:num w:numId="34">
    <w:abstractNumId w:val="8"/>
    <w:lvlOverride w:ilvl="0">
      <w:startOverride w:val="14"/>
    </w:lvlOverride>
  </w:num>
  <w:num w:numId="35">
    <w:abstractNumId w:val="31"/>
  </w:num>
  <w:num w:numId="36">
    <w:abstractNumId w:val="3"/>
    <w:lvlOverride w:ilvl="0">
      <w:startOverride w:val="1"/>
    </w:lvlOverride>
  </w:num>
  <w:num w:numId="37">
    <w:abstractNumId w:val="38"/>
  </w:num>
  <w:num w:numId="38">
    <w:abstractNumId w:val="54"/>
    <w:lvlOverride w:ilvl="0">
      <w:startOverride w:val="2"/>
    </w:lvlOverride>
  </w:num>
  <w:num w:numId="39">
    <w:abstractNumId w:val="51"/>
  </w:num>
  <w:num w:numId="40">
    <w:abstractNumId w:val="53"/>
    <w:lvlOverride w:ilvl="0">
      <w:startOverride w:val="4"/>
    </w:lvlOverride>
  </w:num>
  <w:num w:numId="41">
    <w:abstractNumId w:val="40"/>
    <w:lvlOverride w:ilvl="0">
      <w:startOverride w:val="6"/>
    </w:lvlOverride>
  </w:num>
  <w:num w:numId="42">
    <w:abstractNumId w:val="42"/>
  </w:num>
  <w:num w:numId="43">
    <w:abstractNumId w:val="14"/>
    <w:lvlOverride w:ilvl="0">
      <w:startOverride w:val="7"/>
    </w:lvlOverride>
  </w:num>
  <w:num w:numId="44">
    <w:abstractNumId w:val="16"/>
    <w:lvlOverride w:ilvl="0">
      <w:startOverride w:val="8"/>
    </w:lvlOverride>
  </w:num>
  <w:num w:numId="45">
    <w:abstractNumId w:val="1"/>
  </w:num>
  <w:num w:numId="46">
    <w:abstractNumId w:val="24"/>
    <w:lvlOverride w:ilvl="0">
      <w:startOverride w:val="9"/>
    </w:lvlOverride>
  </w:num>
  <w:num w:numId="47">
    <w:abstractNumId w:val="4"/>
  </w:num>
  <w:num w:numId="48">
    <w:abstractNumId w:val="49"/>
  </w:num>
  <w:num w:numId="49">
    <w:abstractNumId w:val="6"/>
    <w:lvlOverride w:ilvl="0">
      <w:startOverride w:val="11"/>
    </w:lvlOverride>
  </w:num>
  <w:num w:numId="50">
    <w:abstractNumId w:val="23"/>
    <w:lvlOverride w:ilvl="0">
      <w:startOverride w:val="1"/>
    </w:lvlOverride>
  </w:num>
  <w:num w:numId="51">
    <w:abstractNumId w:val="15"/>
  </w:num>
  <w:num w:numId="52">
    <w:abstractNumId w:val="35"/>
  </w:num>
  <w:num w:numId="53">
    <w:abstractNumId w:val="46"/>
    <w:lvlOverride w:ilvl="0">
      <w:startOverride w:val="3"/>
    </w:lvlOverride>
  </w:num>
  <w:num w:numId="54">
    <w:abstractNumId w:val="18"/>
  </w:num>
  <w:num w:numId="55">
    <w:abstractNumId w:val="50"/>
    <w:lvlOverride w:ilvl="0">
      <w:startOverride w:val="4"/>
    </w:lvlOverride>
  </w:num>
  <w:num w:numId="56">
    <w:abstractNumId w:val="55"/>
  </w:num>
  <w:num w:numId="57">
    <w:abstractNumId w:val="19"/>
    <w:lvlOverride w:ilvl="0">
      <w:startOverride w:val="5"/>
    </w:lvlOverride>
  </w:num>
  <w:num w:numId="58">
    <w:abstractNumId w:val="44"/>
  </w:num>
  <w:num w:numId="59">
    <w:abstractNumId w:val="2"/>
    <w:lvlOverride w:ilvl="0">
      <w:startOverride w:val="7"/>
    </w:lvlOverride>
  </w:num>
  <w:num w:numId="60">
    <w:abstractNumId w:val="34"/>
    <w:lvlOverride w:ilvl="0">
      <w:startOverride w:val="8"/>
    </w:lvlOverride>
  </w:num>
  <w:num w:numId="61">
    <w:abstractNumId w:val="41"/>
  </w:num>
  <w:num w:numId="62">
    <w:abstractNumId w:val="27"/>
    <w:lvlOverride w:ilvl="0">
      <w:startOverride w:val="9"/>
    </w:lvlOverride>
  </w:num>
  <w:num w:numId="63">
    <w:abstractNumId w:val="43"/>
  </w:num>
  <w:num w:numId="64">
    <w:abstractNumId w:val="25"/>
    <w:lvlOverride w:ilvl="0">
      <w:startOverride w:val="10"/>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A6235"/>
    <w:rsid w:val="00BA6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376F8"/>
  <w15:chartTrackingRefBased/>
  <w15:docId w15:val="{6B377DB5-1708-4FD0-B8AC-F2446DA0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516367">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2175</Words>
  <Characters>12399</Characters>
  <Application>Microsoft Office Word</Application>
  <DocSecurity>0</DocSecurity>
  <Lines>103</Lines>
  <Paragraphs>29</Paragraphs>
  <ScaleCrop>false</ScaleCrop>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Peng</dc:creator>
  <cp:keywords/>
  <dc:description/>
  <cp:lastModifiedBy>Tian Peng</cp:lastModifiedBy>
  <cp:revision>2</cp:revision>
  <dcterms:created xsi:type="dcterms:W3CDTF">2021-10-02T23:49:00Z</dcterms:created>
  <dcterms:modified xsi:type="dcterms:W3CDTF">2021-10-02T23:49:00Z</dcterms:modified>
</cp:coreProperties>
</file>