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Quarterly Compliance Summary</w:t>
      </w:r>
    </w:p>
    <w:p>
      <w:r>
        <w:rPr>
          <w:sz w:val="22"/>
        </w:rPr>
        <w:t>This document is a synthetic test fixture for the security-compliance plugin's edit-docx pipeline. It exercises the apply-template path.</w:t>
      </w:r>
    </w:p>
    <w:p>
      <w:r>
        <w:rPr>
          <w:sz w:val="22"/>
        </w:rPr>
        <w:t>The body holds three paragraphs and one small table. Theme, header, footer, and styles are the python-docx defaults.</w:t>
      </w:r>
    </w:p>
    <w:p>
      <w:r>
        <w:rPr>
          <w:sz w:val="22"/>
        </w:rPr>
        <w:t>After --apply-template, the styles, theme, headers, footers, and media should match the template's; numbering should remain target's.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CC6.1</w:t>
            </w:r>
          </w:p>
        </w:tc>
        <w:tc>
          <w:tcPr>
            <w:tcW w:type="dxa" w:w="2880"/>
          </w:tcPr>
          <w:p>
            <w:r>
              <w:t>SOC 2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Corp © 2026 — Page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meAccent">
    <w:name w:val="AcmeAccent"/>
    <w:rPr>
      <w:rFonts w:ascii="Arial" w:hAnsi="Arial"/>
      <w:color w:val="184F9E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CANONICAL</dcterms:modified>
  <cp:category/>
</cp:coreProperties>
</file>