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RDS account-level review</w:t>
      </w:r>
    </w:p>
    <w:bookmarkStart w:id="26" w:name="X59fb820edf8dba782087ea334e7189695462e12"/>
    <w:p>
      <w:pPr>
        <w:pStyle w:val="Heading1"/>
      </w:pPr>
      <w:r>
        <w:t xml:space="preserve">RDS account-level review: observations for CDAO</w:t>
      </w:r>
    </w:p>
    <w:p>
      <w:pPr>
        <w:pStyle w:val="FirstParagraph"/>
      </w:pPr>
      <w:r>
        <w:t xml:space="preserve">28 October 2026 | January 2005–March 2026</w:t>
      </w:r>
    </w:p>
    <w:p>
      <w:pPr>
        <w:pStyle w:val="BodyText"/>
      </w:pPr>
      <w:r>
        <w:t xml:space="preserve">This report uses only the results in</w:t>
      </w:r>
      <w:r>
        <w:t xml:space="preserve"> </w:t>
      </w:r>
      <w:r>
        <w:rPr>
          <w:b/>
          <w:bCs/>
        </w:rPr>
        <w:t xml:space="preserve">RDS_account_level_review_workbook.xlsx</w:t>
      </w:r>
      <w:r>
        <w:t xml:space="preserve">.</w:t>
      </w:r>
      <w:r>
        <w:t xml:space="preserve"> </w:t>
      </w:r>
      <w:r>
        <w:t xml:space="preserve">It covers 14 numeric fields, nine categorical fields and one date field.</w:t>
      </w:r>
      <w:r>
        <w:t xml:space="preserve"> </w:t>
      </w:r>
      <w:r>
        <w:t xml:space="preserve">Yellow rows identify selections for review, not confirmed errors. Counts below</w:t>
      </w:r>
      <w:r>
        <w:t xml:space="preserve"> </w:t>
      </w:r>
      <w:r>
        <w:t xml:space="preserve">are account-month events unless otherwise stated. Percentages use each check's</w:t>
      </w:r>
      <w:r>
        <w:t xml:space="preserve"> </w:t>
      </w:r>
      <w:r>
        <w:t xml:space="preserve">eligible population, not necessarily the full monthly population.</w:t>
      </w:r>
    </w:p>
    <w:bookmarkStart w:id="20" w:name="Xca5602bc80b7bd57e75f6143d695088ae4d5dd7"/>
    <w:p>
      <w:pPr>
        <w:pStyle w:val="Heading2"/>
      </w:pPr>
      <w:r>
        <w:t xml:space="preserve">1. Missing values across package-related fields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6" w:color="1D252C"/>
          <w:left w:val="single" w:sz="6" w:color="1D252C"/>
          <w:bottom w:val="single" w:sz="6" w:color="1D252C"/>
          <w:right w:val="single" w:sz="6" w:color="1D252C"/>
          <w:insideH w:val="single" w:sz="6" w:color="1D252C"/>
          <w:insideV w:val="single" w:sz="6" w:color="1D252C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512"/>
        <w:gridCol w:w="2203"/>
        <w:gridCol w:w="2203"/>
        <w:gridCol w:w="2203"/>
        <w:gridCol w:w="2203"/>
      </w:tblGrid>
      <w:tr>
        <w:trPr>
          <w:tblHeader w:val="on"/>
          <w:cantSplit/>
          <w:tblHeader/>
        </w:trPr>
        <w:tc>
          <w:tcPr>
            <w:tcW w:type="dxa" w:w="1512"/>
            <w:vAlign w:val="center"/>
            <w:shd w:fill="FC4C02"/>
          </w:tcPr>
          <w:p>
            <w:pPr>
              <w:pStyle w:val="Compact"/>
              <w:keepNext/>
              <w:spacing w:before="0" w:after="0"/>
              <w:jc w:val="left"/>
            </w:pPr>
            <w:r>
              <w:rPr>
                <w:rFonts w:ascii="Calibri" w:hAnsi="Calibri"/>
                <w:b/>
                <w:color w:val="1D252C"/>
                <w:sz w:val="16"/>
              </w:rPr>
              <w:t xml:space="preserve">Month</w:t>
            </w:r>
          </w:p>
        </w:tc>
        <w:tc>
          <w:tcPr>
            <w:tcW w:type="dxa" w:w="2203"/>
            <w:vAlign w:val="center"/>
            <w:shd w:fill="FC4C02"/>
          </w:tcPr>
          <w:p>
            <w:pPr>
              <w:pStyle w:val="Compact"/>
              <w:keepNext/>
              <w:spacing w:before="0" w:after="0"/>
              <w:jc w:val="right"/>
            </w:pPr>
            <w:r>
              <w:rPr>
                <w:rFonts w:ascii="Calibri" w:hAnsi="Calibri"/>
                <w:b/>
                <w:color w:val="1D252C"/>
                <w:sz w:val="16"/>
              </w:rPr>
              <w:t xml:space="preserve">EVENT_DESCRIPTION</w:t>
            </w:r>
          </w:p>
        </w:tc>
        <w:tc>
          <w:tcPr>
            <w:tcW w:type="dxa" w:w="2203"/>
            <w:vAlign w:val="center"/>
            <w:shd w:fill="FC4C02"/>
          </w:tcPr>
          <w:p>
            <w:pPr>
              <w:pStyle w:val="Compact"/>
              <w:keepNext/>
              <w:spacing w:before="0" w:after="0"/>
              <w:jc w:val="right"/>
            </w:pPr>
            <w:r>
              <w:rPr>
                <w:rFonts w:ascii="Calibri" w:hAnsi="Calibri"/>
                <w:b/>
                <w:color w:val="1D252C"/>
                <w:sz w:val="16"/>
              </w:rPr>
              <w:t xml:space="preserve">MV_PROP_POSTCODE_NM</w:t>
            </w:r>
          </w:p>
        </w:tc>
        <w:tc>
          <w:tcPr>
            <w:tcW w:type="dxa" w:w="2203"/>
            <w:vAlign w:val="center"/>
            <w:shd w:fill="FC4C02"/>
          </w:tcPr>
          <w:p>
            <w:pPr>
              <w:pStyle w:val="Compact"/>
              <w:keepNext/>
              <w:spacing w:before="0" w:after="0"/>
              <w:jc w:val="right"/>
            </w:pPr>
            <w:r>
              <w:rPr>
                <w:rFonts w:ascii="Calibri" w:hAnsi="Calibri"/>
                <w:b/>
                <w:color w:val="1D252C"/>
                <w:sz w:val="16"/>
              </w:rPr>
              <w:t xml:space="preserve">PCKG_BOVO_VAL_AMT</w:t>
            </w:r>
          </w:p>
        </w:tc>
        <w:tc>
          <w:tcPr>
            <w:tcW w:type="dxa" w:w="2203"/>
            <w:vAlign w:val="center"/>
            <w:shd w:fill="FC4C02"/>
          </w:tcPr>
          <w:p>
            <w:pPr>
              <w:pStyle w:val="Compact"/>
              <w:keepNext/>
              <w:spacing w:before="0" w:after="0"/>
              <w:jc w:val="right"/>
            </w:pPr>
            <w:r>
              <w:rPr>
                <w:rFonts w:ascii="Calibri" w:hAnsi="Calibri"/>
                <w:b/>
                <w:color w:val="1D252C"/>
                <w:sz w:val="16"/>
              </w:rPr>
              <w:t xml:space="preserve">PCKG_REPAY_AMT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February 2019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8,828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9,123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9,111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9,115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May 2019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12,208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12,710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12,690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12,660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February 2020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2,025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2,460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2,457</w:t>
            </w:r>
          </w:p>
        </w:tc>
        <w:tc>
          <w:tcPr>
            <w:tcW w:type="dxa" w:w="220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2,445</w:t>
            </w:r>
          </w:p>
        </w:tc>
      </w:tr>
    </w:tbl>
    <w:p>
      <w:pPr>
        <w:pStyle w:val="BodyText"/>
      </w:pPr>
      <w:r>
        <w:t xml:space="preserve">These counts represent previously valid values becoming missing. In the</w:t>
      </w:r>
      <w:r>
        <w:t xml:space="preserve"> </w:t>
      </w:r>
      <w:r>
        <w:t xml:space="preserve">February/May 2019 categorical extracts, missing package IDs were also present</w:t>
      </w:r>
      <w:r>
        <w:t xml:space="preserve"> </w:t>
      </w:r>
      <w:r>
        <w:t xml:space="preserve">for 8,621/12,065 affected event-description records and all 9,123/12,710 affected</w:t>
      </w:r>
      <w:r>
        <w:t xml:space="preserve"> </w:t>
      </w:r>
      <w:r>
        <w:t xml:space="preserve">property-classification records.</w:t>
      </w:r>
    </w:p>
    <w:p>
      <w:pPr>
        <w:pStyle w:val="BodyText"/>
      </w:pPr>
      <w:r>
        <w:t xml:space="preserve">In May 2019,</w:t>
      </w:r>
      <w:r>
        <w:t xml:space="preserve"> </w:t>
      </w:r>
      <w:r>
        <w:rPr>
          <w:rStyle w:val="VerbatimChar"/>
        </w:rPr>
        <w:t xml:space="preserve">PCKG_BALANCE_AMT</w:t>
      </w:r>
      <w:r>
        <w:t xml:space="preserve"> </w:t>
      </w:r>
      <w:r>
        <w:t xml:space="preserve">also had 12,599 large movements (10.59% of valid</w:t>
      </w:r>
      <w:r>
        <w:t xml:space="preserve"> </w:t>
      </w:r>
      <w:r>
        <w:t xml:space="preserve">pairs), and</w:t>
      </w:r>
      <w:r>
        <w:t xml:space="preserve"> </w:t>
      </w:r>
      <w:r>
        <w:rPr>
          <w:rStyle w:val="VerbatimChar"/>
        </w:rPr>
        <w:t xml:space="preserve">MV_PCKG_REPAY_TO_INC_RT</w:t>
      </w:r>
      <w:r>
        <w:t xml:space="preserve"> </w:t>
      </w:r>
      <w:r>
        <w:t xml:space="preserve">had 12,628 transitions to special values.</w:t>
      </w:r>
      <w:r>
        <w:t xml:space="preserve"> </w:t>
      </w:r>
      <w:r>
        <w:t xml:space="preserve">The workbook does not establish whether these numeric and categorical changes</w:t>
      </w:r>
      <w:r>
        <w:t xml:space="preserve"> </w:t>
      </w:r>
      <w:r>
        <w:t xml:space="preserve">involved the same accounts.</w:t>
      </w:r>
    </w:p>
    <w:p>
      <w:pPr>
        <w:pStyle w:val="BodyText"/>
      </w:pPr>
      <w:r>
        <w:t xml:space="preserve">Later categorical missingness was also selected: March 2022 had 1,311</w:t>
      </w:r>
      <w:r>
        <w:t xml:space="preserve"> </w:t>
      </w:r>
      <w:r>
        <w:rPr>
          <w:rStyle w:val="VerbatimChar"/>
        </w:rPr>
        <w:t xml:space="preserve">EVENT_DESCRIPTION</w:t>
      </w:r>
      <w:r>
        <w:t xml:space="preserve"> </w:t>
      </w:r>
      <w:r>
        <w:t xml:space="preserve">and 1,821</w:t>
      </w:r>
      <w:r>
        <w:t xml:space="preserve"> </w:t>
      </w:r>
      <w:r>
        <w:rPr>
          <w:rStyle w:val="VerbatimChar"/>
        </w:rPr>
        <w:t xml:space="preserve">MV_PROP_POSTCODE_NM</w:t>
      </w:r>
      <w:r>
        <w:t xml:space="preserve"> </w:t>
      </w:r>
      <w:r>
        <w:t xml:space="preserve">transitions; November 2024</w:t>
      </w:r>
      <w:r>
        <w:t xml:space="preserve"> </w:t>
      </w:r>
      <w:r>
        <w:t xml:space="preserve">had 989 and 1,506 respectively.</w:t>
      </w:r>
    </w:p>
    <w:p>
      <w:pPr>
        <w:pStyle w:val="BodyText"/>
      </w:pPr>
      <w:r>
        <w:rPr>
          <w:b/>
          <w:bCs/>
        </w:rPr>
        <w:t xml:space="preserve">Question for CDAO:</w:t>
      </w:r>
      <w:r>
        <w:t xml:space="preserve"> </w:t>
      </w:r>
      <w:r>
        <w:t xml:space="preserve">What explains these dated gaps and movements? Please</w:t>
      </w:r>
      <w:r>
        <w:t xml:space="preserve"> </w:t>
      </w:r>
      <w:r>
        <w:t xml:space="preserve">confirm whether they are expected, identify the affected sources or processing,</w:t>
      </w:r>
      <w:r>
        <w:t xml:space="preserve"> </w:t>
      </w:r>
      <w:r>
        <w:t xml:space="preserve">and clarify any limitations on using these fields.</w:t>
      </w:r>
    </w:p>
    <w:p>
      <w:pPr>
        <w:pStyle w:val="BodyText"/>
      </w:pPr>
      <w:r>
        <w:rPr>
          <w:i/>
          <w:iCs/>
        </w:rPr>
        <w:t xml:space="preserve">Evidence: Numeric_POU, Categorical_POU and Categorical_Specific.</w:t>
      </w:r>
    </w:p>
    <w:bookmarkEnd w:id="20"/>
    <w:bookmarkStart w:id="21" w:name="X6a3368e7e15ad8e304e7e04fbbf3fe2a7b04e02"/>
    <w:bookmarkEnd w:id="21"/>
    <w:bookmarkStart w:id="22" w:name="X55f1a69a80e8ff1ffb4ecdea93443ca6beeb235"/>
    <w:p>
      <w:pPr>
        <w:pStyle w:val="Heading2"/>
      </w:pPr>
      <w:r>
        <w:t>2. Temporary special values in savings and payment ratios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6" w:color="1D252C"/>
          <w:left w:val="single" w:sz="6" w:color="1D252C"/>
          <w:bottom w:val="single" w:sz="6" w:color="1D252C"/>
          <w:right w:val="single" w:sz="6" w:color="1D252C"/>
          <w:insideH w:val="single" w:sz="6" w:color="1D252C"/>
          <w:insideV w:val="single" w:sz="6" w:color="1D252C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464"/>
        <w:gridCol w:w="1953"/>
        <w:gridCol w:w="1954"/>
        <w:gridCol w:w="1954"/>
      </w:tblGrid>
      <w:tr>
        <w:trPr>
          <w:tblHeader w:val="on"/>
          <w:cantSplit/>
          <w:tblHeader/>
        </w:trPr>
        <w:tc>
          <w:tcPr>
            <w:tcW w:type="dxa" w:w="4464"/>
            <w:vAlign w:val="center"/>
            <w:shd w:fill="FC4C02"/>
          </w:tcPr>
          <w:p>
            <w:pPr>
              <w:pStyle w:val="Compact"/>
              <w:keepNext/>
              <w:spacing w:before="0" w:after="0"/>
              <w:jc w:val="left"/>
            </w:pPr>
            <w:r>
              <w:rPr>
                <w:rFonts w:ascii="Calibri" w:hAnsi="Calibri"/>
                <w:b/>
                <w:color w:val="1D252C"/>
                <w:sz w:val="18"/>
              </w:rPr>
              <w:t xml:space="preserve">Field</w:t>
            </w:r>
          </w:p>
        </w:tc>
        <w:tc>
          <w:tcPr>
            <w:tcW w:type="dxa" w:w="1953"/>
            <w:vAlign w:val="center"/>
            <w:shd w:fill="FC4C02"/>
          </w:tcPr>
          <w:p>
            <w:pPr>
              <w:pStyle w:val="Compact"/>
              <w:keepNext/>
              <w:spacing w:before="0" w:after="0"/>
              <w:jc w:val="right"/>
            </w:pPr>
            <w:r>
              <w:rPr>
                <w:rFonts w:ascii="Calibri" w:hAnsi="Calibri"/>
                <w:b/>
                <w:color w:val="1D252C"/>
                <w:sz w:val="18"/>
              </w:rPr>
              <w:t xml:space="preserve">December 2013</w:t>
            </w:r>
          </w:p>
        </w:tc>
        <w:tc>
          <w:tcPr>
            <w:tcW w:type="dxa" w:w="1954"/>
            <w:vAlign w:val="center"/>
            <w:shd w:fill="FC4C02"/>
          </w:tcPr>
          <w:p>
            <w:pPr>
              <w:pStyle w:val="Compact"/>
              <w:keepNext/>
              <w:spacing w:before="0" w:after="0"/>
              <w:jc w:val="right"/>
            </w:pPr>
            <w:r>
              <w:rPr>
                <w:rFonts w:ascii="Calibri" w:hAnsi="Calibri"/>
                <w:b/>
                <w:color w:val="1D252C"/>
                <w:sz w:val="18"/>
              </w:rPr>
              <w:t xml:space="preserve">November 2016</w:t>
            </w:r>
          </w:p>
        </w:tc>
        <w:tc>
          <w:tcPr>
            <w:tcW w:type="dxa" w:w="1954"/>
            <w:vAlign w:val="center"/>
            <w:shd w:fill="FC4C02"/>
          </w:tcPr>
          <w:p>
            <w:pPr>
              <w:pStyle w:val="Compact"/>
              <w:keepNext/>
              <w:spacing w:before="0" w:after="0"/>
              <w:jc w:val="right"/>
            </w:pPr>
            <w:r>
              <w:rPr>
                <w:rFonts w:ascii="Calibri" w:hAnsi="Calibri"/>
                <w:b/>
                <w:color w:val="1D252C"/>
                <w:sz w:val="18"/>
              </w:rPr>
              <w:t xml:space="preserve">November 2018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MV_PCKG_SAV_DEP_TO_BALANCE_RT</w:t>
            </w:r>
          </w:p>
        </w:tc>
        <w:tc>
          <w:tcPr>
            <w:tcW w:type="dxa" w:w="195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908</w:t>
            </w:r>
          </w:p>
        </w:tc>
        <w:tc>
          <w:tcPr>
            <w:tcW w:type="dxa" w:w="1954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914</w:t>
            </w:r>
          </w:p>
        </w:tc>
        <w:tc>
          <w:tcPr>
            <w:tcW w:type="dxa" w:w="1954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240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MV_PCKG_SAV_DEP_TO_REPAY_RT</w:t>
            </w:r>
          </w:p>
        </w:tc>
        <w:tc>
          <w:tcPr>
            <w:tcW w:type="dxa" w:w="1953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1,013</w:t>
            </w:r>
          </w:p>
        </w:tc>
        <w:tc>
          <w:tcPr>
            <w:tcW w:type="dxa" w:w="1954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914</w:t>
            </w:r>
          </w:p>
        </w:tc>
        <w:tc>
          <w:tcPr>
            <w:tcW w:type="dxa" w:w="1954"/>
            <w:vAlign w:val="center"/>
            <w:shd w:fill="FFFFFF"/>
          </w:tcPr>
          <w:p>
            <w:pPr>
              <w:pStyle w:val="Compact"/>
              <w:keepNext w:val="0"/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1D252C"/>
                <w:sz w:val="18"/>
              </w:rPr>
              <w:t xml:space="preserve">240</w:t>
            </w:r>
          </w:p>
        </w:tc>
      </w:tr>
    </w:tbl>
    <w:p>
      <w:pPr>
        <w:pStyle w:val="BodyText"/>
      </w:pPr>
      <w:r>
        <w:t xml:space="preserve">These are valid → special → valid events. In November 2018, each savings ratio</w:t>
      </w:r>
      <w:r>
        <w:t xml:space="preserve"> </w:t>
      </w:r>
      <w:r>
        <w:t xml:space="preserve">also had 10,209 valid-to-special transitions, approximately 14.60% of its</w:t>
      </w:r>
      <w:r>
        <w:t xml:space="preserve"> </w:t>
      </w:r>
      <w:r>
        <w:t xml:space="preserve">eligible reference pairs.</w:t>
      </w:r>
      <w:r>
        <w:t xml:space="preserve"> </w:t>
      </w:r>
      <w:r>
        <w:rPr>
          <w:rStyle w:val="VerbatimChar"/>
        </w:rPr>
        <w:t xml:space="preserve">CHQ_LMT_UTIL_AVG_BAL_6M</w:t>
      </w:r>
      <w:r>
        <w:t xml:space="preserve"> </w:t>
      </w:r>
      <w:r>
        <w:t xml:space="preserve">had 2,324 valid-to-missing</w:t>
      </w:r>
      <w:r>
        <w:t xml:space="preserve"> </w:t>
      </w:r>
      <w:r>
        <w:t xml:space="preserve">transitions in the same month (10.77%).</w:t>
      </w:r>
    </w:p>
    <w:p>
      <w:pPr>
        <w:pStyle w:val="BodyText"/>
      </w:pPr>
      <w:r>
        <w:t xml:space="preserve">The selected December 2011 row for</w:t>
      </w:r>
      <w:r>
        <w:t xml:space="preserve"> </w:t>
      </w:r>
      <w:r>
        <w:rPr>
          <w:rStyle w:val="VerbatimChar"/>
        </w:rPr>
        <w:t xml:space="preserve">MV_PCKG_AVG_PAY_TO_BAL_L6M_RT</w:t>
      </w:r>
      <w:r>
        <w:t xml:space="preserve"> </w:t>
      </w:r>
      <w:r>
        <w:t xml:space="preserve">contains</w:t>
      </w:r>
      <w:r>
        <w:t xml:space="preserve"> </w:t>
      </w:r>
      <w:r>
        <w:t xml:space="preserve">308 temporary special-value events. It is a lower-volume observation.</w:t>
      </w:r>
    </w:p>
    <w:p>
      <w:pPr>
        <w:pStyle w:val="BodyText"/>
      </w:pPr>
      <w:r>
        <w:rPr>
          <w:b/>
          <w:bCs/>
        </w:rPr>
        <w:t xml:space="preserve">Question for CDAO:</w:t>
      </w:r>
      <w:r>
        <w:t xml:space="preserve"> </w:t>
      </w:r>
      <w:r>
        <w:t xml:space="preserve">What explains these temporary special values and the</w:t>
      </w:r>
      <w:r>
        <w:t xml:space="preserve"> </w:t>
      </w:r>
      <w:r>
        <w:t xml:space="preserve">November 2018 changes? Please identify the special codes and relevant input</w:t>
      </w:r>
      <w:r>
        <w:t xml:space="preserve"> </w:t>
      </w:r>
      <w:r>
        <w:t xml:space="preserve">availability or processing changes. Account overlap is not established here.</w:t>
      </w:r>
    </w:p>
    <w:p>
      <w:pPr>
        <w:pStyle w:val="BodyText"/>
      </w:pPr>
      <w:r>
        <w:rPr>
          <w:i/>
          <w:iCs/>
        </w:rPr>
        <w:t xml:space="preserve">Evidence: Numeric_POU; account-level special-code extracts are not included.</w:t>
      </w:r>
    </w:p>
    <w:bookmarkEnd w:id="22"/>
    <w:bookmarkStart w:id="23" w:name="X7a51411d2bd6adede3a56e0f27ebdaf72a24871"/>
    <w:p>
      <w:pPr>
        <w:pStyle w:val="Heading2"/>
      </w:pPr>
      <w:r>
        <w:t>3. Large historical movements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November 2007 — CHQ_LMT_UTIL_AVG_BAL_6M:</w:t>
      </w:r>
      <w:r>
        <w:t xml:space="preserve"> </w:t>
      </w:r>
      <w:r>
        <w:t xml:space="preserve">133,607 values became special</w:t>
      </w:r>
      <w:r>
        <w:t xml:space="preserve"> </w:t>
      </w:r>
      <w:r>
        <w:t xml:space="preserve">(81.00% of eligible reference pairs); 11,257 met the numeric-jump limits</w:t>
      </w:r>
      <w:r>
        <w:t xml:space="preserve"> </w:t>
      </w:r>
      <w:r>
        <w:t xml:space="preserve">(35.92% of valid pairs).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January 2006 — CUST_ALL_C_PYMTS_CR_AVG_L6M_AMT:</w:t>
      </w:r>
      <w:r>
        <w:t xml:space="preserve"> </w:t>
      </w:r>
      <w:r>
        <w:t xml:space="preserve">47,179 values met the</w:t>
      </w:r>
      <w:r>
        <w:t xml:space="preserve"> </w:t>
      </w:r>
      <w:r>
        <w:t xml:space="preserve">numeric-jump limits (35.15% of valid pairs).</w:t>
      </w:r>
    </w:p>
    <w:p>
      <w:pPr>
        <w:pStyle w:val="FirstParagraph"/>
      </w:pPr>
      <w:r>
        <w:rPr>
          <w:b/>
          <w:bCs/>
        </w:rPr>
        <w:t xml:space="preserve">Question for CDAO:</w:t>
      </w:r>
      <w:r>
        <w:t xml:space="preserve"> </w:t>
      </w:r>
      <w:r>
        <w:t xml:space="preserve">Do these movements reflect changes in source coverage,</w:t>
      </w:r>
      <w:r>
        <w:t xml:space="preserve"> </w:t>
      </w:r>
      <w:r>
        <w:t xml:space="preserve">field population or processing? Please explain the affected months. Direction</w:t>
      </w:r>
      <w:r>
        <w:t xml:space="preserve"> </w:t>
      </w:r>
      <w:r>
        <w:t xml:space="preserve">and underlying values have not been established from the summaries.</w:t>
      </w:r>
    </w:p>
    <w:p>
      <w:pPr>
        <w:pStyle w:val="BodyText"/>
      </w:pPr>
      <w:r>
        <w:rPr>
          <w:i/>
          <w:iCs/>
        </w:rPr>
        <w:t xml:space="preserve">Evidence: Numeric_POU.</w:t>
      </w:r>
    </w:p>
    <w:bookmarkEnd w:id="23"/>
    <w:bookmarkStart w:id="25" w:name="lower-priority-categorical-observations"/>
    <w:p>
      <w:pPr>
        <w:pStyle w:val="Heading2"/>
      </w:pPr>
      <w:r>
        <w:t>Lower-priority observations</w:t>
      </w:r>
    </w:p>
    <w:p>
      <w:pPr>
        <w:pStyle w:val="Heading3"/>
      </w:pPr>
      <w:r>
        <w:t>December 2013: limited temporary gaps requiring clarification</w:t>
      </w:r>
    </w:p>
    <w:p>
      <w:pPr>
        <w:pStyle w:val="FirstParagraph"/>
      </w:pPr>
      <w:r>
        <w:rPr>
          <w:rStyle w:val="VerbatimChar"/>
        </w:rPr>
        <w:t xml:space="preserve">Numeric_Specific</w:t>
      </w:r>
      <w:r>
        <w:t xml:space="preserve"> </w:t>
      </w:r>
      <w:r>
        <w:t xml:space="preserve">contains 128</w:t>
      </w:r>
      <w:r>
        <w:t xml:space="preserve"> </w:t>
      </w:r>
      <w:r>
        <w:rPr>
          <w:rStyle w:val="VerbatimChar"/>
        </w:rPr>
        <w:t xml:space="preserve">PCKG_REPAY_AMT</w:t>
      </w:r>
      <w:r>
        <w:t xml:space="preserve"> </w:t>
      </w:r>
      <w:r>
        <w:t xml:space="preserve">observations that were populated</w:t>
      </w:r>
      <w:r>
        <w:t xml:space="preserve"> </w:t>
      </w:r>
      <w:r>
        <w:t xml:space="preserve">in November, missing in December and populated again in January. It also shows</w:t>
      </w:r>
      <w:r>
        <w:t xml:space="preserve"> </w:t>
      </w:r>
      <w:r>
        <w:t xml:space="preserve">43 temporary</w:t>
      </w:r>
      <w:r>
        <w:t xml:space="preserve"> </w:t>
      </w:r>
      <w:r>
        <w:rPr>
          <w:rStyle w:val="VerbatimChar"/>
        </w:rPr>
        <w:t xml:space="preserve">-999993</w:t>
      </w:r>
      <w:r>
        <w:t xml:space="preserve"> </w:t>
      </w:r>
      <w:r>
        <w:t xml:space="preserve">values in</w:t>
      </w:r>
      <w:r>
        <w:t xml:space="preserve"> </w:t>
      </w:r>
      <w:r>
        <w:rPr>
          <w:rStyle w:val="VerbatimChar"/>
        </w:rPr>
        <w:t xml:space="preserve">MV_PCKG_LOAN_TO_INC_RT</w:t>
      </w:r>
      <w:r>
        <w:t xml:space="preserve"> </w:t>
      </w:r>
      <w:r>
        <w:t xml:space="preserve">and 60 in</w:t>
      </w:r>
      <w:r>
        <w:t xml:space="preserve"> </w:t>
      </w:r>
      <w:r>
        <w:rPr>
          <w:rStyle w:val="VerbatimChar"/>
        </w:rPr>
        <w:t xml:space="preserve">MV_PCKG_REPAY_TO_INC_RT</w:t>
      </w:r>
      <w:r>
        <w:t xml:space="preserve">. All 43 loan-to-income values returned exactly to their</w:t>
      </w:r>
      <w:r>
        <w:t xml:space="preserve"> </w:t>
      </w:r>
      <w:r>
        <w:t xml:space="preserve">November value in January.</w:t>
      </w:r>
    </w:p>
    <w:p>
      <w:pPr>
        <w:pStyle w:val="BodyText"/>
      </w:pPr>
      <w:r>
        <w:t xml:space="preserve">Separately,</w:t>
      </w:r>
      <w:r>
        <w:t xml:space="preserve"> </w:t>
      </w:r>
      <w:r>
        <w:rPr>
          <w:rStyle w:val="VerbatimChar"/>
        </w:rPr>
        <w:t xml:space="preserve">Categorical_POU</w:t>
      </w:r>
      <w:r>
        <w:t xml:space="preserve"> </w:t>
      </w:r>
      <w:r>
        <w:t xml:space="preserve">records 111 temporary missing</w:t>
      </w:r>
      <w:r>
        <w:t xml:space="preserve"> </w:t>
      </w:r>
      <w:r>
        <w:rPr>
          <w:rStyle w:val="VerbatimChar"/>
        </w:rPr>
        <w:t xml:space="preserve">REPAY_TYPE_CD</w:t>
      </w:r>
      <w:r>
        <w:t xml:space="preserve"> </w:t>
      </w:r>
      <w:r>
        <w:t xml:space="preserve">events in December. It does not show their individual account sequences.</w:t>
      </w:r>
    </w:p>
    <w:p>
      <w:pPr>
        <w:pStyle w:val="BodyText"/>
      </w:pPr>
      <w:r>
        <w:t>Treat this as a lower-priority historical observation. The eligible-population percentage and downstream impact are not established in this report, so the count alone does not demonstrate a material issue. Account overlap across these fields has not been established.</w:t>
      </w:r>
    </w:p>
    <w:p>
      <w:pPr>
        <w:pStyle w:val="BodyText"/>
      </w:pPr>
      <w:r>
        <w:rPr>
          <w:b/>
          <w:bCs/>
        </w:rPr>
      </w:r>
      <w:r/>
      <w:r/>
      <w:r/>
      <w:r/>
      <w:r>
        <w:rPr>
          <w:b/>
        </w:rPr>
        <w:t xml:space="preserve">Question for CDAO: </w:t>
      </w:r>
      <w:r>
        <w:t>Please explain whether these temporary December 2013 gaps were expected processing effects and whether they affected downstream use.</w:t>
      </w:r>
    </w:p>
    <w:p>
      <w:pPr>
        <w:pStyle w:val="BodyText"/>
      </w:pPr>
      <w:r>
        <w:rPr>
          <w:i/>
          <w:iCs/>
        </w:rPr>
        <w:t xml:space="preserve">Evidence: Numeric_Specific, Numeric_POU and Categorical_POU.</w:t>
      </w:r>
    </w:p>
    <w:p>
      <w:pPr>
        <w:pStyle w:val="Heading3"/>
      </w:pPr>
      <w:r>
        <w:t>Categorical observations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REPAY_TYPE_CD</w:t>
      </w:r>
      <w:r>
        <w:t xml:space="preserve"> </w:t>
      </w:r>
      <w:r>
        <w:t xml:space="preserve">has 654 category reversions, mainly</w:t>
      </w:r>
      <w:r>
        <w:t xml:space="preserve"> </w:t>
      </w:r>
      <w:r>
        <w:rPr>
          <w:rStyle w:val="VerbatimChar"/>
        </w:rPr>
        <w:t xml:space="preserve">3 → 1 → 3</w:t>
      </w:r>
      <w:r>
        <w:t xml:space="preserve"> </w:t>
      </w:r>
      <w:r>
        <w:t xml:space="preserve">(441)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 → 1 → 2</w:t>
      </w:r>
      <w:r>
        <w:t xml:space="preserve"> </w:t>
      </w:r>
      <w:r>
        <w:t xml:space="preserve">(63). Please confirm whether these are genuine temporary</w:t>
      </w:r>
      <w:r>
        <w:t xml:space="preserve"> </w:t>
      </w:r>
      <w:r>
        <w:t xml:space="preserve">arrangements or processing effects.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PCKG_2ND_INC_OCC_DESC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PCKG_HI_INC_OCC_DESC</w:t>
      </w:r>
      <w:r>
        <w:t xml:space="preserve"> </w:t>
      </w:r>
      <w:r>
        <w:t xml:space="preserve">have 639 and 4,298</w:t>
      </w:r>
      <w:r>
        <w:t xml:space="preserve"> </w:t>
      </w:r>
      <w:r>
        <w:t xml:space="preserve">transitions to missing. The selected monthly examples are in 2005/2007.</w:t>
      </w:r>
      <w:r>
        <w:t xml:space="preserve"> </w:t>
      </w:r>
      <w:r>
        <w:t xml:space="preserve">Please explain whether these reflect expected historical availability.</w:t>
      </w:r>
    </w:p>
    <w:p>
      <w:pPr>
        <w:pStyle w:val="FirstParagraph"/>
      </w:pPr>
      <w:r>
        <w:rPr>
          <w:i/>
          <w:iCs/>
        </w:rPr>
        <w:t xml:space="preserve">Evidence: Categorical_Overall, Categorical_POU and Categorical_Specific.</w:t>
      </w:r>
    </w:p>
    <w:p>
      <w:pPr>
        <w:pStyle w:val="BodyText"/>
      </w:pPr>
      <w:hyperlink r:id="rId24">
        <w:r>
          <w:rPr>
            <w:rStyle w:val="Hyperlink"/>
          </w:rPr>
          <w:t xml:space="preserve">Working workbook</w:t>
        </w:r>
      </w:hyperlink>
    </w:p>
    <w:bookmarkEnd w:id="25"/>
    <w:bookmarkEnd w:id="26"/>
    <w:sectPr>
      <w:pgSz w:w="11909" w:h="16834"/>
      <w:pgMar w:left="792" w:right="792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I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2" w:lineRule="auto"/>
    </w:pPr>
    <w:rPr>
      <w:rFonts w:ascii="Calibri" w:hAnsi="Calibri"/>
      <w:color w:val="1D252C"/>
      <w:sz w:val="20"/>
    </w:rPr>
  </w:style>
  <w:style w:styleId="BodyText" w:type="paragraph">
    <w:name w:val="Body Text"/>
    <w:basedOn w:val="Normal"/>
    <w:link w:val="BodyTextChar"/>
    <w:qFormat/>
    <w:pPr>
      <w:spacing w:after="120" w:before="180" w:line="252" w:lineRule="auto"/>
    </w:pPr>
    <w:rPr>
      <w:rFonts w:ascii="Calibri" w:hAnsi="Calibri"/>
      <w:color w:val="1D252C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line="252" w:lineRule="auto"/>
    </w:pPr>
    <w:rPr>
      <w:rFonts w:ascii="Calibri" w:hAnsi="Calibri"/>
      <w:color w:val="1D252C"/>
      <w:sz w:val="20"/>
    </w:rPr>
  </w:style>
  <w:style w:customStyle="1" w:styleId="Compact" w:type="paragraph">
    <w:name w:val="Compact"/>
    <w:basedOn w:val="BodyText"/>
    <w:qFormat/>
    <w:pPr>
      <w:spacing w:after="120" w:before="36" w:line="252" w:lineRule="auto"/>
    </w:pPr>
    <w:rPr>
      <w:rFonts w:ascii="Calibri" w:hAnsi="Calibri"/>
      <w:color w:val="1D252C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180"/>
      <w:jc w:val="center"/>
    </w:pPr>
    <w:rPr>
      <w:rFonts w:asciiTheme="majorHAnsi" w:cstheme="majorBidi" w:eastAsiaTheme="majorEastAsia" w:hAnsiTheme="majorHAnsi" w:ascii="Calibri" w:hAnsi="Calibri"/>
      <w:b/>
      <w:bCs/>
      <w:color w:val="FC4C02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1D252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color w:val="1D252C"/>
    </w:rPr>
  </w:style>
  <w:style w:styleId="Date" w:type="paragraph">
    <w:name w:val="Date"/>
    <w:next w:val="BodyText"/>
    <w:qFormat/>
    <w:pPr>
      <w:keepNext/>
      <w:keepLines/>
      <w:jc w:val="center"/>
    </w:pPr>
    <w:rPr>
      <w:color w:val="1D252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1D252C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color w:val="1D252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color w:val="1D252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180"/>
      <w:outlineLvl w:val="0"/>
    </w:pPr>
    <w:rPr>
      <w:rFonts w:asciiTheme="majorHAnsi" w:cstheme="majorBidi" w:eastAsiaTheme="majorEastAsia" w:hAnsiTheme="majorHAnsi" w:ascii="Calibri" w:hAnsi="Calibri"/>
      <w:b/>
      <w:bCs/>
      <w:color w:val="FC4C02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180"/>
      <w:outlineLvl w:val="1"/>
    </w:pPr>
    <w:rPr>
      <w:rFonts w:asciiTheme="majorHAnsi" w:cstheme="majorBidi" w:eastAsiaTheme="majorEastAsia" w:hAnsiTheme="majorHAnsi" w:ascii="Calibri" w:hAnsi="Calibri"/>
      <w:b/>
      <w:bCs/>
      <w:color w:val="FC4C02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160"/>
      <w:outlineLvl w:val="2"/>
    </w:pPr>
    <w:rPr>
      <w:rFonts w:asciiTheme="majorHAnsi" w:cstheme="majorBidi" w:eastAsiaTheme="majorEastAsia" w:hAnsiTheme="majorHAnsi" w:ascii="Calibri" w:hAnsi="Calibri"/>
      <w:b/>
      <w:bCs/>
      <w:color w:val="FC4C02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val="1D252C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1D252C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1D252C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1D252C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1D252C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1D252C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color w:val="1D252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color w:val="1D252C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color w:val="1D252C"/>
    </w:rPr>
  </w:style>
  <w:style w:default="1" w:styleId="DefaultParagraphFont" w:type="character">
    <w:name w:val="Default Paragraph Font"/>
    <w:semiHidden/>
    <w:unhideWhenUsed/>
    <w:rPr>
      <w:color w:val="1D252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color w:val="1D252C"/>
    </w:rPr>
  </w:style>
  <w:style w:customStyle="1" w:styleId="Definition" w:type="paragraph">
    <w:name w:val="Definition"/>
    <w:basedOn w:val="Normal"/>
    <w:rPr>
      <w:color w:val="1D252C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1D252C"/>
    </w:rPr>
  </w:style>
  <w:style w:customStyle="1" w:styleId="TableCaption" w:type="paragraph">
    <w:name w:val="Table Caption"/>
    <w:basedOn w:val="Caption"/>
    <w:pPr>
      <w:keepNext/>
    </w:pPr>
    <w:rPr>
      <w:color w:val="1D252C"/>
    </w:rPr>
  </w:style>
  <w:style w:customStyle="1" w:styleId="ImageCaption" w:type="paragraph">
    <w:name w:val="Image Caption"/>
    <w:basedOn w:val="Caption"/>
    <w:rPr>
      <w:color w:val="1D252C"/>
    </w:rPr>
  </w:style>
  <w:style w:customStyle="1" w:styleId="Figure" w:type="paragraph">
    <w:name w:val="Figure"/>
    <w:basedOn w:val="Normal"/>
    <w:rPr>
      <w:color w:val="1D252C"/>
    </w:rPr>
  </w:style>
  <w:style w:customStyle="1" w:styleId="CaptionedFigure" w:type="paragraph">
    <w:name w:val="Captioned Figure"/>
    <w:basedOn w:val="Figure"/>
    <w:pPr>
      <w:keepNext/>
    </w:pPr>
    <w:rPr>
      <w:color w:val="1D252C"/>
    </w:rPr>
  </w:style>
  <w:style w:customStyle="1" w:styleId="BodyTextChar" w:type="character">
    <w:name w:val="Body Text Char"/>
    <w:basedOn w:val="DefaultParagraphFont"/>
    <w:link w:val="BodyText"/>
    <w:rPr>
      <w:color w:val="1D252C"/>
    </w:rPr>
  </w:style>
  <w:style w:customStyle="1" w:styleId="VerbatimChar" w:type="character">
    <w:name w:val="Verbatim Char"/>
    <w:basedOn w:val="BodyTextChar"/>
    <w:rPr>
      <w:rFonts w:ascii="Consolas" w:hAnsi="Consolas"/>
      <w:color w:val="1D252C"/>
      <w:sz w:val="22"/>
    </w:rPr>
  </w:style>
  <w:style w:customStyle="1" w:styleId="SectionNumber" w:type="character">
    <w:name w:val="Section Number"/>
    <w:basedOn w:val="BodyTextChar"/>
    <w:rPr>
      <w:color w:val="1D252C"/>
    </w:rPr>
  </w:style>
  <w:style w:styleId="FootnoteReference" w:type="character">
    <w:name w:val="Footnote Reference"/>
    <w:basedOn w:val="BodyTextChar"/>
    <w:rPr>
      <w:color w:val="1D252C"/>
      <w:vertAlign w:val="superscript"/>
    </w:rPr>
  </w:style>
  <w:style w:styleId="Hyperlink" w:type="character">
    <w:name w:val="Hyperlink"/>
    <w:basedOn w:val="BodyTextChar"/>
    <w:rPr>
      <w:color w:val="1D252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1D252C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color w:val="1D252C"/>
    </w:rPr>
  </w:style>
  <w:style w:type="character" w:customStyle="1" w:styleId="KeywordTok">
    <w:name w:val="KeywordTok"/>
    <w:basedOn w:val="VerbatimChar"/>
    <w:rPr>
      <w:b/>
      <w:color w:val="1D252C"/>
    </w:rPr>
  </w:style>
  <w:style w:type="character" w:customStyle="1" w:styleId="DataTypeTok">
    <w:name w:val="DataTypeTok"/>
    <w:basedOn w:val="VerbatimChar"/>
    <w:rPr>
      <w:color w:val="1D252C"/>
    </w:rPr>
  </w:style>
  <w:style w:type="character" w:customStyle="1" w:styleId="DecValTok">
    <w:name w:val="DecValTok"/>
    <w:basedOn w:val="VerbatimChar"/>
    <w:rPr>
      <w:color w:val="1D252C"/>
    </w:rPr>
  </w:style>
  <w:style w:type="character" w:customStyle="1" w:styleId="BaseNTok">
    <w:name w:val="BaseNTok"/>
    <w:basedOn w:val="VerbatimChar"/>
    <w:rPr>
      <w:color w:val="1D252C"/>
    </w:rPr>
  </w:style>
  <w:style w:type="character" w:customStyle="1" w:styleId="FloatTok">
    <w:name w:val="FloatTok"/>
    <w:basedOn w:val="VerbatimChar"/>
    <w:rPr>
      <w:color w:val="1D252C"/>
    </w:rPr>
  </w:style>
  <w:style w:type="character" w:customStyle="1" w:styleId="ConstantTok">
    <w:name w:val="ConstantTok"/>
    <w:basedOn w:val="VerbatimChar"/>
    <w:rPr>
      <w:color w:val="1D252C"/>
    </w:rPr>
  </w:style>
  <w:style w:type="character" w:customStyle="1" w:styleId="CharTok">
    <w:name w:val="CharTok"/>
    <w:basedOn w:val="VerbatimChar"/>
    <w:rPr>
      <w:color w:val="1D252C"/>
    </w:rPr>
  </w:style>
  <w:style w:type="character" w:customStyle="1" w:styleId="SpecialCharTok">
    <w:name w:val="SpecialCharTok"/>
    <w:basedOn w:val="VerbatimChar"/>
    <w:rPr>
      <w:color w:val="1D252C"/>
    </w:rPr>
  </w:style>
  <w:style w:type="character" w:customStyle="1" w:styleId="StringTok">
    <w:name w:val="StringTok"/>
    <w:basedOn w:val="VerbatimChar"/>
    <w:rPr>
      <w:color w:val="1D252C"/>
    </w:rPr>
  </w:style>
  <w:style w:type="character" w:customStyle="1" w:styleId="VerbatimStringTok">
    <w:name w:val="VerbatimStringTok"/>
    <w:basedOn w:val="VerbatimChar"/>
    <w:rPr>
      <w:color w:val="1D252C"/>
    </w:rPr>
  </w:style>
  <w:style w:type="character" w:customStyle="1" w:styleId="SpecialStringTok">
    <w:name w:val="SpecialStringTok"/>
    <w:basedOn w:val="VerbatimChar"/>
    <w:rPr>
      <w:color w:val="1D252C"/>
    </w:rPr>
  </w:style>
  <w:style w:type="character" w:customStyle="1" w:styleId="ImportTok">
    <w:name w:val="ImportTok"/>
    <w:basedOn w:val="VerbatimChar"/>
    <w:rPr>
      <w:b/>
      <w:color w:val="1D252C"/>
    </w:rPr>
  </w:style>
  <w:style w:type="character" w:customStyle="1" w:styleId="CommentTok">
    <w:name w:val="CommentTok"/>
    <w:basedOn w:val="VerbatimChar"/>
    <w:rPr>
      <w:i/>
      <w:color w:val="1D252C"/>
    </w:rPr>
  </w:style>
  <w:style w:type="character" w:customStyle="1" w:styleId="DocumentationTok">
    <w:name w:val="DocumentationTok"/>
    <w:basedOn w:val="VerbatimChar"/>
    <w:rPr>
      <w:i/>
      <w:color w:val="1D252C"/>
    </w:rPr>
  </w:style>
  <w:style w:type="character" w:customStyle="1" w:styleId="AnnotationTok">
    <w:name w:val="AnnotationTok"/>
    <w:basedOn w:val="VerbatimChar"/>
    <w:rPr>
      <w:b/>
      <w:i/>
      <w:color w:val="1D252C"/>
    </w:rPr>
  </w:style>
  <w:style w:type="character" w:customStyle="1" w:styleId="CommentVarTok">
    <w:name w:val="CommentVarTok"/>
    <w:basedOn w:val="VerbatimChar"/>
    <w:rPr>
      <w:b/>
      <w:i/>
      <w:color w:val="1D252C"/>
    </w:rPr>
  </w:style>
  <w:style w:type="character" w:customStyle="1" w:styleId="OtherTok">
    <w:name w:val="OtherTok"/>
    <w:basedOn w:val="VerbatimChar"/>
    <w:rPr>
      <w:color w:val="1D252C"/>
    </w:rPr>
  </w:style>
  <w:style w:type="character" w:customStyle="1" w:styleId="FunctionTok">
    <w:name w:val="FunctionTok"/>
    <w:basedOn w:val="VerbatimChar"/>
    <w:rPr>
      <w:color w:val="1D252C"/>
    </w:rPr>
  </w:style>
  <w:style w:type="character" w:customStyle="1" w:styleId="VariableTok">
    <w:name w:val="VariableTok"/>
    <w:basedOn w:val="VerbatimChar"/>
    <w:rPr>
      <w:color w:val="1D252C"/>
    </w:rPr>
  </w:style>
  <w:style w:type="character" w:customStyle="1" w:styleId="ControlFlowTok">
    <w:name w:val="ControlFlowTok"/>
    <w:basedOn w:val="VerbatimChar"/>
    <w:rPr>
      <w:b/>
      <w:color w:val="1D252C"/>
    </w:rPr>
  </w:style>
  <w:style w:type="character" w:customStyle="1" w:styleId="OperatorTok">
    <w:name w:val="OperatorTok"/>
    <w:basedOn w:val="VerbatimChar"/>
    <w:rPr>
      <w:color w:val="1D252C"/>
    </w:rPr>
  </w:style>
  <w:style w:type="character" w:customStyle="1" w:styleId="BuiltInTok">
    <w:name w:val="BuiltInTok"/>
    <w:basedOn w:val="VerbatimChar"/>
    <w:rPr>
      <w:color w:val="1D252C"/>
    </w:rPr>
  </w:style>
  <w:style w:type="character" w:customStyle="1" w:styleId="ExtensionTok">
    <w:name w:val="ExtensionTok"/>
    <w:basedOn w:val="VerbatimChar"/>
    <w:rPr>
      <w:color w:val="1D252C"/>
    </w:rPr>
  </w:style>
  <w:style w:type="character" w:customStyle="1" w:styleId="PreprocessorTok">
    <w:name w:val="PreprocessorTok"/>
    <w:basedOn w:val="VerbatimChar"/>
    <w:rPr>
      <w:color w:val="1D252C"/>
    </w:rPr>
  </w:style>
  <w:style w:type="character" w:customStyle="1" w:styleId="AttributeTok">
    <w:name w:val="AttributeTok"/>
    <w:basedOn w:val="VerbatimChar"/>
    <w:rPr>
      <w:color w:val="1D252C"/>
    </w:rPr>
  </w:style>
  <w:style w:type="character" w:customStyle="1" w:styleId="RegionMarkerTok">
    <w:name w:val="RegionMarkerTok"/>
    <w:basedOn w:val="VerbatimChar"/>
    <w:rPr>
      <w:color w:val="1D252C"/>
    </w:rPr>
  </w:style>
  <w:style w:type="character" w:customStyle="1" w:styleId="InformationTok">
    <w:name w:val="InformationTok"/>
    <w:basedOn w:val="VerbatimChar"/>
    <w:rPr>
      <w:b/>
      <w:i/>
      <w:color w:val="1D252C"/>
    </w:rPr>
  </w:style>
  <w:style w:type="character" w:customStyle="1" w:styleId="WarningTok">
    <w:name w:val="WarningTok"/>
    <w:basedOn w:val="VerbatimChar"/>
    <w:rPr>
      <w:b/>
      <w:i/>
      <w:color w:val="1D252C"/>
    </w:rPr>
  </w:style>
  <w:style w:type="character" w:customStyle="1" w:styleId="AlertTok">
    <w:name w:val="AlertTok"/>
    <w:basedOn w:val="VerbatimChar"/>
    <w:rPr>
      <w:b/>
      <w:color w:val="1D252C"/>
    </w:rPr>
  </w:style>
  <w:style w:type="character" w:customStyle="1" w:styleId="ErrorTok">
    <w:name w:val="ErrorTok"/>
    <w:basedOn w:val="VerbatimChar"/>
    <w:rPr>
      <w:b/>
      <w:color w:val="1D252C"/>
    </w:rPr>
  </w:style>
  <w:style w:type="character" w:customStyle="1" w:styleId="NormalTok">
    <w:name w:val="NormalTok"/>
    <w:basedOn w:val="VerbatimChar"/>
    <w:rPr>
      <w:color w:val="1D252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hyperlink" Target="RDS_account_level_review_workbook.xlsx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RDS_account_level_review_workbook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D252C"/>
      </a:dk1>
      <a:lt1>
        <a:srgbClr val="FFFFFF"/>
      </a:lt1>
      <a:dk2>
        <a:srgbClr val="1D252C"/>
      </a:dk2>
      <a:lt2>
        <a:srgbClr val="FFFFFF"/>
      </a:lt2>
      <a:accent1>
        <a:srgbClr val="FC4C02"/>
      </a:accent1>
      <a:accent2>
        <a:srgbClr val="FC4C02"/>
      </a:accent2>
      <a:accent3>
        <a:srgbClr val="FC4C02"/>
      </a:accent3>
      <a:accent4>
        <a:srgbClr val="FC4C02"/>
      </a:accent4>
      <a:accent5>
        <a:srgbClr val="FC4C02"/>
      </a:accent5>
      <a:accent6>
        <a:srgbClr val="FC4C02"/>
      </a:accent6>
      <a:hlink>
        <a:srgbClr val="FC4C02"/>
      </a:hlink>
      <a:folHlink>
        <a:srgbClr val="FC4C0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RDS account-level review</dc:title>
  <dc:creator/>
  <dc:language>en-IE</dc:language>
  <cp:keywords/>
  <dcterms:created xsi:type="dcterms:W3CDTF">2026-10-28T15:43:32Z</dcterms:created>
  <dcterms:modified xsi:type="dcterms:W3CDTF">2026-10-28T15:43:32Z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