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783BA" w14:textId="13E24EE6" w:rsidR="000A6DAE" w:rsidRPr="00944742" w:rsidRDefault="000D09C2" w:rsidP="0015424E">
      <w:pPr>
        <w:jc w:val="both"/>
        <w:rPr>
          <w:rFonts w:ascii="Times New Roman" w:hAnsi="Times New Roman" w:cs="Times New Roman"/>
        </w:rPr>
      </w:pPr>
      <w:r w:rsidRPr="00944742">
        <w:rPr>
          <w:rFonts w:ascii="Times New Roman" w:hAnsi="Times New Roman" w:cs="Times New Roman"/>
        </w:rPr>
        <w:t>The CNN-Transformer Time-Series (CTTS) Model, as inspired by the wor</w:t>
      </w:r>
      <w:r w:rsidR="000B39C2" w:rsidRPr="00944742">
        <w:rPr>
          <w:rFonts w:ascii="Times New Roman" w:hAnsi="Times New Roman" w:cs="Times New Roman"/>
        </w:rPr>
        <w:t xml:space="preserve">k done by JP. Morgan AI Research </w:t>
      </w:r>
      <w:sdt>
        <w:sdtPr>
          <w:rPr>
            <w:rFonts w:ascii="Times New Roman" w:hAnsi="Times New Roman" w:cs="Times New Roman"/>
          </w:rPr>
          <w:id w:val="-1014997054"/>
          <w:citation/>
        </w:sdtPr>
        <w:sdtContent>
          <w:r w:rsidR="000B39C2" w:rsidRPr="00944742">
            <w:rPr>
              <w:rFonts w:ascii="Times New Roman" w:hAnsi="Times New Roman" w:cs="Times New Roman"/>
            </w:rPr>
            <w:fldChar w:fldCharType="begin"/>
          </w:r>
          <w:r w:rsidR="001073BD">
            <w:rPr>
              <w:rFonts w:ascii="Times New Roman" w:hAnsi="Times New Roman" w:cs="Times New Roman"/>
            </w:rPr>
            <w:instrText xml:space="preserve">CITATION Zhe23 \l 18441 </w:instrText>
          </w:r>
          <w:r w:rsidR="000B39C2" w:rsidRPr="00944742">
            <w:rPr>
              <w:rFonts w:ascii="Times New Roman" w:hAnsi="Times New Roman" w:cs="Times New Roman"/>
            </w:rPr>
            <w:fldChar w:fldCharType="separate"/>
          </w:r>
          <w:r w:rsidR="001073BD" w:rsidRPr="001073BD">
            <w:rPr>
              <w:rFonts w:ascii="Times New Roman" w:hAnsi="Times New Roman" w:cs="Times New Roman"/>
              <w:noProof/>
            </w:rPr>
            <w:t>(Zhen Zeng, 2023)</w:t>
          </w:r>
          <w:r w:rsidR="000B39C2" w:rsidRPr="00944742">
            <w:rPr>
              <w:rFonts w:ascii="Times New Roman" w:hAnsi="Times New Roman" w:cs="Times New Roman"/>
            </w:rPr>
            <w:fldChar w:fldCharType="end"/>
          </w:r>
        </w:sdtContent>
      </w:sdt>
      <w:r w:rsidRPr="00944742">
        <w:rPr>
          <w:rFonts w:ascii="Times New Roman" w:hAnsi="Times New Roman" w:cs="Times New Roman"/>
        </w:rPr>
        <w:t>, is designed to classify asset price movements (Up/Down) based on time-series data. It combines convolutional neural networks (CNNs) with Transformer encoders, effectively leveraging the power of both architectures: local pattern detection (from CNN) and global context awareness</w:t>
      </w:r>
      <w:r w:rsidR="007212ED" w:rsidRPr="00944742">
        <w:rPr>
          <w:rFonts w:ascii="Times New Roman" w:hAnsi="Times New Roman" w:cs="Times New Roman"/>
        </w:rPr>
        <w:t>/</w:t>
      </w:r>
      <w:r w:rsidR="002C2633" w:rsidRPr="00944742">
        <w:rPr>
          <w:rFonts w:ascii="Times New Roman" w:hAnsi="Times New Roman" w:cs="Times New Roman"/>
        </w:rPr>
        <w:t xml:space="preserve">capturing long-term dependencies </w:t>
      </w:r>
      <w:r w:rsidRPr="00944742">
        <w:rPr>
          <w:rFonts w:ascii="Times New Roman" w:hAnsi="Times New Roman" w:cs="Times New Roman"/>
        </w:rPr>
        <w:t xml:space="preserve">(from Transformers). </w:t>
      </w:r>
      <w:r w:rsidR="00432BFF" w:rsidRPr="00944742">
        <w:rPr>
          <w:rFonts w:ascii="Times New Roman" w:hAnsi="Times New Roman" w:cs="Times New Roman"/>
        </w:rPr>
        <w:t xml:space="preserve">For the model, it receives an input sequence of shape (500,30), where 500 is the temporal length equating to roughly 2-years of trading </w:t>
      </w:r>
      <w:r w:rsidR="00064B6D" w:rsidRPr="00944742">
        <w:rPr>
          <w:rFonts w:ascii="Times New Roman" w:hAnsi="Times New Roman" w:cs="Times New Roman"/>
        </w:rPr>
        <w:t>period</w:t>
      </w:r>
      <w:r w:rsidR="00333B1B" w:rsidRPr="00944742">
        <w:rPr>
          <w:rFonts w:ascii="Times New Roman" w:hAnsi="Times New Roman" w:cs="Times New Roman"/>
        </w:rPr>
        <w:t xml:space="preserve"> </w:t>
      </w:r>
      <w:r w:rsidR="008C0BA0" w:rsidRPr="00944742">
        <w:rPr>
          <w:rFonts w:ascii="Times New Roman" w:hAnsi="Times New Roman" w:cs="Times New Roman"/>
        </w:rPr>
        <w:t>and 30 representing the features which includes the technical indicators and historical price attributes</w:t>
      </w:r>
      <w:r w:rsidR="00333B1B" w:rsidRPr="00944742">
        <w:rPr>
          <w:rFonts w:ascii="Times New Roman" w:hAnsi="Times New Roman" w:cs="Times New Roman"/>
        </w:rPr>
        <w:t>, as mentioned earlier in the data segment.</w:t>
      </w:r>
    </w:p>
    <w:p w14:paraId="16717F65" w14:textId="29375D23" w:rsidR="001D39A4" w:rsidRPr="00944742" w:rsidRDefault="004902F8" w:rsidP="0015424E">
      <w:pPr>
        <w:jc w:val="both"/>
        <w:rPr>
          <w:rFonts w:ascii="Times New Roman" w:hAnsi="Times New Roman" w:cs="Times New Roman"/>
        </w:rPr>
      </w:pPr>
      <w:r w:rsidRPr="00944742">
        <w:rPr>
          <w:rFonts w:ascii="Times New Roman" w:hAnsi="Times New Roman" w:cs="Times New Roman"/>
        </w:rPr>
        <w:t>The model begins with a 1D convolutional layer that extracts local temporal patterns from the input time series. This layer applies multiple filters</w:t>
      </w:r>
      <w:r w:rsidR="007F4034" w:rsidRPr="00944742">
        <w:rPr>
          <w:rFonts w:ascii="Times New Roman" w:hAnsi="Times New Roman" w:cs="Times New Roman"/>
        </w:rPr>
        <w:t xml:space="preserve">, </w:t>
      </w:r>
      <w:r w:rsidRPr="00944742">
        <w:rPr>
          <w:rFonts w:ascii="Times New Roman" w:hAnsi="Times New Roman" w:cs="Times New Roman"/>
        </w:rPr>
        <w:t>equal to the Transformer embedding dimension, with a specified kernel size and stride, allowing the model to down sample the sequence while learning high-level representations. Batch normali</w:t>
      </w:r>
      <w:r w:rsidR="005407FF" w:rsidRPr="00944742">
        <w:rPr>
          <w:rFonts w:ascii="Times New Roman" w:hAnsi="Times New Roman" w:cs="Times New Roman"/>
        </w:rPr>
        <w:t>s</w:t>
      </w:r>
      <w:r w:rsidRPr="00944742">
        <w:rPr>
          <w:rFonts w:ascii="Times New Roman" w:hAnsi="Times New Roman" w:cs="Times New Roman"/>
        </w:rPr>
        <w:t>ation is applied afterward to stabili</w:t>
      </w:r>
      <w:r w:rsidR="007F4034" w:rsidRPr="00944742">
        <w:rPr>
          <w:rFonts w:ascii="Times New Roman" w:hAnsi="Times New Roman" w:cs="Times New Roman"/>
        </w:rPr>
        <w:t>s</w:t>
      </w:r>
      <w:r w:rsidRPr="00944742">
        <w:rPr>
          <w:rFonts w:ascii="Times New Roman" w:hAnsi="Times New Roman" w:cs="Times New Roman"/>
        </w:rPr>
        <w:t>e and speed up training. Next, positional embeddings are added to the convolutional output to inject information about the position of tokens within the sequence, which is essential for the Transformer to process order-dependent data.</w:t>
      </w:r>
    </w:p>
    <w:p w14:paraId="1D276E92" w14:textId="3F93D430" w:rsidR="00D01DD1" w:rsidRPr="00944742" w:rsidRDefault="00D01DD1" w:rsidP="0015424E">
      <w:pPr>
        <w:jc w:val="both"/>
        <w:rPr>
          <w:rFonts w:ascii="Times New Roman" w:hAnsi="Times New Roman" w:cs="Times New Roman"/>
        </w:rPr>
      </w:pPr>
      <w:r w:rsidRPr="00944742">
        <w:rPr>
          <w:rFonts w:ascii="Times New Roman" w:hAnsi="Times New Roman" w:cs="Times New Roman"/>
        </w:rPr>
        <w:t>Following the embedding stage, the core of the model consists of a stack of Transformer encoder layers. Each encoder layer incorporates multi-head self-attention to learn dependencies across different time steps in the sequence, followed by a position-wise feed-forward network (FFN). Residual connections and layer normali</w:t>
      </w:r>
      <w:r w:rsidR="005407FF" w:rsidRPr="00944742">
        <w:rPr>
          <w:rFonts w:ascii="Times New Roman" w:hAnsi="Times New Roman" w:cs="Times New Roman"/>
        </w:rPr>
        <w:t>s</w:t>
      </w:r>
      <w:r w:rsidRPr="00944742">
        <w:rPr>
          <w:rFonts w:ascii="Times New Roman" w:hAnsi="Times New Roman" w:cs="Times New Roman"/>
        </w:rPr>
        <w:t>ation are used throughout to preserve information and ensure stable gradients. Dropout is applied in attention and FFN layers to mitigate overfitting. This structure enables the model to capture both short-term and long-term dependencies</w:t>
      </w:r>
      <w:r w:rsidR="000C5A1D" w:rsidRPr="00944742">
        <w:rPr>
          <w:rFonts w:ascii="Times New Roman" w:hAnsi="Times New Roman" w:cs="Times New Roman"/>
        </w:rPr>
        <w:t>, which could be vital in financial time-series forecasting</w:t>
      </w:r>
      <w:r w:rsidR="00164E85" w:rsidRPr="00944742">
        <w:rPr>
          <w:rFonts w:ascii="Times New Roman" w:hAnsi="Times New Roman" w:cs="Times New Roman"/>
        </w:rPr>
        <w:t xml:space="preserve">. </w:t>
      </w:r>
    </w:p>
    <w:p w14:paraId="5AC0F312" w14:textId="28412BF4" w:rsidR="0015424E" w:rsidRPr="00944742" w:rsidRDefault="0015424E" w:rsidP="0015424E">
      <w:pPr>
        <w:spacing w:before="100" w:beforeAutospacing="1" w:after="100" w:afterAutospacing="1"/>
        <w:jc w:val="both"/>
        <w:rPr>
          <w:rFonts w:ascii="Times New Roman" w:hAnsi="Times New Roman" w:cs="Times New Roman"/>
        </w:rPr>
      </w:pPr>
      <w:r w:rsidRPr="00944742">
        <w:rPr>
          <w:rFonts w:ascii="Times New Roman" w:hAnsi="Times New Roman" w:cs="Times New Roman"/>
        </w:rPr>
        <w:t xml:space="preserve">The output of the final Transformer layer is globally averaged across the time dimension, compressing the temporal information into a single fixed-size vector. This representation is passed through a dense layer with </w:t>
      </w:r>
      <w:proofErr w:type="spellStart"/>
      <w:r w:rsidRPr="00944742">
        <w:rPr>
          <w:rFonts w:ascii="Times New Roman" w:hAnsi="Times New Roman" w:cs="Times New Roman"/>
        </w:rPr>
        <w:t>ReLU</w:t>
      </w:r>
      <w:proofErr w:type="spellEnd"/>
      <w:r w:rsidRPr="00944742">
        <w:rPr>
          <w:rFonts w:ascii="Times New Roman" w:hAnsi="Times New Roman" w:cs="Times New Roman"/>
        </w:rPr>
        <w:t xml:space="preserve"> activation, followed by dropout for regulari</w:t>
      </w:r>
      <w:r w:rsidR="005407FF" w:rsidRPr="00944742">
        <w:rPr>
          <w:rFonts w:ascii="Times New Roman" w:hAnsi="Times New Roman" w:cs="Times New Roman"/>
        </w:rPr>
        <w:t>s</w:t>
      </w:r>
      <w:r w:rsidRPr="00944742">
        <w:rPr>
          <w:rFonts w:ascii="Times New Roman" w:hAnsi="Times New Roman" w:cs="Times New Roman"/>
        </w:rPr>
        <w:t>ation. Finally, a sigmoid-activated output layer predicts the binary class label—indicating the direction of stock movement. L2 regulari</w:t>
      </w:r>
      <w:r w:rsidR="005407FF" w:rsidRPr="00944742">
        <w:rPr>
          <w:rFonts w:ascii="Times New Roman" w:hAnsi="Times New Roman" w:cs="Times New Roman"/>
        </w:rPr>
        <w:t>s</w:t>
      </w:r>
      <w:r w:rsidRPr="00944742">
        <w:rPr>
          <w:rFonts w:ascii="Times New Roman" w:hAnsi="Times New Roman" w:cs="Times New Roman"/>
        </w:rPr>
        <w:t>ation is applied to the dense layers to further reduce the risk of overfitting.</w:t>
      </w:r>
    </w:p>
    <w:p w14:paraId="3739D541" w14:textId="55444ED3" w:rsidR="0015424E" w:rsidRPr="00944742" w:rsidRDefault="0015424E" w:rsidP="0015424E">
      <w:pPr>
        <w:spacing w:before="100" w:beforeAutospacing="1" w:after="100" w:afterAutospacing="1"/>
        <w:jc w:val="both"/>
        <w:rPr>
          <w:rFonts w:ascii="Times New Roman" w:hAnsi="Times New Roman" w:cs="Times New Roman"/>
        </w:rPr>
      </w:pPr>
      <w:r w:rsidRPr="00944742">
        <w:rPr>
          <w:rFonts w:ascii="Times New Roman" w:hAnsi="Times New Roman" w:cs="Times New Roman"/>
        </w:rPr>
        <w:t>During training, the model utili</w:t>
      </w:r>
      <w:r w:rsidR="005407FF" w:rsidRPr="00944742">
        <w:rPr>
          <w:rFonts w:ascii="Times New Roman" w:hAnsi="Times New Roman" w:cs="Times New Roman"/>
        </w:rPr>
        <w:t>s</w:t>
      </w:r>
      <w:r w:rsidRPr="00944742">
        <w:rPr>
          <w:rFonts w:ascii="Times New Roman" w:hAnsi="Times New Roman" w:cs="Times New Roman"/>
        </w:rPr>
        <w:t>es callbacks like early stopping and learning rate reduction to enhance convergence and generali</w:t>
      </w:r>
      <w:r w:rsidR="005407FF" w:rsidRPr="00944742">
        <w:rPr>
          <w:rFonts w:ascii="Times New Roman" w:hAnsi="Times New Roman" w:cs="Times New Roman"/>
        </w:rPr>
        <w:t>s</w:t>
      </w:r>
      <w:r w:rsidRPr="00944742">
        <w:rPr>
          <w:rFonts w:ascii="Times New Roman" w:hAnsi="Times New Roman" w:cs="Times New Roman"/>
        </w:rPr>
        <w:t>ation. It also accounts for class imbalance by computing and applying class weights dynamically. The CTTS architecture is particularly well-suited for financial applications due to its ability to model complex sequential dependencies and adapt to variable-length trends in time series data.</w:t>
      </w:r>
    </w:p>
    <w:p w14:paraId="4FD6DB24" w14:textId="14BCDC1A" w:rsidR="0015424E" w:rsidRPr="00944742" w:rsidRDefault="00644C47" w:rsidP="001D39A4">
      <w:pPr>
        <w:jc w:val="both"/>
        <w:rPr>
          <w:rFonts w:ascii="Times New Roman" w:hAnsi="Times New Roman" w:cs="Times New Roman"/>
        </w:rPr>
      </w:pPr>
      <w:r w:rsidRPr="00944742">
        <w:rPr>
          <w:rFonts w:ascii="Times New Roman" w:hAnsi="Times New Roman" w:cs="Times New Roman"/>
        </w:rPr>
        <w:t>The CTTS model used in this study is a modified version of the architecture proposed in the JP. Morgan AI Research paper. Several adjustments were made to better suit the characteristics of the dataset and improve model performance. These include increasing the batch size from 64 to 128, adding L2 kernel regulari</w:t>
      </w:r>
      <w:r w:rsidR="005407FF" w:rsidRPr="00944742">
        <w:rPr>
          <w:rFonts w:ascii="Times New Roman" w:hAnsi="Times New Roman" w:cs="Times New Roman"/>
        </w:rPr>
        <w:t>s</w:t>
      </w:r>
      <w:r w:rsidRPr="00944742">
        <w:rPr>
          <w:rFonts w:ascii="Times New Roman" w:hAnsi="Times New Roman" w:cs="Times New Roman"/>
        </w:rPr>
        <w:t>ation to reduce overfitting, and incorporating early stopping and learning rate reduction callbacks to stabili</w:t>
      </w:r>
      <w:r w:rsidR="000D5A2D" w:rsidRPr="00944742">
        <w:rPr>
          <w:rFonts w:ascii="Times New Roman" w:hAnsi="Times New Roman" w:cs="Times New Roman"/>
        </w:rPr>
        <w:t>se</w:t>
      </w:r>
      <w:r w:rsidRPr="00944742">
        <w:rPr>
          <w:rFonts w:ascii="Times New Roman" w:hAnsi="Times New Roman" w:cs="Times New Roman"/>
        </w:rPr>
        <w:t xml:space="preserve"> training and improve convergence. Additionally, the optimi</w:t>
      </w:r>
      <w:r w:rsidR="000D5A2D" w:rsidRPr="00944742">
        <w:rPr>
          <w:rFonts w:ascii="Times New Roman" w:hAnsi="Times New Roman" w:cs="Times New Roman"/>
        </w:rPr>
        <w:t>s</w:t>
      </w:r>
      <w:r w:rsidRPr="00944742">
        <w:rPr>
          <w:rFonts w:ascii="Times New Roman" w:hAnsi="Times New Roman" w:cs="Times New Roman"/>
        </w:rPr>
        <w:t xml:space="preserve">er was changed from </w:t>
      </w:r>
      <w:proofErr w:type="spellStart"/>
      <w:r w:rsidRPr="00944742">
        <w:rPr>
          <w:rFonts w:ascii="Times New Roman" w:hAnsi="Times New Roman" w:cs="Times New Roman"/>
        </w:rPr>
        <w:t>AdamW</w:t>
      </w:r>
      <w:proofErr w:type="spellEnd"/>
      <w:r w:rsidRPr="00944742">
        <w:rPr>
          <w:rFonts w:ascii="Times New Roman" w:hAnsi="Times New Roman" w:cs="Times New Roman"/>
        </w:rPr>
        <w:t xml:space="preserve"> to the standard Adam optimi</w:t>
      </w:r>
      <w:r w:rsidR="000D5A2D" w:rsidRPr="00944742">
        <w:rPr>
          <w:rFonts w:ascii="Times New Roman" w:hAnsi="Times New Roman" w:cs="Times New Roman"/>
        </w:rPr>
        <w:t>s</w:t>
      </w:r>
      <w:r w:rsidRPr="00944742">
        <w:rPr>
          <w:rFonts w:ascii="Times New Roman" w:hAnsi="Times New Roman" w:cs="Times New Roman"/>
        </w:rPr>
        <w:t>er, which provided comparable results with a simpler configuration.</w:t>
      </w:r>
    </w:p>
    <w:p w14:paraId="7732D838" w14:textId="77777777" w:rsidR="00ED3C02" w:rsidRPr="00944742" w:rsidRDefault="00ED3C02" w:rsidP="001D39A4">
      <w:pPr>
        <w:jc w:val="both"/>
        <w:rPr>
          <w:rFonts w:ascii="Times New Roman" w:hAnsi="Times New Roman" w:cs="Times New Roman"/>
        </w:rPr>
      </w:pPr>
    </w:p>
    <w:tbl>
      <w:tblPr>
        <w:tblStyle w:val="TableGrid"/>
        <w:tblW w:w="0" w:type="auto"/>
        <w:tblLook w:val="04A0" w:firstRow="1" w:lastRow="0" w:firstColumn="1" w:lastColumn="0" w:noHBand="0" w:noVBand="1"/>
      </w:tblPr>
      <w:tblGrid>
        <w:gridCol w:w="1803"/>
        <w:gridCol w:w="1803"/>
        <w:gridCol w:w="1803"/>
        <w:gridCol w:w="1803"/>
        <w:gridCol w:w="1804"/>
      </w:tblGrid>
      <w:tr w:rsidR="00D4710C" w:rsidRPr="00944742" w14:paraId="13C14A85" w14:textId="77777777" w:rsidTr="00A117A1">
        <w:tc>
          <w:tcPr>
            <w:tcW w:w="1803" w:type="dxa"/>
            <w:shd w:val="clear" w:color="auto" w:fill="E8E8E8" w:themeFill="background2"/>
            <w:vAlign w:val="center"/>
          </w:tcPr>
          <w:p w14:paraId="36118A03" w14:textId="239AE865" w:rsidR="00D4710C" w:rsidRPr="00944742" w:rsidRDefault="00D4710C" w:rsidP="00A117A1">
            <w:pPr>
              <w:jc w:val="center"/>
              <w:rPr>
                <w:rFonts w:ascii="Times New Roman" w:hAnsi="Times New Roman" w:cs="Times New Roman"/>
                <w:b/>
                <w:bCs/>
              </w:rPr>
            </w:pPr>
            <w:r w:rsidRPr="00944742">
              <w:rPr>
                <w:rFonts w:ascii="Times New Roman" w:hAnsi="Times New Roman" w:cs="Times New Roman"/>
                <w:b/>
                <w:bCs/>
              </w:rPr>
              <w:t>Scaler</w:t>
            </w:r>
          </w:p>
        </w:tc>
        <w:tc>
          <w:tcPr>
            <w:tcW w:w="1803" w:type="dxa"/>
            <w:shd w:val="clear" w:color="auto" w:fill="E8E8E8" w:themeFill="background2"/>
            <w:vAlign w:val="center"/>
          </w:tcPr>
          <w:p w14:paraId="59E858E6" w14:textId="2692901C" w:rsidR="00D4710C" w:rsidRPr="00944742" w:rsidRDefault="00D4710C" w:rsidP="00A117A1">
            <w:pPr>
              <w:jc w:val="center"/>
              <w:rPr>
                <w:rFonts w:ascii="Times New Roman" w:hAnsi="Times New Roman" w:cs="Times New Roman"/>
                <w:b/>
                <w:bCs/>
              </w:rPr>
            </w:pPr>
            <w:r w:rsidRPr="00944742">
              <w:rPr>
                <w:rFonts w:ascii="Times New Roman" w:hAnsi="Times New Roman" w:cs="Times New Roman"/>
                <w:b/>
                <w:bCs/>
              </w:rPr>
              <w:t>Target Variable</w:t>
            </w:r>
          </w:p>
        </w:tc>
        <w:tc>
          <w:tcPr>
            <w:tcW w:w="1803" w:type="dxa"/>
            <w:shd w:val="clear" w:color="auto" w:fill="E8E8E8" w:themeFill="background2"/>
            <w:vAlign w:val="center"/>
          </w:tcPr>
          <w:p w14:paraId="41A75828" w14:textId="3DB1CDEE" w:rsidR="00D4710C" w:rsidRPr="00944742" w:rsidRDefault="00D4710C" w:rsidP="00A117A1">
            <w:pPr>
              <w:jc w:val="center"/>
              <w:rPr>
                <w:rFonts w:ascii="Times New Roman" w:hAnsi="Times New Roman" w:cs="Times New Roman"/>
                <w:b/>
                <w:bCs/>
              </w:rPr>
            </w:pPr>
            <w:r w:rsidRPr="00944742">
              <w:rPr>
                <w:rFonts w:ascii="Times New Roman" w:hAnsi="Times New Roman" w:cs="Times New Roman"/>
                <w:b/>
                <w:bCs/>
              </w:rPr>
              <w:t xml:space="preserve">Train </w:t>
            </w:r>
            <w:proofErr w:type="spellStart"/>
            <w:r w:rsidRPr="00944742">
              <w:rPr>
                <w:rFonts w:ascii="Times New Roman" w:hAnsi="Times New Roman" w:cs="Times New Roman"/>
                <w:b/>
                <w:bCs/>
              </w:rPr>
              <w:t>Acc</w:t>
            </w:r>
            <w:proofErr w:type="spellEnd"/>
          </w:p>
        </w:tc>
        <w:tc>
          <w:tcPr>
            <w:tcW w:w="1803" w:type="dxa"/>
            <w:shd w:val="clear" w:color="auto" w:fill="E8E8E8" w:themeFill="background2"/>
            <w:vAlign w:val="center"/>
          </w:tcPr>
          <w:p w14:paraId="4BEDBFE3" w14:textId="38009A8F" w:rsidR="00D4710C" w:rsidRPr="00944742" w:rsidRDefault="00D4710C" w:rsidP="00A117A1">
            <w:pPr>
              <w:jc w:val="center"/>
              <w:rPr>
                <w:rFonts w:ascii="Times New Roman" w:hAnsi="Times New Roman" w:cs="Times New Roman"/>
                <w:b/>
                <w:bCs/>
              </w:rPr>
            </w:pPr>
            <w:r w:rsidRPr="00944742">
              <w:rPr>
                <w:rFonts w:ascii="Times New Roman" w:hAnsi="Times New Roman" w:cs="Times New Roman"/>
                <w:b/>
                <w:bCs/>
              </w:rPr>
              <w:t xml:space="preserve">Validation </w:t>
            </w:r>
            <w:proofErr w:type="spellStart"/>
            <w:r w:rsidRPr="00944742">
              <w:rPr>
                <w:rFonts w:ascii="Times New Roman" w:hAnsi="Times New Roman" w:cs="Times New Roman"/>
                <w:b/>
                <w:bCs/>
              </w:rPr>
              <w:t>Acc</w:t>
            </w:r>
            <w:proofErr w:type="spellEnd"/>
          </w:p>
        </w:tc>
        <w:tc>
          <w:tcPr>
            <w:tcW w:w="1804" w:type="dxa"/>
            <w:shd w:val="clear" w:color="auto" w:fill="E8E8E8" w:themeFill="background2"/>
            <w:vAlign w:val="center"/>
          </w:tcPr>
          <w:p w14:paraId="7AE73AA2" w14:textId="55E9C734" w:rsidR="00D4710C" w:rsidRPr="00944742" w:rsidRDefault="00D4710C" w:rsidP="00A117A1">
            <w:pPr>
              <w:jc w:val="center"/>
              <w:rPr>
                <w:rFonts w:ascii="Times New Roman" w:hAnsi="Times New Roman" w:cs="Times New Roman"/>
                <w:b/>
                <w:bCs/>
              </w:rPr>
            </w:pPr>
            <w:r w:rsidRPr="00944742">
              <w:rPr>
                <w:rFonts w:ascii="Times New Roman" w:hAnsi="Times New Roman" w:cs="Times New Roman"/>
                <w:b/>
                <w:bCs/>
              </w:rPr>
              <w:t>Test AUC</w:t>
            </w:r>
          </w:p>
        </w:tc>
      </w:tr>
      <w:tr w:rsidR="00D4710C" w:rsidRPr="00944742" w14:paraId="2102BF8F" w14:textId="77777777" w:rsidTr="00A117A1">
        <w:tc>
          <w:tcPr>
            <w:tcW w:w="1803" w:type="dxa"/>
            <w:vAlign w:val="center"/>
          </w:tcPr>
          <w:p w14:paraId="795498EB" w14:textId="402136FB" w:rsidR="00D4710C" w:rsidRPr="00944742" w:rsidRDefault="00D4710C" w:rsidP="00A117A1">
            <w:pPr>
              <w:jc w:val="center"/>
              <w:rPr>
                <w:rFonts w:ascii="Times New Roman" w:hAnsi="Times New Roman" w:cs="Times New Roman"/>
              </w:rPr>
            </w:pPr>
            <w:proofErr w:type="spellStart"/>
            <w:r w:rsidRPr="00944742">
              <w:rPr>
                <w:rFonts w:ascii="Times New Roman" w:hAnsi="Times New Roman" w:cs="Times New Roman"/>
              </w:rPr>
              <w:t>MinMax</w:t>
            </w:r>
            <w:proofErr w:type="spellEnd"/>
          </w:p>
        </w:tc>
        <w:tc>
          <w:tcPr>
            <w:tcW w:w="1803" w:type="dxa"/>
            <w:vAlign w:val="center"/>
          </w:tcPr>
          <w:p w14:paraId="3D7B6FF3" w14:textId="7F733ECA" w:rsidR="00D4710C" w:rsidRPr="00944742" w:rsidRDefault="00D4710C" w:rsidP="00A117A1">
            <w:pPr>
              <w:jc w:val="center"/>
              <w:rPr>
                <w:rFonts w:ascii="Times New Roman" w:hAnsi="Times New Roman" w:cs="Times New Roman"/>
              </w:rPr>
            </w:pPr>
            <w:r w:rsidRPr="00944742">
              <w:rPr>
                <w:rFonts w:ascii="Times New Roman" w:hAnsi="Times New Roman" w:cs="Times New Roman"/>
              </w:rPr>
              <w:t>R01</w:t>
            </w:r>
          </w:p>
        </w:tc>
        <w:tc>
          <w:tcPr>
            <w:tcW w:w="1803" w:type="dxa"/>
            <w:vAlign w:val="center"/>
          </w:tcPr>
          <w:p w14:paraId="43828B6D" w14:textId="506D4E2F" w:rsidR="00D4710C" w:rsidRPr="00944742" w:rsidRDefault="003324D9" w:rsidP="00A117A1">
            <w:pPr>
              <w:jc w:val="center"/>
              <w:rPr>
                <w:rFonts w:ascii="Times New Roman" w:hAnsi="Times New Roman" w:cs="Times New Roman"/>
              </w:rPr>
            </w:pPr>
            <w:r w:rsidRPr="00944742">
              <w:rPr>
                <w:rFonts w:ascii="Times New Roman" w:hAnsi="Times New Roman" w:cs="Times New Roman"/>
              </w:rPr>
              <w:t>50.9%</w:t>
            </w:r>
          </w:p>
        </w:tc>
        <w:tc>
          <w:tcPr>
            <w:tcW w:w="1803" w:type="dxa"/>
            <w:vAlign w:val="center"/>
          </w:tcPr>
          <w:p w14:paraId="022BBFC0" w14:textId="417404E8" w:rsidR="00D4710C" w:rsidRPr="00944742" w:rsidRDefault="003324D9" w:rsidP="00A117A1">
            <w:pPr>
              <w:jc w:val="center"/>
              <w:rPr>
                <w:rFonts w:ascii="Times New Roman" w:hAnsi="Times New Roman" w:cs="Times New Roman"/>
              </w:rPr>
            </w:pPr>
            <w:r w:rsidRPr="00944742">
              <w:rPr>
                <w:rFonts w:ascii="Times New Roman" w:hAnsi="Times New Roman" w:cs="Times New Roman"/>
              </w:rPr>
              <w:t>47.2%</w:t>
            </w:r>
          </w:p>
        </w:tc>
        <w:tc>
          <w:tcPr>
            <w:tcW w:w="1804" w:type="dxa"/>
            <w:vAlign w:val="center"/>
          </w:tcPr>
          <w:p w14:paraId="6367D27C" w14:textId="52AB5868" w:rsidR="00D4710C" w:rsidRPr="00944742" w:rsidRDefault="003324D9" w:rsidP="00A117A1">
            <w:pPr>
              <w:jc w:val="center"/>
              <w:rPr>
                <w:rFonts w:ascii="Times New Roman" w:hAnsi="Times New Roman" w:cs="Times New Roman"/>
              </w:rPr>
            </w:pPr>
            <w:r w:rsidRPr="00944742">
              <w:rPr>
                <w:rFonts w:ascii="Times New Roman" w:hAnsi="Times New Roman" w:cs="Times New Roman"/>
              </w:rPr>
              <w:t>49%</w:t>
            </w:r>
          </w:p>
        </w:tc>
      </w:tr>
      <w:tr w:rsidR="00D4710C" w:rsidRPr="00944742" w14:paraId="0073439B" w14:textId="77777777" w:rsidTr="00A117A1">
        <w:tc>
          <w:tcPr>
            <w:tcW w:w="1803" w:type="dxa"/>
            <w:vAlign w:val="center"/>
          </w:tcPr>
          <w:p w14:paraId="017B99A2" w14:textId="2765AE4D" w:rsidR="00D4710C" w:rsidRPr="00944742" w:rsidRDefault="00D4710C" w:rsidP="00A117A1">
            <w:pPr>
              <w:jc w:val="center"/>
              <w:rPr>
                <w:rFonts w:ascii="Times New Roman" w:hAnsi="Times New Roman" w:cs="Times New Roman"/>
              </w:rPr>
            </w:pPr>
            <w:proofErr w:type="spellStart"/>
            <w:r w:rsidRPr="00944742">
              <w:rPr>
                <w:rFonts w:ascii="Times New Roman" w:hAnsi="Times New Roman" w:cs="Times New Roman"/>
              </w:rPr>
              <w:t>MinMax</w:t>
            </w:r>
            <w:proofErr w:type="spellEnd"/>
          </w:p>
        </w:tc>
        <w:tc>
          <w:tcPr>
            <w:tcW w:w="1803" w:type="dxa"/>
            <w:vAlign w:val="center"/>
          </w:tcPr>
          <w:p w14:paraId="7DC196AB" w14:textId="578A45EF" w:rsidR="00D4710C" w:rsidRPr="00944742" w:rsidRDefault="00D4710C" w:rsidP="00A117A1">
            <w:pPr>
              <w:jc w:val="center"/>
              <w:rPr>
                <w:rFonts w:ascii="Times New Roman" w:hAnsi="Times New Roman" w:cs="Times New Roman"/>
              </w:rPr>
            </w:pPr>
            <w:r w:rsidRPr="00944742">
              <w:rPr>
                <w:rFonts w:ascii="Times New Roman" w:hAnsi="Times New Roman" w:cs="Times New Roman"/>
              </w:rPr>
              <w:t>R05</w:t>
            </w:r>
          </w:p>
        </w:tc>
        <w:tc>
          <w:tcPr>
            <w:tcW w:w="1803" w:type="dxa"/>
            <w:vAlign w:val="center"/>
          </w:tcPr>
          <w:p w14:paraId="06BE0E85" w14:textId="1EB93981" w:rsidR="00D4710C" w:rsidRPr="00944742" w:rsidRDefault="00F24508" w:rsidP="00A117A1">
            <w:pPr>
              <w:jc w:val="center"/>
              <w:rPr>
                <w:rFonts w:ascii="Times New Roman" w:hAnsi="Times New Roman" w:cs="Times New Roman"/>
              </w:rPr>
            </w:pPr>
            <w:r w:rsidRPr="00944742">
              <w:rPr>
                <w:rFonts w:ascii="Times New Roman" w:hAnsi="Times New Roman" w:cs="Times New Roman"/>
              </w:rPr>
              <w:t>57.7%</w:t>
            </w:r>
          </w:p>
        </w:tc>
        <w:tc>
          <w:tcPr>
            <w:tcW w:w="1803" w:type="dxa"/>
            <w:vAlign w:val="center"/>
          </w:tcPr>
          <w:p w14:paraId="443FAEA7" w14:textId="1D67036C" w:rsidR="00D4710C" w:rsidRPr="00944742" w:rsidRDefault="00096904" w:rsidP="00A117A1">
            <w:pPr>
              <w:jc w:val="center"/>
              <w:rPr>
                <w:rFonts w:ascii="Times New Roman" w:hAnsi="Times New Roman" w:cs="Times New Roman"/>
              </w:rPr>
            </w:pPr>
            <w:r w:rsidRPr="00944742">
              <w:rPr>
                <w:rFonts w:ascii="Times New Roman" w:hAnsi="Times New Roman" w:cs="Times New Roman"/>
              </w:rPr>
              <w:t>50.9%</w:t>
            </w:r>
          </w:p>
        </w:tc>
        <w:tc>
          <w:tcPr>
            <w:tcW w:w="1804" w:type="dxa"/>
            <w:vAlign w:val="center"/>
          </w:tcPr>
          <w:p w14:paraId="5A1C0832" w14:textId="3CAB4887" w:rsidR="00D4710C" w:rsidRPr="00944742" w:rsidRDefault="00F24508" w:rsidP="00A117A1">
            <w:pPr>
              <w:jc w:val="center"/>
              <w:rPr>
                <w:rFonts w:ascii="Times New Roman" w:hAnsi="Times New Roman" w:cs="Times New Roman"/>
              </w:rPr>
            </w:pPr>
            <w:r w:rsidRPr="00944742">
              <w:rPr>
                <w:rFonts w:ascii="Times New Roman" w:hAnsi="Times New Roman" w:cs="Times New Roman"/>
              </w:rPr>
              <w:t>56%</w:t>
            </w:r>
          </w:p>
        </w:tc>
      </w:tr>
      <w:tr w:rsidR="00D4710C" w:rsidRPr="00944742" w14:paraId="741A0EC7" w14:textId="77777777" w:rsidTr="00A117A1">
        <w:tc>
          <w:tcPr>
            <w:tcW w:w="1803" w:type="dxa"/>
            <w:vAlign w:val="center"/>
          </w:tcPr>
          <w:p w14:paraId="60F531D3" w14:textId="5E03E586" w:rsidR="00D4710C" w:rsidRPr="00944742" w:rsidRDefault="00D4710C" w:rsidP="00A117A1">
            <w:pPr>
              <w:jc w:val="center"/>
              <w:rPr>
                <w:rFonts w:ascii="Times New Roman" w:hAnsi="Times New Roman" w:cs="Times New Roman"/>
              </w:rPr>
            </w:pPr>
            <w:proofErr w:type="spellStart"/>
            <w:r w:rsidRPr="00944742">
              <w:rPr>
                <w:rFonts w:ascii="Times New Roman" w:hAnsi="Times New Roman" w:cs="Times New Roman"/>
              </w:rPr>
              <w:t>MinMax</w:t>
            </w:r>
            <w:proofErr w:type="spellEnd"/>
          </w:p>
        </w:tc>
        <w:tc>
          <w:tcPr>
            <w:tcW w:w="1803" w:type="dxa"/>
            <w:vAlign w:val="center"/>
          </w:tcPr>
          <w:p w14:paraId="3985656A" w14:textId="3C1A4639" w:rsidR="00D4710C" w:rsidRPr="00944742" w:rsidRDefault="00D4710C" w:rsidP="00A117A1">
            <w:pPr>
              <w:jc w:val="center"/>
              <w:rPr>
                <w:rFonts w:ascii="Times New Roman" w:hAnsi="Times New Roman" w:cs="Times New Roman"/>
              </w:rPr>
            </w:pPr>
            <w:r w:rsidRPr="00944742">
              <w:rPr>
                <w:rFonts w:ascii="Times New Roman" w:hAnsi="Times New Roman" w:cs="Times New Roman"/>
              </w:rPr>
              <w:t>R10</w:t>
            </w:r>
          </w:p>
        </w:tc>
        <w:tc>
          <w:tcPr>
            <w:tcW w:w="1803" w:type="dxa"/>
            <w:vAlign w:val="center"/>
          </w:tcPr>
          <w:p w14:paraId="4D9058D1" w14:textId="1DB77F44" w:rsidR="00D4710C" w:rsidRPr="00944742" w:rsidRDefault="00F800E9" w:rsidP="00A117A1">
            <w:pPr>
              <w:jc w:val="center"/>
              <w:rPr>
                <w:rFonts w:ascii="Times New Roman" w:hAnsi="Times New Roman" w:cs="Times New Roman"/>
              </w:rPr>
            </w:pPr>
            <w:r w:rsidRPr="00944742">
              <w:rPr>
                <w:rFonts w:ascii="Times New Roman" w:hAnsi="Times New Roman" w:cs="Times New Roman"/>
              </w:rPr>
              <w:t>6</w:t>
            </w:r>
            <w:r w:rsidR="00164DD2" w:rsidRPr="00944742">
              <w:rPr>
                <w:rFonts w:ascii="Times New Roman" w:hAnsi="Times New Roman" w:cs="Times New Roman"/>
              </w:rPr>
              <w:t>6</w:t>
            </w:r>
            <w:r w:rsidRPr="00944742">
              <w:rPr>
                <w:rFonts w:ascii="Times New Roman" w:hAnsi="Times New Roman" w:cs="Times New Roman"/>
              </w:rPr>
              <w:t>.6%</w:t>
            </w:r>
          </w:p>
        </w:tc>
        <w:tc>
          <w:tcPr>
            <w:tcW w:w="1803" w:type="dxa"/>
            <w:vAlign w:val="center"/>
          </w:tcPr>
          <w:p w14:paraId="35AC2471" w14:textId="3FB19BB4" w:rsidR="00D4710C" w:rsidRPr="00944742" w:rsidRDefault="00F800E9" w:rsidP="00A117A1">
            <w:pPr>
              <w:jc w:val="center"/>
              <w:rPr>
                <w:rFonts w:ascii="Times New Roman" w:hAnsi="Times New Roman" w:cs="Times New Roman"/>
              </w:rPr>
            </w:pPr>
            <w:r w:rsidRPr="00944742">
              <w:rPr>
                <w:rFonts w:ascii="Times New Roman" w:hAnsi="Times New Roman" w:cs="Times New Roman"/>
              </w:rPr>
              <w:t>6</w:t>
            </w:r>
            <w:r w:rsidR="00164DD2" w:rsidRPr="00944742">
              <w:rPr>
                <w:rFonts w:ascii="Times New Roman" w:hAnsi="Times New Roman" w:cs="Times New Roman"/>
              </w:rPr>
              <w:t>3</w:t>
            </w:r>
            <w:r w:rsidRPr="00944742">
              <w:rPr>
                <w:rFonts w:ascii="Times New Roman" w:hAnsi="Times New Roman" w:cs="Times New Roman"/>
              </w:rPr>
              <w:t>.</w:t>
            </w:r>
            <w:r w:rsidR="00164DD2" w:rsidRPr="00944742">
              <w:rPr>
                <w:rFonts w:ascii="Times New Roman" w:hAnsi="Times New Roman" w:cs="Times New Roman"/>
              </w:rPr>
              <w:t>4</w:t>
            </w:r>
            <w:r w:rsidRPr="00944742">
              <w:rPr>
                <w:rFonts w:ascii="Times New Roman" w:hAnsi="Times New Roman" w:cs="Times New Roman"/>
              </w:rPr>
              <w:t>%</w:t>
            </w:r>
          </w:p>
        </w:tc>
        <w:tc>
          <w:tcPr>
            <w:tcW w:w="1804" w:type="dxa"/>
            <w:vAlign w:val="center"/>
          </w:tcPr>
          <w:p w14:paraId="27FEC6B6" w14:textId="0F3785D4" w:rsidR="00D4710C" w:rsidRPr="00944742" w:rsidRDefault="00F800E9" w:rsidP="00A117A1">
            <w:pPr>
              <w:jc w:val="center"/>
              <w:rPr>
                <w:rFonts w:ascii="Times New Roman" w:hAnsi="Times New Roman" w:cs="Times New Roman"/>
              </w:rPr>
            </w:pPr>
            <w:r w:rsidRPr="00944742">
              <w:rPr>
                <w:rFonts w:ascii="Times New Roman" w:hAnsi="Times New Roman" w:cs="Times New Roman"/>
              </w:rPr>
              <w:t>6</w:t>
            </w:r>
            <w:r w:rsidR="00221811" w:rsidRPr="00944742">
              <w:rPr>
                <w:rFonts w:ascii="Times New Roman" w:hAnsi="Times New Roman" w:cs="Times New Roman"/>
              </w:rPr>
              <w:t>3</w:t>
            </w:r>
            <w:r w:rsidRPr="00944742">
              <w:rPr>
                <w:rFonts w:ascii="Times New Roman" w:hAnsi="Times New Roman" w:cs="Times New Roman"/>
              </w:rPr>
              <w:t>%</w:t>
            </w:r>
          </w:p>
        </w:tc>
      </w:tr>
    </w:tbl>
    <w:p w14:paraId="1F787637" w14:textId="087027DA" w:rsidR="00096904" w:rsidRDefault="00096904" w:rsidP="001D39A4">
      <w:pPr>
        <w:jc w:val="both"/>
        <w:rPr>
          <w:rFonts w:ascii="Times New Roman" w:hAnsi="Times New Roman" w:cs="Times New Roman"/>
          <w:i/>
          <w:iCs/>
        </w:rPr>
      </w:pPr>
      <w:r w:rsidRPr="00944742">
        <w:rPr>
          <w:rFonts w:ascii="Times New Roman" w:hAnsi="Times New Roman" w:cs="Times New Roman"/>
          <w:i/>
          <w:iCs/>
        </w:rPr>
        <w:t>(Training &amp; Validation Accuracy based on final epochs from training)</w:t>
      </w:r>
    </w:p>
    <w:p w14:paraId="2DF45316" w14:textId="77777777" w:rsidR="001139EA" w:rsidRDefault="001139EA" w:rsidP="001D39A4">
      <w:pPr>
        <w:jc w:val="both"/>
        <w:rPr>
          <w:rFonts w:ascii="Times New Roman" w:hAnsi="Times New Roman" w:cs="Times New Roman"/>
          <w:i/>
          <w:iCs/>
        </w:rPr>
      </w:pPr>
    </w:p>
    <w:sdt>
      <w:sdtPr>
        <w:id w:val="363487914"/>
        <w:docPartObj>
          <w:docPartGallery w:val="Bibliographies"/>
          <w:docPartUnique/>
        </w:docPartObj>
      </w:sdtPr>
      <w:sdtEndPr>
        <w:rPr>
          <w:rFonts w:asciiTheme="minorHAnsi" w:eastAsiaTheme="minorHAnsi" w:hAnsiTheme="minorHAnsi" w:cstheme="minorBidi"/>
          <w:color w:val="auto"/>
          <w:sz w:val="22"/>
          <w:szCs w:val="22"/>
        </w:rPr>
      </w:sdtEndPr>
      <w:sdtContent>
        <w:p w14:paraId="641CFA21" w14:textId="22A49291" w:rsidR="001139EA" w:rsidRDefault="001139EA">
          <w:pPr>
            <w:pStyle w:val="Heading1"/>
          </w:pPr>
          <w:r>
            <w:t>Bibliography</w:t>
          </w:r>
        </w:p>
        <w:sdt>
          <w:sdtPr>
            <w:id w:val="111145805"/>
            <w:bibliography/>
          </w:sdtPr>
          <w:sdtContent>
            <w:p w14:paraId="01D797A7" w14:textId="77777777" w:rsidR="001073BD" w:rsidRDefault="001139EA" w:rsidP="001073BD">
              <w:pPr>
                <w:pStyle w:val="Bibliography"/>
                <w:ind w:left="720" w:hanging="720"/>
                <w:rPr>
                  <w:noProof/>
                  <w:kern w:val="0"/>
                  <w:sz w:val="24"/>
                  <w:szCs w:val="24"/>
                  <w14:ligatures w14:val="none"/>
                </w:rPr>
              </w:pPr>
              <w:r>
                <w:fldChar w:fldCharType="begin"/>
              </w:r>
              <w:r>
                <w:instrText xml:space="preserve"> BIBLIOGRAPHY </w:instrText>
              </w:r>
              <w:r>
                <w:fldChar w:fldCharType="separate"/>
              </w:r>
              <w:r w:rsidR="001073BD">
                <w:rPr>
                  <w:noProof/>
                </w:rPr>
                <w:t xml:space="preserve">Zhen Zeng, R. K. (2023). </w:t>
              </w:r>
              <w:r w:rsidR="001073BD">
                <w:rPr>
                  <w:i/>
                  <w:iCs/>
                  <w:noProof/>
                </w:rPr>
                <w:t>Financial Time Series Forecasting using CNN and Transformer.</w:t>
              </w:r>
              <w:r w:rsidR="001073BD">
                <w:rPr>
                  <w:noProof/>
                </w:rPr>
                <w:t xml:space="preserve"> New York: JP. Morgan AI Research. Retrieved from https://arxiv.org/pdf/2304.04912</w:t>
              </w:r>
            </w:p>
            <w:p w14:paraId="46B49E0D" w14:textId="3414F26A" w:rsidR="001139EA" w:rsidRDefault="001139EA" w:rsidP="001073BD">
              <w:r>
                <w:rPr>
                  <w:b/>
                  <w:bCs/>
                  <w:noProof/>
                </w:rPr>
                <w:fldChar w:fldCharType="end"/>
              </w:r>
            </w:p>
          </w:sdtContent>
        </w:sdt>
      </w:sdtContent>
    </w:sdt>
    <w:p w14:paraId="340CADF2" w14:textId="77777777" w:rsidR="001139EA" w:rsidRPr="00944742" w:rsidRDefault="001139EA" w:rsidP="001D39A4">
      <w:pPr>
        <w:jc w:val="both"/>
        <w:rPr>
          <w:rFonts w:ascii="Times New Roman" w:hAnsi="Times New Roman" w:cs="Times New Roman"/>
          <w:i/>
          <w:iCs/>
        </w:rPr>
      </w:pPr>
    </w:p>
    <w:sectPr w:rsidR="001139EA" w:rsidRPr="00944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wtDS1NDC2NDM2NzJU0lEKTi0uzszPAykwrgUAU+uT0SwAAAA="/>
  </w:docVars>
  <w:rsids>
    <w:rsidRoot w:val="0055453E"/>
    <w:rsid w:val="00064B6D"/>
    <w:rsid w:val="00096904"/>
    <w:rsid w:val="000A6DAE"/>
    <w:rsid w:val="000B39C2"/>
    <w:rsid w:val="000C5A1D"/>
    <w:rsid w:val="000D09C2"/>
    <w:rsid w:val="000D5A2D"/>
    <w:rsid w:val="000F50F5"/>
    <w:rsid w:val="001073BD"/>
    <w:rsid w:val="001139EA"/>
    <w:rsid w:val="001438AD"/>
    <w:rsid w:val="0015424E"/>
    <w:rsid w:val="00164DD2"/>
    <w:rsid w:val="00164E85"/>
    <w:rsid w:val="00166CA0"/>
    <w:rsid w:val="001D39A4"/>
    <w:rsid w:val="00214D28"/>
    <w:rsid w:val="00221811"/>
    <w:rsid w:val="002B2866"/>
    <w:rsid w:val="002C2633"/>
    <w:rsid w:val="003202C2"/>
    <w:rsid w:val="003213B7"/>
    <w:rsid w:val="003324D9"/>
    <w:rsid w:val="00333B1B"/>
    <w:rsid w:val="00347D9D"/>
    <w:rsid w:val="0037032A"/>
    <w:rsid w:val="00432BFF"/>
    <w:rsid w:val="0044524C"/>
    <w:rsid w:val="00450DBA"/>
    <w:rsid w:val="004902F8"/>
    <w:rsid w:val="004F0E87"/>
    <w:rsid w:val="005407FF"/>
    <w:rsid w:val="0055453E"/>
    <w:rsid w:val="00644C47"/>
    <w:rsid w:val="006B4C75"/>
    <w:rsid w:val="007212ED"/>
    <w:rsid w:val="007F4034"/>
    <w:rsid w:val="008018FF"/>
    <w:rsid w:val="00832A1F"/>
    <w:rsid w:val="008A190F"/>
    <w:rsid w:val="008B64B8"/>
    <w:rsid w:val="008C0BA0"/>
    <w:rsid w:val="00944742"/>
    <w:rsid w:val="009B371D"/>
    <w:rsid w:val="00A047B6"/>
    <w:rsid w:val="00A117A1"/>
    <w:rsid w:val="00B256CE"/>
    <w:rsid w:val="00B94447"/>
    <w:rsid w:val="00C73FAF"/>
    <w:rsid w:val="00D01DD1"/>
    <w:rsid w:val="00D4710C"/>
    <w:rsid w:val="00D56E60"/>
    <w:rsid w:val="00DF4DE7"/>
    <w:rsid w:val="00EA5409"/>
    <w:rsid w:val="00EC75CB"/>
    <w:rsid w:val="00ED3C02"/>
    <w:rsid w:val="00F24508"/>
    <w:rsid w:val="00F7368C"/>
    <w:rsid w:val="00F800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000D"/>
  <w15:chartTrackingRefBased/>
  <w15:docId w15:val="{257FACD2-3210-48B8-9979-D7B03BA3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53E"/>
    <w:rPr>
      <w:rFonts w:eastAsiaTheme="majorEastAsia" w:cstheme="majorBidi"/>
      <w:color w:val="272727" w:themeColor="text1" w:themeTint="D8"/>
    </w:rPr>
  </w:style>
  <w:style w:type="paragraph" w:styleId="Title">
    <w:name w:val="Title"/>
    <w:basedOn w:val="Normal"/>
    <w:next w:val="Normal"/>
    <w:link w:val="TitleChar"/>
    <w:uiPriority w:val="10"/>
    <w:qFormat/>
    <w:rsid w:val="0055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53E"/>
    <w:pPr>
      <w:spacing w:before="160"/>
      <w:jc w:val="center"/>
    </w:pPr>
    <w:rPr>
      <w:i/>
      <w:iCs/>
      <w:color w:val="404040" w:themeColor="text1" w:themeTint="BF"/>
    </w:rPr>
  </w:style>
  <w:style w:type="character" w:customStyle="1" w:styleId="QuoteChar">
    <w:name w:val="Quote Char"/>
    <w:basedOn w:val="DefaultParagraphFont"/>
    <w:link w:val="Quote"/>
    <w:uiPriority w:val="29"/>
    <w:rsid w:val="0055453E"/>
    <w:rPr>
      <w:i/>
      <w:iCs/>
      <w:color w:val="404040" w:themeColor="text1" w:themeTint="BF"/>
    </w:rPr>
  </w:style>
  <w:style w:type="paragraph" w:styleId="ListParagraph">
    <w:name w:val="List Paragraph"/>
    <w:basedOn w:val="Normal"/>
    <w:uiPriority w:val="34"/>
    <w:qFormat/>
    <w:rsid w:val="0055453E"/>
    <w:pPr>
      <w:ind w:left="720"/>
      <w:contextualSpacing/>
    </w:pPr>
  </w:style>
  <w:style w:type="character" w:styleId="IntenseEmphasis">
    <w:name w:val="Intense Emphasis"/>
    <w:basedOn w:val="DefaultParagraphFont"/>
    <w:uiPriority w:val="21"/>
    <w:qFormat/>
    <w:rsid w:val="0055453E"/>
    <w:rPr>
      <w:i/>
      <w:iCs/>
      <w:color w:val="0F4761" w:themeColor="accent1" w:themeShade="BF"/>
    </w:rPr>
  </w:style>
  <w:style w:type="paragraph" w:styleId="IntenseQuote">
    <w:name w:val="Intense Quote"/>
    <w:basedOn w:val="Normal"/>
    <w:next w:val="Normal"/>
    <w:link w:val="IntenseQuoteChar"/>
    <w:uiPriority w:val="30"/>
    <w:qFormat/>
    <w:rsid w:val="0055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53E"/>
    <w:rPr>
      <w:i/>
      <w:iCs/>
      <w:color w:val="0F4761" w:themeColor="accent1" w:themeShade="BF"/>
    </w:rPr>
  </w:style>
  <w:style w:type="character" w:styleId="IntenseReference">
    <w:name w:val="Intense Reference"/>
    <w:basedOn w:val="DefaultParagraphFont"/>
    <w:uiPriority w:val="32"/>
    <w:qFormat/>
    <w:rsid w:val="0055453E"/>
    <w:rPr>
      <w:b/>
      <w:bCs/>
      <w:smallCaps/>
      <w:color w:val="0F4761" w:themeColor="accent1" w:themeShade="BF"/>
      <w:spacing w:val="5"/>
    </w:rPr>
  </w:style>
  <w:style w:type="character" w:styleId="HTMLCode">
    <w:name w:val="HTML Code"/>
    <w:basedOn w:val="DefaultParagraphFont"/>
    <w:uiPriority w:val="99"/>
    <w:semiHidden/>
    <w:unhideWhenUsed/>
    <w:rsid w:val="000D09C2"/>
    <w:rPr>
      <w:rFonts w:ascii="Courier New" w:eastAsia="Times New Roman" w:hAnsi="Courier New" w:cs="Courier New"/>
      <w:sz w:val="20"/>
      <w:szCs w:val="20"/>
    </w:rPr>
  </w:style>
  <w:style w:type="table" w:styleId="TableGrid">
    <w:name w:val="Table Grid"/>
    <w:basedOn w:val="TableNormal"/>
    <w:uiPriority w:val="39"/>
    <w:rsid w:val="00D47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13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581">
      <w:bodyDiv w:val="1"/>
      <w:marLeft w:val="0"/>
      <w:marRight w:val="0"/>
      <w:marTop w:val="0"/>
      <w:marBottom w:val="0"/>
      <w:divBdr>
        <w:top w:val="none" w:sz="0" w:space="0" w:color="auto"/>
        <w:left w:val="none" w:sz="0" w:space="0" w:color="auto"/>
        <w:bottom w:val="none" w:sz="0" w:space="0" w:color="auto"/>
        <w:right w:val="none" w:sz="0" w:space="0" w:color="auto"/>
      </w:divBdr>
    </w:div>
    <w:div w:id="11497575">
      <w:bodyDiv w:val="1"/>
      <w:marLeft w:val="0"/>
      <w:marRight w:val="0"/>
      <w:marTop w:val="0"/>
      <w:marBottom w:val="0"/>
      <w:divBdr>
        <w:top w:val="none" w:sz="0" w:space="0" w:color="auto"/>
        <w:left w:val="none" w:sz="0" w:space="0" w:color="auto"/>
        <w:bottom w:val="none" w:sz="0" w:space="0" w:color="auto"/>
        <w:right w:val="none" w:sz="0" w:space="0" w:color="auto"/>
      </w:divBdr>
    </w:div>
    <w:div w:id="213741507">
      <w:bodyDiv w:val="1"/>
      <w:marLeft w:val="0"/>
      <w:marRight w:val="0"/>
      <w:marTop w:val="0"/>
      <w:marBottom w:val="0"/>
      <w:divBdr>
        <w:top w:val="none" w:sz="0" w:space="0" w:color="auto"/>
        <w:left w:val="none" w:sz="0" w:space="0" w:color="auto"/>
        <w:bottom w:val="none" w:sz="0" w:space="0" w:color="auto"/>
        <w:right w:val="none" w:sz="0" w:space="0" w:color="auto"/>
      </w:divBdr>
    </w:div>
    <w:div w:id="339701891">
      <w:bodyDiv w:val="1"/>
      <w:marLeft w:val="0"/>
      <w:marRight w:val="0"/>
      <w:marTop w:val="0"/>
      <w:marBottom w:val="0"/>
      <w:divBdr>
        <w:top w:val="none" w:sz="0" w:space="0" w:color="auto"/>
        <w:left w:val="none" w:sz="0" w:space="0" w:color="auto"/>
        <w:bottom w:val="none" w:sz="0" w:space="0" w:color="auto"/>
        <w:right w:val="none" w:sz="0" w:space="0" w:color="auto"/>
      </w:divBdr>
    </w:div>
    <w:div w:id="438329897">
      <w:bodyDiv w:val="1"/>
      <w:marLeft w:val="0"/>
      <w:marRight w:val="0"/>
      <w:marTop w:val="0"/>
      <w:marBottom w:val="0"/>
      <w:divBdr>
        <w:top w:val="none" w:sz="0" w:space="0" w:color="auto"/>
        <w:left w:val="none" w:sz="0" w:space="0" w:color="auto"/>
        <w:bottom w:val="none" w:sz="0" w:space="0" w:color="auto"/>
        <w:right w:val="none" w:sz="0" w:space="0" w:color="auto"/>
      </w:divBdr>
    </w:div>
    <w:div w:id="486169847">
      <w:bodyDiv w:val="1"/>
      <w:marLeft w:val="0"/>
      <w:marRight w:val="0"/>
      <w:marTop w:val="0"/>
      <w:marBottom w:val="0"/>
      <w:divBdr>
        <w:top w:val="none" w:sz="0" w:space="0" w:color="auto"/>
        <w:left w:val="none" w:sz="0" w:space="0" w:color="auto"/>
        <w:bottom w:val="none" w:sz="0" w:space="0" w:color="auto"/>
        <w:right w:val="none" w:sz="0" w:space="0" w:color="auto"/>
      </w:divBdr>
    </w:div>
    <w:div w:id="499809148">
      <w:bodyDiv w:val="1"/>
      <w:marLeft w:val="0"/>
      <w:marRight w:val="0"/>
      <w:marTop w:val="0"/>
      <w:marBottom w:val="0"/>
      <w:divBdr>
        <w:top w:val="none" w:sz="0" w:space="0" w:color="auto"/>
        <w:left w:val="none" w:sz="0" w:space="0" w:color="auto"/>
        <w:bottom w:val="none" w:sz="0" w:space="0" w:color="auto"/>
        <w:right w:val="none" w:sz="0" w:space="0" w:color="auto"/>
      </w:divBdr>
    </w:div>
    <w:div w:id="535892101">
      <w:bodyDiv w:val="1"/>
      <w:marLeft w:val="0"/>
      <w:marRight w:val="0"/>
      <w:marTop w:val="0"/>
      <w:marBottom w:val="0"/>
      <w:divBdr>
        <w:top w:val="none" w:sz="0" w:space="0" w:color="auto"/>
        <w:left w:val="none" w:sz="0" w:space="0" w:color="auto"/>
        <w:bottom w:val="none" w:sz="0" w:space="0" w:color="auto"/>
        <w:right w:val="none" w:sz="0" w:space="0" w:color="auto"/>
      </w:divBdr>
    </w:div>
    <w:div w:id="796486240">
      <w:bodyDiv w:val="1"/>
      <w:marLeft w:val="0"/>
      <w:marRight w:val="0"/>
      <w:marTop w:val="0"/>
      <w:marBottom w:val="0"/>
      <w:divBdr>
        <w:top w:val="none" w:sz="0" w:space="0" w:color="auto"/>
        <w:left w:val="none" w:sz="0" w:space="0" w:color="auto"/>
        <w:bottom w:val="none" w:sz="0" w:space="0" w:color="auto"/>
        <w:right w:val="none" w:sz="0" w:space="0" w:color="auto"/>
      </w:divBdr>
    </w:div>
    <w:div w:id="1035885653">
      <w:bodyDiv w:val="1"/>
      <w:marLeft w:val="0"/>
      <w:marRight w:val="0"/>
      <w:marTop w:val="0"/>
      <w:marBottom w:val="0"/>
      <w:divBdr>
        <w:top w:val="none" w:sz="0" w:space="0" w:color="auto"/>
        <w:left w:val="none" w:sz="0" w:space="0" w:color="auto"/>
        <w:bottom w:val="none" w:sz="0" w:space="0" w:color="auto"/>
        <w:right w:val="none" w:sz="0" w:space="0" w:color="auto"/>
      </w:divBdr>
    </w:div>
    <w:div w:id="1464075118">
      <w:bodyDiv w:val="1"/>
      <w:marLeft w:val="0"/>
      <w:marRight w:val="0"/>
      <w:marTop w:val="0"/>
      <w:marBottom w:val="0"/>
      <w:divBdr>
        <w:top w:val="none" w:sz="0" w:space="0" w:color="auto"/>
        <w:left w:val="none" w:sz="0" w:space="0" w:color="auto"/>
        <w:bottom w:val="none" w:sz="0" w:space="0" w:color="auto"/>
        <w:right w:val="none" w:sz="0" w:space="0" w:color="auto"/>
      </w:divBdr>
    </w:div>
    <w:div w:id="1711489312">
      <w:bodyDiv w:val="1"/>
      <w:marLeft w:val="0"/>
      <w:marRight w:val="0"/>
      <w:marTop w:val="0"/>
      <w:marBottom w:val="0"/>
      <w:divBdr>
        <w:top w:val="none" w:sz="0" w:space="0" w:color="auto"/>
        <w:left w:val="none" w:sz="0" w:space="0" w:color="auto"/>
        <w:bottom w:val="none" w:sz="0" w:space="0" w:color="auto"/>
        <w:right w:val="none" w:sz="0" w:space="0" w:color="auto"/>
      </w:divBdr>
    </w:div>
    <w:div w:id="20500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Zhe23</b:Tag>
    <b:SourceType>Report</b:SourceType>
    <b:Guid>{F86DC0B3-DDB2-44EB-B0B6-CEA39049CE14}</b:Guid>
    <b:Title>Financial Time Series Forecasting using CNN and Transformer</b:Title>
    <b:City>New York</b:City>
    <b:Publisher>JP. Morgan AI Research</b:Publisher>
    <b:Year>2023</b:Year>
    <b:Author>
      <b:Author>
        <b:NameList>
          <b:Person>
            <b:Last>Zhen Zeng</b:Last>
            <b:First>Rachneet</b:First>
            <b:Middle>Kaur, Suchetha Siddagangappa, Saba Rahimi, Tucker Balch, Manuela Veloso</b:Middle>
          </b:Person>
        </b:NameList>
      </b:Author>
    </b:Author>
    <b:URL>https://arxiv.org/pdf/2304.04912</b:URL>
    <b:RefOrder>1</b:RefOrder>
  </b:Source>
</b:Sources>
</file>

<file path=customXml/itemProps1.xml><?xml version="1.0" encoding="utf-8"?>
<ds:datastoreItem xmlns:ds="http://schemas.openxmlformats.org/officeDocument/2006/customXml" ds:itemID="{76FCE2ED-1FC1-4E5C-9B03-74984EC0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Tan</dc:creator>
  <cp:keywords/>
  <dc:description/>
  <cp:lastModifiedBy>Shervin Tan</cp:lastModifiedBy>
  <cp:revision>51</cp:revision>
  <dcterms:created xsi:type="dcterms:W3CDTF">2025-04-25T01:53:00Z</dcterms:created>
  <dcterms:modified xsi:type="dcterms:W3CDTF">2025-04-30T01:13:00Z</dcterms:modified>
</cp:coreProperties>
</file>