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D60B2" w14:textId="32A68673" w:rsidR="000A6DAE" w:rsidRPr="002756D2" w:rsidRDefault="00C44098" w:rsidP="00946302">
      <w:pPr>
        <w:pStyle w:val="Heading2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</w:rPr>
        <w:t>Discussion</w:t>
      </w:r>
    </w:p>
    <w:p w14:paraId="1A310958" w14:textId="0D6EDC61" w:rsidR="00C44098" w:rsidRPr="002756D2" w:rsidRDefault="00C44098" w:rsidP="00EC657E">
      <w:pPr>
        <w:jc w:val="both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</w:rPr>
        <w:t xml:space="preserve">The objective </w:t>
      </w:r>
      <w:r w:rsidR="00DC46FE" w:rsidRPr="002756D2">
        <w:rPr>
          <w:rFonts w:ascii="Times New Roman" w:hAnsi="Times New Roman" w:cs="Times New Roman"/>
        </w:rPr>
        <w:t>of the numerical evaluation was to compare predictive capabilities of the various models employed on binary classification tasks for FX time-series forecasting, particularly on the JPY/USD exchange rate (1-day, 5-day, and 10-day forward binary returns). The models were assessed based on their ability to generalise across unseen data and to distinguish directional market movements.</w:t>
      </w:r>
      <w:r w:rsidR="00CB00E5" w:rsidRPr="002756D2">
        <w:rPr>
          <w:rFonts w:ascii="Times New Roman" w:hAnsi="Times New Roman" w:cs="Times New Roman"/>
        </w:rPr>
        <w:t xml:space="preserve"> In our study, two key evaluation metrics were utilised</w:t>
      </w:r>
      <w:r w:rsidR="00F16A6D" w:rsidRPr="002756D2">
        <w:rPr>
          <w:rFonts w:ascii="Times New Roman" w:hAnsi="Times New Roman" w:cs="Times New Roman"/>
        </w:rPr>
        <w:t>:</w:t>
      </w:r>
    </w:p>
    <w:p w14:paraId="664E34BA" w14:textId="4544582C" w:rsidR="00CB00E5" w:rsidRPr="002756D2" w:rsidRDefault="00CB00E5" w:rsidP="00EC657E">
      <w:pPr>
        <w:jc w:val="both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  <w:b/>
          <w:bCs/>
        </w:rPr>
        <w:t>Training and Validation Accuracy:</w:t>
      </w:r>
      <w:r w:rsidRPr="002756D2">
        <w:rPr>
          <w:rFonts w:ascii="Times New Roman" w:hAnsi="Times New Roman" w:cs="Times New Roman"/>
        </w:rPr>
        <w:t xml:space="preserve"> Measure how well each model fit the</w:t>
      </w:r>
      <w:r w:rsidR="00C34019" w:rsidRPr="002756D2">
        <w:rPr>
          <w:rFonts w:ascii="Times New Roman" w:hAnsi="Times New Roman" w:cs="Times New Roman"/>
        </w:rPr>
        <w:t xml:space="preserve"> training data and how well it generalises to the validation data</w:t>
      </w:r>
      <w:r w:rsidR="002D5ADE" w:rsidRPr="002756D2">
        <w:rPr>
          <w:rFonts w:ascii="Times New Roman" w:hAnsi="Times New Roman" w:cs="Times New Roman"/>
        </w:rPr>
        <w:t>.</w:t>
      </w:r>
    </w:p>
    <w:p w14:paraId="0F31ED2A" w14:textId="375DB46E" w:rsidR="000443A6" w:rsidRPr="002756D2" w:rsidRDefault="00C34019" w:rsidP="00EC657E">
      <w:pPr>
        <w:jc w:val="both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  <w:b/>
          <w:bCs/>
        </w:rPr>
        <w:t>Test AUC:</w:t>
      </w:r>
      <w:r w:rsidRPr="002756D2">
        <w:rPr>
          <w:rFonts w:ascii="Times New Roman" w:hAnsi="Times New Roman" w:cs="Times New Roman"/>
        </w:rPr>
        <w:t xml:space="preserve"> Measure a </w:t>
      </w:r>
      <w:r w:rsidR="002D5ADE" w:rsidRPr="002756D2">
        <w:rPr>
          <w:rFonts w:ascii="Times New Roman" w:hAnsi="Times New Roman" w:cs="Times New Roman"/>
        </w:rPr>
        <w:t>threshold-independent performance measure, focusing on the model’s discriminative power.</w:t>
      </w:r>
    </w:p>
    <w:p w14:paraId="0B5CACA3" w14:textId="53EE5848" w:rsidR="00B37CF5" w:rsidRPr="002756D2" w:rsidRDefault="00B37CF5" w:rsidP="00EC657E">
      <w:pPr>
        <w:jc w:val="both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</w:rPr>
        <w:t xml:space="preserve">An important pattern observed across all models shows that predictive performance tended to be better for the 10-day forward return classification task compared to 1-day and 5-day. </w:t>
      </w:r>
      <w:r w:rsidR="00FB0CCF" w:rsidRPr="002756D2">
        <w:rPr>
          <w:rFonts w:ascii="Times New Roman" w:hAnsi="Times New Roman" w:cs="Times New Roman"/>
        </w:rPr>
        <w:t xml:space="preserve">To be precise, all models demonstrated higher validation accuracies and test AUCs when tasked with predicting the 10-day forward return. </w:t>
      </w:r>
    </w:p>
    <w:p w14:paraId="3F71250F" w14:textId="19F52CF2" w:rsidR="00D656DB" w:rsidRPr="002756D2" w:rsidRDefault="002C766E" w:rsidP="00EC657E">
      <w:pPr>
        <w:jc w:val="both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</w:rPr>
        <w:t>A potential reason for this trend could be that short-term returns (1-day and 5-day) tend to be much noisier, heavily influenced by microstructure effects, random price perturbation, and short-term market sentiments shifting</w:t>
      </w:r>
      <w:r w:rsidR="00B13A48" w:rsidRPr="002756D2">
        <w:rPr>
          <w:rFonts w:ascii="Times New Roman" w:hAnsi="Times New Roman" w:cs="Times New Roman"/>
        </w:rPr>
        <w:t xml:space="preserve">. On this note, it could be extremely difficult for machine learning models to predict reliably. On the other hand, longer-term returns (10-day) </w:t>
      </w:r>
      <w:r w:rsidR="00EC657E" w:rsidRPr="002756D2">
        <w:rPr>
          <w:rFonts w:ascii="Times New Roman" w:hAnsi="Times New Roman" w:cs="Times New Roman"/>
        </w:rPr>
        <w:t xml:space="preserve">may better reflect underlying macroeconomic forces, broader market trends, and technical indicators, which are considerably more stable and thus, learnable over time by sequential models deployed. </w:t>
      </w:r>
      <w:r w:rsidR="000D711D" w:rsidRPr="002756D2">
        <w:rPr>
          <w:rFonts w:ascii="Times New Roman" w:hAnsi="Times New Roman" w:cs="Times New Roman"/>
        </w:rPr>
        <w:t xml:space="preserve">To add on, longer forecast horizons also smooth out the random walk characteristics of price changes, making directional movements easier to classify. </w:t>
      </w:r>
    </w:p>
    <w:p w14:paraId="5E7F8678" w14:textId="69F86568" w:rsidR="00EB5F56" w:rsidRPr="002756D2" w:rsidRDefault="00EB5F56" w:rsidP="00946302">
      <w:pPr>
        <w:pStyle w:val="Heading2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</w:rPr>
        <w:t>Results</w:t>
      </w:r>
    </w:p>
    <w:p w14:paraId="76E73C5E" w14:textId="170EAA05" w:rsidR="00D656DB" w:rsidRPr="002756D2" w:rsidRDefault="00D656DB" w:rsidP="00EC657E">
      <w:pPr>
        <w:jc w:val="both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</w:rPr>
        <w:t xml:space="preserve">Based on </w:t>
      </w:r>
      <w:r w:rsidR="00694C57" w:rsidRPr="002756D2">
        <w:rPr>
          <w:rFonts w:ascii="Times New Roman" w:hAnsi="Times New Roman" w:cs="Times New Roman"/>
        </w:rPr>
        <w:t xml:space="preserve">all models generalising better on the 10-day forward return, shown below are the </w:t>
      </w:r>
      <w:r w:rsidR="00936C15" w:rsidRPr="002756D2">
        <w:rPr>
          <w:rFonts w:ascii="Times New Roman" w:hAnsi="Times New Roman" w:cs="Times New Roman"/>
        </w:rPr>
        <w:t>numerical results of each model on 10-day forward return.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248"/>
      </w:tblGrid>
      <w:tr w:rsidR="00D656DB" w:rsidRPr="002756D2" w14:paraId="7E96D489" w14:textId="77777777" w:rsidTr="00D656DB">
        <w:trPr>
          <w:trHeight w:val="519"/>
        </w:trPr>
        <w:tc>
          <w:tcPr>
            <w:tcW w:w="2248" w:type="dxa"/>
          </w:tcPr>
          <w:p w14:paraId="653B9446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Model</w:t>
            </w:r>
          </w:p>
        </w:tc>
        <w:tc>
          <w:tcPr>
            <w:tcW w:w="2248" w:type="dxa"/>
          </w:tcPr>
          <w:p w14:paraId="39B43618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Train Accuracy</w:t>
            </w:r>
          </w:p>
        </w:tc>
        <w:tc>
          <w:tcPr>
            <w:tcW w:w="2248" w:type="dxa"/>
          </w:tcPr>
          <w:p w14:paraId="518C0970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Validation Accuracy</w:t>
            </w:r>
          </w:p>
        </w:tc>
        <w:tc>
          <w:tcPr>
            <w:tcW w:w="2248" w:type="dxa"/>
          </w:tcPr>
          <w:p w14:paraId="0452FBE9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Test AUC</w:t>
            </w:r>
          </w:p>
        </w:tc>
      </w:tr>
      <w:tr w:rsidR="00D656DB" w:rsidRPr="002756D2" w14:paraId="08CB388A" w14:textId="77777777" w:rsidTr="00D656DB">
        <w:trPr>
          <w:trHeight w:val="259"/>
        </w:trPr>
        <w:tc>
          <w:tcPr>
            <w:tcW w:w="2248" w:type="dxa"/>
          </w:tcPr>
          <w:p w14:paraId="7B648321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LSTM</w:t>
            </w:r>
          </w:p>
        </w:tc>
        <w:tc>
          <w:tcPr>
            <w:tcW w:w="2248" w:type="dxa"/>
          </w:tcPr>
          <w:p w14:paraId="5A077077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52.5%</w:t>
            </w:r>
          </w:p>
        </w:tc>
        <w:tc>
          <w:tcPr>
            <w:tcW w:w="2248" w:type="dxa"/>
          </w:tcPr>
          <w:p w14:paraId="6A725939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36.8%</w:t>
            </w:r>
          </w:p>
        </w:tc>
        <w:tc>
          <w:tcPr>
            <w:tcW w:w="2248" w:type="dxa"/>
          </w:tcPr>
          <w:p w14:paraId="3FD5D14C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57.2%</w:t>
            </w:r>
          </w:p>
        </w:tc>
      </w:tr>
      <w:tr w:rsidR="00D656DB" w:rsidRPr="002756D2" w14:paraId="5B2841C5" w14:textId="77777777" w:rsidTr="00D656DB">
        <w:trPr>
          <w:trHeight w:val="259"/>
        </w:trPr>
        <w:tc>
          <w:tcPr>
            <w:tcW w:w="2248" w:type="dxa"/>
          </w:tcPr>
          <w:p w14:paraId="7744B722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Transformer</w:t>
            </w:r>
          </w:p>
        </w:tc>
        <w:tc>
          <w:tcPr>
            <w:tcW w:w="2248" w:type="dxa"/>
          </w:tcPr>
          <w:p w14:paraId="22328B9D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61%</w:t>
            </w:r>
          </w:p>
        </w:tc>
        <w:tc>
          <w:tcPr>
            <w:tcW w:w="2248" w:type="dxa"/>
          </w:tcPr>
          <w:p w14:paraId="0822CE0C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59%</w:t>
            </w:r>
          </w:p>
        </w:tc>
        <w:tc>
          <w:tcPr>
            <w:tcW w:w="2248" w:type="dxa"/>
          </w:tcPr>
          <w:p w14:paraId="3A4744D4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60%</w:t>
            </w:r>
          </w:p>
        </w:tc>
      </w:tr>
      <w:tr w:rsidR="00D656DB" w:rsidRPr="002756D2" w14:paraId="4F4FE715" w14:textId="77777777" w:rsidTr="00D656DB">
        <w:trPr>
          <w:trHeight w:val="247"/>
        </w:trPr>
        <w:tc>
          <w:tcPr>
            <w:tcW w:w="2248" w:type="dxa"/>
          </w:tcPr>
          <w:p w14:paraId="32700AB8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GRU</w:t>
            </w:r>
          </w:p>
        </w:tc>
        <w:tc>
          <w:tcPr>
            <w:tcW w:w="2248" w:type="dxa"/>
          </w:tcPr>
          <w:p w14:paraId="0F57FAC1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55.2%</w:t>
            </w:r>
          </w:p>
        </w:tc>
        <w:tc>
          <w:tcPr>
            <w:tcW w:w="2248" w:type="dxa"/>
          </w:tcPr>
          <w:p w14:paraId="3D3B83A6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54.1%</w:t>
            </w:r>
          </w:p>
        </w:tc>
        <w:tc>
          <w:tcPr>
            <w:tcW w:w="2248" w:type="dxa"/>
          </w:tcPr>
          <w:p w14:paraId="2F36405C" w14:textId="52BE8FE4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56DB" w:rsidRPr="002756D2" w14:paraId="5C22C221" w14:textId="77777777" w:rsidTr="00D656DB">
        <w:trPr>
          <w:trHeight w:val="519"/>
        </w:trPr>
        <w:tc>
          <w:tcPr>
            <w:tcW w:w="2248" w:type="dxa"/>
          </w:tcPr>
          <w:p w14:paraId="4760EC6A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CNN-Transformer</w:t>
            </w:r>
          </w:p>
        </w:tc>
        <w:tc>
          <w:tcPr>
            <w:tcW w:w="2248" w:type="dxa"/>
          </w:tcPr>
          <w:p w14:paraId="6C5A8BE7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75.2%</w:t>
            </w:r>
          </w:p>
        </w:tc>
        <w:tc>
          <w:tcPr>
            <w:tcW w:w="2248" w:type="dxa"/>
          </w:tcPr>
          <w:p w14:paraId="68B5FE3F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67.6%</w:t>
            </w:r>
          </w:p>
        </w:tc>
        <w:tc>
          <w:tcPr>
            <w:tcW w:w="2248" w:type="dxa"/>
          </w:tcPr>
          <w:p w14:paraId="28E7B54B" w14:textId="77777777" w:rsidR="00D656DB" w:rsidRPr="002756D2" w:rsidRDefault="00D656DB" w:rsidP="008F5B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56D2">
              <w:rPr>
                <w:rFonts w:ascii="Times New Roman" w:hAnsi="Times New Roman" w:cs="Times New Roman"/>
                <w:sz w:val="22"/>
                <w:szCs w:val="22"/>
              </w:rPr>
              <w:t>64%</w:t>
            </w:r>
          </w:p>
        </w:tc>
      </w:tr>
    </w:tbl>
    <w:p w14:paraId="0BF67BF9" w14:textId="77777777" w:rsidR="00946302" w:rsidRPr="002756D2" w:rsidRDefault="00946302" w:rsidP="00EC657E">
      <w:pPr>
        <w:jc w:val="both"/>
        <w:rPr>
          <w:rFonts w:ascii="Times New Roman" w:hAnsi="Times New Roman" w:cs="Times New Roman"/>
          <w:b/>
          <w:bCs/>
        </w:rPr>
      </w:pPr>
    </w:p>
    <w:p w14:paraId="6902ECAE" w14:textId="56E77A63" w:rsidR="00A05061" w:rsidRPr="002756D2" w:rsidRDefault="009E7660" w:rsidP="00EC657E">
      <w:pPr>
        <w:jc w:val="both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</w:rPr>
        <w:t>Each model showed distinct characteristics in terms of training stability and predictive performance</w:t>
      </w:r>
      <w:r w:rsidR="00B30CF4" w:rsidRPr="002756D2">
        <w:rPr>
          <w:rFonts w:ascii="Times New Roman" w:hAnsi="Times New Roman" w:cs="Times New Roman"/>
        </w:rPr>
        <w:t>. Shown below are the pros and cons of each based on the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46302" w:rsidRPr="002756D2" w14:paraId="17744E7C" w14:textId="77777777" w:rsidTr="00946302">
        <w:tc>
          <w:tcPr>
            <w:tcW w:w="3005" w:type="dxa"/>
          </w:tcPr>
          <w:p w14:paraId="52CD39B6" w14:textId="485321F0" w:rsidR="00946302" w:rsidRPr="002756D2" w:rsidRDefault="00946302" w:rsidP="00EC657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Model</w:t>
            </w:r>
          </w:p>
        </w:tc>
        <w:tc>
          <w:tcPr>
            <w:tcW w:w="3005" w:type="dxa"/>
          </w:tcPr>
          <w:p w14:paraId="262BCC91" w14:textId="79C03FB5" w:rsidR="00946302" w:rsidRPr="002756D2" w:rsidRDefault="00946302" w:rsidP="00EC657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Pros</w:t>
            </w:r>
          </w:p>
        </w:tc>
        <w:tc>
          <w:tcPr>
            <w:tcW w:w="3006" w:type="dxa"/>
          </w:tcPr>
          <w:p w14:paraId="79539B28" w14:textId="20DF0DA4" w:rsidR="00946302" w:rsidRPr="002756D2" w:rsidRDefault="00946302" w:rsidP="00EC657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Cons</w:t>
            </w:r>
          </w:p>
        </w:tc>
      </w:tr>
      <w:tr w:rsidR="00946302" w:rsidRPr="002756D2" w14:paraId="0CA32314" w14:textId="77777777" w:rsidTr="00946302">
        <w:tc>
          <w:tcPr>
            <w:tcW w:w="3005" w:type="dxa"/>
          </w:tcPr>
          <w:p w14:paraId="63F3B5C0" w14:textId="0354C059" w:rsidR="00946302" w:rsidRPr="002756D2" w:rsidRDefault="00946302" w:rsidP="00EC657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CNN-Transformer</w:t>
            </w:r>
          </w:p>
        </w:tc>
        <w:tc>
          <w:tcPr>
            <w:tcW w:w="3005" w:type="dxa"/>
          </w:tcPr>
          <w:p w14:paraId="7839DAFD" w14:textId="77777777" w:rsidR="00946302" w:rsidRPr="002756D2" w:rsidRDefault="00946302" w:rsidP="00F02C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Achieved the highest training and validation accuracy, and the best test AUC</w:t>
            </w:r>
          </w:p>
          <w:p w14:paraId="5E931B83" w14:textId="77777777" w:rsidR="00946302" w:rsidRPr="002756D2" w:rsidRDefault="00946302" w:rsidP="00F02C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Effectively captured both local patterns (via the CNN layer) and long-range dependences (via self-attention)</w:t>
            </w:r>
          </w:p>
          <w:p w14:paraId="4C935751" w14:textId="77777777" w:rsidR="00946302" w:rsidRPr="002756D2" w:rsidRDefault="00946302" w:rsidP="00F02C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Regularisation terms like dropout and L2 penalty helped to mitigate overfitting despite its complexity</w:t>
            </w:r>
          </w:p>
          <w:p w14:paraId="17906443" w14:textId="77777777" w:rsidR="00946302" w:rsidRPr="002756D2" w:rsidRDefault="00946302" w:rsidP="00F02C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6" w:type="dxa"/>
          </w:tcPr>
          <w:p w14:paraId="4BF6F8B8" w14:textId="77777777" w:rsidR="00946302" w:rsidRPr="002756D2" w:rsidRDefault="00946302" w:rsidP="00F02C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There is a noticeable gap between training and validation accuracy, suggesting mild overfitting</w:t>
            </w:r>
          </w:p>
          <w:p w14:paraId="19632C31" w14:textId="77777777" w:rsidR="00946302" w:rsidRPr="002756D2" w:rsidRDefault="00946302" w:rsidP="00F02C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46302" w:rsidRPr="002756D2" w14:paraId="58D2EE8F" w14:textId="77777777" w:rsidTr="00946302">
        <w:tc>
          <w:tcPr>
            <w:tcW w:w="3005" w:type="dxa"/>
          </w:tcPr>
          <w:p w14:paraId="6985707C" w14:textId="3EF306A5" w:rsidR="00946302" w:rsidRPr="002756D2" w:rsidRDefault="00946302" w:rsidP="00EC657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Transformer</w:t>
            </w:r>
          </w:p>
        </w:tc>
        <w:tc>
          <w:tcPr>
            <w:tcW w:w="3005" w:type="dxa"/>
          </w:tcPr>
          <w:p w14:paraId="2C86D97C" w14:textId="77777777" w:rsidR="00946302" w:rsidRPr="002756D2" w:rsidRDefault="00946302" w:rsidP="00F02C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Good generalisation with close training and validation accuracy values</w:t>
            </w:r>
          </w:p>
          <w:p w14:paraId="4C5225EA" w14:textId="77777777" w:rsidR="00946302" w:rsidRPr="002756D2" w:rsidRDefault="00946302" w:rsidP="00F02C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Demonstrated that a light-weight Transformer (only three encoder blocks) can effectively model sequential relationships found in FX time-series</w:t>
            </w:r>
          </w:p>
          <w:p w14:paraId="3F39240E" w14:textId="77777777" w:rsidR="00946302" w:rsidRPr="002756D2" w:rsidRDefault="00946302" w:rsidP="00F02C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6" w:type="dxa"/>
          </w:tcPr>
          <w:p w14:paraId="09AD95EE" w14:textId="77777777" w:rsidR="00946302" w:rsidRPr="002756D2" w:rsidRDefault="00946302" w:rsidP="00F02C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Lacked the convolutional feature extraction power as seen in the CNN-Transformer model, slightly limiting performance</w:t>
            </w:r>
          </w:p>
          <w:p w14:paraId="635D8C6C" w14:textId="77777777" w:rsidR="00946302" w:rsidRPr="002756D2" w:rsidRDefault="00946302" w:rsidP="00F02C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Slightly lower AUC compared to the CNN-Transformer, indicating room for improvement</w:t>
            </w:r>
          </w:p>
          <w:p w14:paraId="0E291337" w14:textId="77777777" w:rsidR="00946302" w:rsidRPr="002756D2" w:rsidRDefault="00946302" w:rsidP="00F02C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46302" w:rsidRPr="002756D2" w14:paraId="5E064712" w14:textId="77777777" w:rsidTr="00946302">
        <w:tc>
          <w:tcPr>
            <w:tcW w:w="3005" w:type="dxa"/>
          </w:tcPr>
          <w:p w14:paraId="2F16CC07" w14:textId="1BC605EE" w:rsidR="00946302" w:rsidRPr="002756D2" w:rsidRDefault="00946302" w:rsidP="00EC657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GRU</w:t>
            </w:r>
          </w:p>
        </w:tc>
        <w:tc>
          <w:tcPr>
            <w:tcW w:w="3005" w:type="dxa"/>
          </w:tcPr>
          <w:p w14:paraId="4F86DBA1" w14:textId="77777777" w:rsidR="00946302" w:rsidRPr="002756D2" w:rsidRDefault="00946302" w:rsidP="00F02C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Simpler architecture and efficient training, supported by effective regularization strategies (dropout, batch normalization, L2 regularization).</w:t>
            </w:r>
          </w:p>
          <w:p w14:paraId="189DE77C" w14:textId="77777777" w:rsidR="00946302" w:rsidRPr="002756D2" w:rsidRDefault="00946302" w:rsidP="00F02C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6" w:type="dxa"/>
          </w:tcPr>
          <w:p w14:paraId="5CD2EF0E" w14:textId="77777777" w:rsidR="00946302" w:rsidRPr="002756D2" w:rsidRDefault="00946302" w:rsidP="00F02C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May underperform in highly volatile or deeply non-linear regimes compared to models with more flexible attention mechanisms.</w:t>
            </w:r>
          </w:p>
          <w:p w14:paraId="7CC649B3" w14:textId="77777777" w:rsidR="00946302" w:rsidRPr="002756D2" w:rsidRDefault="00946302" w:rsidP="00F02C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46302" w:rsidRPr="002756D2" w14:paraId="369A0CC6" w14:textId="77777777" w:rsidTr="00946302">
        <w:tc>
          <w:tcPr>
            <w:tcW w:w="3005" w:type="dxa"/>
          </w:tcPr>
          <w:p w14:paraId="31E15EDF" w14:textId="085D49F1" w:rsidR="00946302" w:rsidRPr="002756D2" w:rsidRDefault="00946302" w:rsidP="00EC657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LSTM</w:t>
            </w:r>
          </w:p>
        </w:tc>
        <w:tc>
          <w:tcPr>
            <w:tcW w:w="3005" w:type="dxa"/>
          </w:tcPr>
          <w:p w14:paraId="145E897D" w14:textId="77777777" w:rsidR="00946302" w:rsidRPr="002756D2" w:rsidRDefault="00946302" w:rsidP="00F02C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Theoretically well-suited for long-sequence modeling due to its memory gates and attention integration.</w:t>
            </w:r>
          </w:p>
          <w:p w14:paraId="2E0168FB" w14:textId="77777777" w:rsidR="00946302" w:rsidRPr="002756D2" w:rsidRDefault="00946302" w:rsidP="00F02C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6" w:type="dxa"/>
          </w:tcPr>
          <w:p w14:paraId="5C14C061" w14:textId="77777777" w:rsidR="00946302" w:rsidRPr="002756D2" w:rsidRDefault="00946302" w:rsidP="00F02C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Poor validation performance and low test AUC, indicating generalisation issues</w:t>
            </w:r>
          </w:p>
          <w:p w14:paraId="23252926" w14:textId="77777777" w:rsidR="00946302" w:rsidRPr="002756D2" w:rsidRDefault="00946302" w:rsidP="00F02C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Susceptible to overfitting or getting trapped in local minima when trained on noisy data</w:t>
            </w:r>
          </w:p>
          <w:p w14:paraId="63A85D76" w14:textId="77777777" w:rsidR="00946302" w:rsidRPr="002756D2" w:rsidRDefault="00946302" w:rsidP="00F02C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56D2">
              <w:rPr>
                <w:rFonts w:ascii="Times New Roman" w:hAnsi="Times New Roman" w:cs="Times New Roman"/>
                <w:sz w:val="18"/>
                <w:szCs w:val="18"/>
              </w:rPr>
              <w:t>More parameter-heavy than GRU, making it less stable</w:t>
            </w:r>
          </w:p>
          <w:p w14:paraId="0725221B" w14:textId="77777777" w:rsidR="00946302" w:rsidRPr="002756D2" w:rsidRDefault="00946302" w:rsidP="00F02C8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96E2A59" w14:textId="572A63CB" w:rsidR="00A05061" w:rsidRPr="002756D2" w:rsidRDefault="00A05061" w:rsidP="00946302">
      <w:pPr>
        <w:rPr>
          <w:rFonts w:ascii="Times New Roman" w:hAnsi="Times New Roman" w:cs="Times New Roman"/>
        </w:rPr>
      </w:pPr>
    </w:p>
    <w:p w14:paraId="7C9993F0" w14:textId="5F83BD98" w:rsidR="0022456B" w:rsidRPr="002756D2" w:rsidRDefault="0022456B" w:rsidP="0022456B">
      <w:pPr>
        <w:pStyle w:val="Heading2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</w:rPr>
        <w:t xml:space="preserve">Interpretations </w:t>
      </w:r>
    </w:p>
    <w:p w14:paraId="71E03E39" w14:textId="040C61E9" w:rsidR="0022456B" w:rsidRPr="002756D2" w:rsidRDefault="009D0E81" w:rsidP="008E2C7E">
      <w:pPr>
        <w:jc w:val="both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</w:rPr>
        <w:t xml:space="preserve">The potential success of the CNN-Transformer model can be attributed to its ability to integrate local feature extraction (via convolutional layers) and global temporal dependencies (via multi-head self-attention), thus, </w:t>
      </w:r>
      <w:r w:rsidR="00A15D61" w:rsidRPr="002756D2">
        <w:rPr>
          <w:rFonts w:ascii="Times New Roman" w:hAnsi="Times New Roman" w:cs="Times New Roman"/>
        </w:rPr>
        <w:t xml:space="preserve">being able to model both short-term and long-term patterns. </w:t>
      </w:r>
    </w:p>
    <w:p w14:paraId="48535806" w14:textId="49B987F7" w:rsidR="00337911" w:rsidRPr="002756D2" w:rsidRDefault="00337911" w:rsidP="008E2C7E">
      <w:pPr>
        <w:jc w:val="both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</w:rPr>
        <w:t>The Classic Transformer demonstrated that even with a reduced number of encoder layers, self-attention mechanisms are effective in capturing sequence-wide relationships without relying on complex structures.</w:t>
      </w:r>
    </w:p>
    <w:p w14:paraId="79B14032" w14:textId="7D1A1CD3" w:rsidR="00337911" w:rsidRPr="002756D2" w:rsidRDefault="00337911" w:rsidP="008E2C7E">
      <w:pPr>
        <w:jc w:val="both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</w:rPr>
        <w:t xml:space="preserve">The GRU model’s strong performance reinforces the notion that simpler recurrent architectures, when </w:t>
      </w:r>
      <w:r w:rsidR="008E2C7E" w:rsidRPr="002756D2">
        <w:rPr>
          <w:rFonts w:ascii="Times New Roman" w:hAnsi="Times New Roman" w:cs="Times New Roman"/>
        </w:rPr>
        <w:t>modified with careful regularisation techniques, can still be effective.</w:t>
      </w:r>
    </w:p>
    <w:p w14:paraId="7F5ED594" w14:textId="64F5DC80" w:rsidR="008E2C7E" w:rsidRPr="002756D2" w:rsidRDefault="008E2C7E" w:rsidP="008E2C7E">
      <w:pPr>
        <w:jc w:val="both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</w:rPr>
        <w:t>Lastly, the LSTM model, despite its theoretical advantages for long-sequence memory retention, can struggle in practice, possibly due to model complexity and sensitivity to noisy financial data.</w:t>
      </w:r>
    </w:p>
    <w:p w14:paraId="43616D9C" w14:textId="75750010" w:rsidR="00863EF6" w:rsidRPr="002756D2" w:rsidRDefault="00863EF6" w:rsidP="00863EF6">
      <w:pPr>
        <w:pStyle w:val="Heading2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</w:rPr>
        <w:t>Conclusion</w:t>
      </w:r>
    </w:p>
    <w:p w14:paraId="5105104F" w14:textId="6B3633BD" w:rsidR="00863EF6" w:rsidRPr="002756D2" w:rsidRDefault="006A040A" w:rsidP="002756D2">
      <w:pPr>
        <w:jc w:val="both"/>
        <w:rPr>
          <w:rFonts w:ascii="Times New Roman" w:hAnsi="Times New Roman" w:cs="Times New Roman"/>
        </w:rPr>
      </w:pPr>
      <w:r w:rsidRPr="002756D2">
        <w:rPr>
          <w:rFonts w:ascii="Times New Roman" w:hAnsi="Times New Roman" w:cs="Times New Roman"/>
        </w:rPr>
        <w:t xml:space="preserve">The results suggest that deep learning models, particularly those that combine convolutional and attention mechanisms like the CNN-Transformer, show strong potential for financial time-series forecasting. </w:t>
      </w:r>
      <w:r w:rsidR="00E351DC" w:rsidRPr="002756D2">
        <w:rPr>
          <w:rFonts w:ascii="Times New Roman" w:hAnsi="Times New Roman" w:cs="Times New Roman"/>
        </w:rPr>
        <w:t xml:space="preserve">Despite that, the challenges remain in modelling extremely short-term returns due to inherent noise, as evident by the poor model accuracy on 1-day and 5-day forward returns. Future work could explore </w:t>
      </w:r>
      <w:r w:rsidR="00E62682" w:rsidRPr="002756D2">
        <w:rPr>
          <w:rFonts w:ascii="Times New Roman" w:hAnsi="Times New Roman" w:cs="Times New Roman"/>
        </w:rPr>
        <w:t xml:space="preserve">hybrid modelling approaches, </w:t>
      </w:r>
      <w:r w:rsidR="00D13D8C" w:rsidRPr="002756D2">
        <w:rPr>
          <w:rFonts w:ascii="Times New Roman" w:hAnsi="Times New Roman" w:cs="Times New Roman"/>
        </w:rPr>
        <w:t xml:space="preserve">data augmentation strategies, and enhanced regularisation to prevent overfitting to improve robustness of model and enhance predictive accuracy. </w:t>
      </w:r>
    </w:p>
    <w:sectPr w:rsidR="00863EF6" w:rsidRPr="00275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A7333"/>
    <w:multiLevelType w:val="hybridMultilevel"/>
    <w:tmpl w:val="6D6A157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962D4A"/>
    <w:multiLevelType w:val="hybridMultilevel"/>
    <w:tmpl w:val="395CF41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AA5F23"/>
    <w:multiLevelType w:val="hybridMultilevel"/>
    <w:tmpl w:val="0404541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F05DC5"/>
    <w:multiLevelType w:val="hybridMultilevel"/>
    <w:tmpl w:val="0E86670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7569300">
    <w:abstractNumId w:val="3"/>
  </w:num>
  <w:num w:numId="2" w16cid:durableId="1623027755">
    <w:abstractNumId w:val="2"/>
  </w:num>
  <w:num w:numId="3" w16cid:durableId="147942813">
    <w:abstractNumId w:val="0"/>
  </w:num>
  <w:num w:numId="4" w16cid:durableId="280115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2NDAxMDE2NDcxtjBU0lEKTi0uzszPAykwrAUAZ98I0SwAAAA="/>
  </w:docVars>
  <w:rsids>
    <w:rsidRoot w:val="00322B40"/>
    <w:rsid w:val="000443A6"/>
    <w:rsid w:val="000A6DAE"/>
    <w:rsid w:val="000D711D"/>
    <w:rsid w:val="00195749"/>
    <w:rsid w:val="0022456B"/>
    <w:rsid w:val="002756D2"/>
    <w:rsid w:val="002C766E"/>
    <w:rsid w:val="002D5ADE"/>
    <w:rsid w:val="00322B40"/>
    <w:rsid w:val="00337911"/>
    <w:rsid w:val="00383579"/>
    <w:rsid w:val="00450DBA"/>
    <w:rsid w:val="004E17DB"/>
    <w:rsid w:val="00502718"/>
    <w:rsid w:val="00694C57"/>
    <w:rsid w:val="006A040A"/>
    <w:rsid w:val="00741323"/>
    <w:rsid w:val="007767A2"/>
    <w:rsid w:val="007F2DE4"/>
    <w:rsid w:val="00863EF6"/>
    <w:rsid w:val="008D76B0"/>
    <w:rsid w:val="008E2C7E"/>
    <w:rsid w:val="00936C15"/>
    <w:rsid w:val="00946302"/>
    <w:rsid w:val="009A4626"/>
    <w:rsid w:val="009D0E81"/>
    <w:rsid w:val="009E7660"/>
    <w:rsid w:val="00A05061"/>
    <w:rsid w:val="00A15D61"/>
    <w:rsid w:val="00AB0618"/>
    <w:rsid w:val="00B13A48"/>
    <w:rsid w:val="00B30CF4"/>
    <w:rsid w:val="00B37CF5"/>
    <w:rsid w:val="00BD77C0"/>
    <w:rsid w:val="00C34019"/>
    <w:rsid w:val="00C41B0C"/>
    <w:rsid w:val="00C44098"/>
    <w:rsid w:val="00C73FAF"/>
    <w:rsid w:val="00CB00E5"/>
    <w:rsid w:val="00D13D8C"/>
    <w:rsid w:val="00D56E60"/>
    <w:rsid w:val="00D6148E"/>
    <w:rsid w:val="00D656DB"/>
    <w:rsid w:val="00D966DE"/>
    <w:rsid w:val="00DC46FE"/>
    <w:rsid w:val="00E009B2"/>
    <w:rsid w:val="00E351DC"/>
    <w:rsid w:val="00E62682"/>
    <w:rsid w:val="00E96C5D"/>
    <w:rsid w:val="00EB5F56"/>
    <w:rsid w:val="00EC657E"/>
    <w:rsid w:val="00EF2819"/>
    <w:rsid w:val="00F02C88"/>
    <w:rsid w:val="00F16A6D"/>
    <w:rsid w:val="00F657E3"/>
    <w:rsid w:val="00FB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B3D1"/>
  <w15:chartTrackingRefBased/>
  <w15:docId w15:val="{788B5DBE-B1D7-4AFC-BC05-89AE6F4D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B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56DB"/>
    <w:pPr>
      <w:spacing w:after="0" w:line="240" w:lineRule="auto"/>
    </w:pPr>
    <w:rPr>
      <w:rFonts w:eastAsiaTheme="minorEastAsia"/>
      <w:sz w:val="24"/>
      <w:szCs w:val="24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Tan</dc:creator>
  <cp:keywords/>
  <dc:description/>
  <cp:lastModifiedBy>Shervin Tan</cp:lastModifiedBy>
  <cp:revision>50</cp:revision>
  <dcterms:created xsi:type="dcterms:W3CDTF">2025-04-28T10:40:00Z</dcterms:created>
  <dcterms:modified xsi:type="dcterms:W3CDTF">2025-04-28T11:44:00Z</dcterms:modified>
</cp:coreProperties>
</file>