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pStyle w:val="SmallNote"/>
      </w:pPr>
      <w:r>
        <w:rPr>
          <w:rFonts w:ascii="Arial" w:hAnsi="Arial"/>
          <w:b/>
          <w:color w:val="164F52"/>
          <w:sz w:val="17"/>
        </w:rPr>
        <w:t>PRODUCT RESEARCH  |  SINGAPORE</w:t>
      </w:r>
    </w:p>
    <w:p>
      <w:pPr>
        <w:pStyle w:val="Title"/>
      </w:pPr>
      <w:r>
        <w:t>Truestorey Tenancy Operations Product Research</w:t>
      </w:r>
    </w:p>
    <w:p>
      <w:pPr>
        <w:spacing w:after="400"/>
      </w:pPr>
      <w:r>
        <w:rPr>
          <w:rFonts w:ascii="Arial" w:hAnsi="Arial"/>
          <w:color w:val="5F6966"/>
          <w:sz w:val="28"/>
        </w:rPr>
        <w:t>Singapore product strategy and pilot plan</w:t>
      </w:r>
    </w:p>
    <w:tbl>
      <w:tblPr>
        <w:tblW w:type="auto" w:w="0"/>
        <w:jc w:val="center"/>
        <w:tblLayout w:type="fixed"/>
        <w:tblLook w:firstColumn="1" w:firstRow="1" w:lastColumn="0" w:lastRow="0" w:noHBand="0" w:noVBand="1" w:val="04A0"/>
      </w:tblPr>
      <w:tblGrid>
        <w:gridCol w:w="125"/>
        <w:gridCol w:w="9128"/>
      </w:tblGrid>
      <w:tr>
        <w:tc>
          <w:tcPr>
            <w:tcW w:type="dxa" w:w="4961"/>
            <w:shd w:fill="164F52"/>
            <w:tcBorders>
              <w:top w:val="single" w:sz="0" w:space="0" w:color="E9F2F1"/>
              <w:left w:val="single" w:sz="0" w:space="0" w:color="E9F2F1"/>
              <w:bottom w:val="single" w:sz="0" w:space="0" w:color="E9F2F1"/>
              <w:right w:val="single" w:sz="0" w:space="0" w:color="E9F2F1"/>
              <w:insideH w:val="single" w:sz="0" w:space="0" w:color="E9F2F1"/>
              <w:insideV w:val="single" w:sz="0" w:space="0" w:color="E9F2F1"/>
            </w:tcBorders>
            <w:tcMar>
              <w:top w:w="140" w:type="dxa"/>
              <w:start w:w="170" w:type="dxa"/>
              <w:bottom w:w="140" w:type="dxa"/>
              <w:end w:w="170" w:type="dxa"/>
            </w:tcMar>
            <w:vAlign w:val="center"/>
          </w:tcPr>
          <w:p/>
        </w:tc>
        <w:tc>
          <w:tcPr>
            <w:tcW w:type="dxa" w:w="4961"/>
            <w:shd w:fill="E9F2F1"/>
            <w:tcBorders>
              <w:top w:val="single" w:sz="0" w:space="0" w:color="E9F2F1"/>
              <w:left w:val="single" w:sz="0" w:space="0" w:color="E9F2F1"/>
              <w:bottom w:val="single" w:sz="0" w:space="0" w:color="E9F2F1"/>
              <w:right w:val="single" w:sz="0" w:space="0" w:color="E9F2F1"/>
              <w:insideH w:val="single" w:sz="0" w:space="0" w:color="E9F2F1"/>
              <w:insideV w:val="single" w:sz="0" w:space="0" w:color="E9F2F1"/>
            </w:tcBorders>
            <w:tcMar>
              <w:top w:w="140" w:type="dxa"/>
              <w:start w:w="170" w:type="dxa"/>
              <w:bottom w:w="140" w:type="dxa"/>
              <w:end w:w="170" w:type="dxa"/>
            </w:tcMar>
            <w:vAlign w:val="center"/>
          </w:tcPr>
          <w:p>
            <w:pPr>
              <w:spacing w:after="60"/>
            </w:pPr>
            <w:r>
              <w:rPr>
                <w:rFonts w:ascii="Arial" w:hAnsi="Arial"/>
                <w:b/>
                <w:color w:val="000000"/>
                <w:sz w:val="21"/>
              </w:rPr>
              <w:t>Direct recommendation</w:t>
            </w:r>
          </w:p>
          <w:p>
            <w:pPr>
              <w:spacing w:after="0"/>
            </w:pPr>
            <w:r>
              <w:rPr>
                <w:rFonts w:ascii="Arial" w:hAnsi="Arial"/>
                <w:color w:val="1B2322"/>
                <w:sz w:val="19"/>
              </w:rPr>
              <w:t>Validate for two weeks, then build only a narrow shared tenancy evidence log. Keep rent bank to bank, use a separate property management mandate for the agent, start with the landlord's existing contractors, and place the private app beside rather than inside the public Truestorey site.</w:t>
            </w:r>
          </w:p>
        </w:tc>
      </w:tr>
    </w:tbl>
    <w:p>
      <w:pPr>
        <w:spacing w:after="0"/>
      </w:pPr>
    </w:p>
    <w:p>
      <w:pPr>
        <w:spacing w:after="400"/>
      </w:pPr>
    </w:p>
    <w:p>
      <w:pPr>
        <w:spacing w:after="40"/>
      </w:pPr>
      <w:r>
        <w:rPr>
          <w:rFonts w:ascii="Arial" w:hAnsi="Arial"/>
          <w:b/>
          <w:color w:val="5F6966"/>
          <w:sz w:val="16"/>
        </w:rPr>
        <w:t>Prepared for</w:t>
      </w:r>
    </w:p>
    <w:p>
      <w:pPr>
        <w:spacing w:after="240"/>
      </w:pPr>
      <w:r>
        <w:rPr>
          <w:rFonts w:ascii="Arial" w:hAnsi="Arial"/>
          <w:b/>
          <w:color w:val="000000"/>
          <w:sz w:val="22"/>
        </w:rPr>
        <w:t>Shervin Poh</w:t>
      </w:r>
    </w:p>
    <w:p>
      <w:pPr>
        <w:spacing w:after="40"/>
      </w:pPr>
      <w:r>
        <w:rPr>
          <w:rFonts w:ascii="Arial" w:hAnsi="Arial"/>
          <w:b/>
          <w:color w:val="5F6966"/>
          <w:sz w:val="16"/>
        </w:rPr>
        <w:t>Research date</w:t>
      </w:r>
    </w:p>
    <w:p>
      <w:r>
        <w:rPr>
          <w:rFonts w:ascii="Arial" w:hAnsi="Arial"/>
          <w:color w:val="000000"/>
          <w:sz w:val="22"/>
        </w:rPr>
        <w:t>4 September 2026</w:t>
      </w:r>
    </w:p>
    <w:p>
      <w:pPr>
        <w:sectPr>
          <w:headerReference w:type="default" r:id="rId9"/>
          <w:footerReference w:type="default" r:id="rId10"/>
          <w:headerReference w:type="first" r:id="rId11"/>
          <w:footerReference w:type="first" r:id="rId12"/>
          <w:pgSz w:w="11906" w:h="16838"/>
          <w:pgMar w:top="1134" w:right="992" w:bottom="1106" w:left="992" w:header="397" w:footer="397" w:gutter="0"/>
          <w:cols w:space="720"/>
          <w:titlePg/>
          <w:docGrid w:linePitch="360"/>
        </w:sectPr>
      </w:pPr>
    </w:p>
    <w:p>
      <w:pPr>
        <w:pStyle w:val="Heading1"/>
        <w:keepNext/>
      </w:pPr>
      <w:r>
        <w:t>Executive decision</w:t>
      </w:r>
    </w:p>
    <w:p>
      <w:pPr>
        <w:pStyle w:val="BodyText"/>
      </w:pPr>
      <w:r>
        <w:rPr>
          <w:rFonts w:ascii="Arial" w:hAnsi="Arial"/>
          <w:color w:val="1B2322"/>
        </w:rPr>
        <w:t>Build a pilot, but do not begin with the complete property management platform in the original idea. Direct competitors already cover much of the same ground. The opportunity is to make one difficult part meaningfully better: a shared, neutral record of rent, condition, maintenance, approvals and contractual obligations that all parties can point to.</w:t>
      </w:r>
    </w:p>
    <w:tbl>
      <w:tblPr>
        <w:tblW w:type="auto" w:w="0"/>
        <w:jc w:val="center"/>
        <w:tblLayout w:type="fixed"/>
        <w:tblLook w:firstColumn="1" w:firstRow="1" w:lastColumn="0" w:lastRow="0" w:noHBand="0" w:noVBand="1" w:val="04A0"/>
      </w:tblPr>
      <w:tblGrid>
        <w:gridCol w:w="3307"/>
        <w:gridCol w:w="3307"/>
        <w:gridCol w:w="3307"/>
      </w:tblGrid>
      <w:tr>
        <w:tc>
          <w:tcPr>
            <w:tcW w:type="dxa" w:w="3307"/>
            <w:shd w:fill="F6F5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tcPr>
          <w:p>
            <w:pPr>
              <w:spacing w:after="40"/>
              <w:jc w:val="center"/>
            </w:pPr>
            <w:r>
              <w:rPr>
                <w:rFonts w:ascii="Arial" w:hAnsi="Arial"/>
                <w:b/>
                <w:color w:val="164F52"/>
                <w:sz w:val="34"/>
              </w:rPr>
              <w:t>59,567</w:t>
            </w:r>
          </w:p>
          <w:p>
            <w:pPr>
              <w:spacing w:after="0"/>
              <w:jc w:val="center"/>
            </w:pPr>
            <w:r>
              <w:rPr>
                <w:rFonts w:ascii="Arial" w:hAnsi="Arial"/>
                <w:color w:val="5F6966"/>
                <w:sz w:val="15"/>
              </w:rPr>
              <w:t>active HDB whole flat rental cases at 31 Mar 2025</w:t>
            </w:r>
          </w:p>
        </w:tc>
        <w:tc>
          <w:tcPr>
            <w:tcW w:type="dxa" w:w="3307"/>
            <w:shd w:fill="E9F2F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tcPr>
          <w:p>
            <w:pPr>
              <w:spacing w:after="40"/>
              <w:jc w:val="center"/>
            </w:pPr>
            <w:r>
              <w:rPr>
                <w:rFonts w:ascii="Arial" w:hAnsi="Arial"/>
                <w:b/>
                <w:color w:val="164F52"/>
                <w:sz w:val="34"/>
              </w:rPr>
              <w:t>36,816</w:t>
            </w:r>
          </w:p>
          <w:p>
            <w:pPr>
              <w:spacing w:after="0"/>
              <w:jc w:val="center"/>
            </w:pPr>
            <w:r>
              <w:rPr>
                <w:rFonts w:ascii="Arial" w:hAnsi="Arial"/>
                <w:color w:val="5F6966"/>
                <w:sz w:val="15"/>
              </w:rPr>
              <w:t>registered property agents at 1 Jan 2026</w:t>
            </w:r>
          </w:p>
        </w:tc>
        <w:tc>
          <w:tcPr>
            <w:tcW w:type="dxa" w:w="3307"/>
            <w:shd w:fill="F6F5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tcPr>
          <w:p>
            <w:pPr>
              <w:spacing w:after="40"/>
              <w:jc w:val="center"/>
            </w:pPr>
            <w:r>
              <w:rPr>
                <w:rFonts w:ascii="Arial" w:hAnsi="Arial"/>
                <w:b/>
                <w:color w:val="164F52"/>
                <w:sz w:val="34"/>
              </w:rPr>
              <w:t>124,000</w:t>
            </w:r>
          </w:p>
          <w:p>
            <w:pPr>
              <w:spacing w:after="0"/>
              <w:jc w:val="center"/>
            </w:pPr>
            <w:r>
              <w:rPr>
                <w:rFonts w:ascii="Arial" w:hAnsi="Arial"/>
                <w:color w:val="5F6966"/>
                <w:sz w:val="15"/>
              </w:rPr>
              <w:t>resident households renting in 2024</w:t>
            </w:r>
          </w:p>
        </w:tc>
      </w:tr>
    </w:tbl>
    <w:p>
      <w:pPr>
        <w:spacing w:after="0"/>
      </w:pPr>
    </w:p>
    <w:p>
      <w:pPr>
        <w:pStyle w:val="SmallNote"/>
      </w:pPr>
      <w:r>
        <w:t>The three measures use different populations and overlap. They demonstrate market reach and must not be added into a single total.</w:t>
      </w:r>
      <w:r>
        <w:t xml:space="preserve">  </w:t>
      </w:r>
      <w:hyperlink r:id="rId17">
        <w:r>
          <w:rPr>
            <w:rFonts w:ascii="Arial" w:hAnsi="Arial"/>
            <w:color w:val="164F52"/>
          </w:rPr>
          <w:t>Source  HDB key statistics</w:t>
        </w:r>
      </w:hyperlink>
      <w:r>
        <w:t xml:space="preserve">  </w:t>
      </w:r>
      <w:hyperlink r:id="rId18">
        <w:r>
          <w:rPr>
            <w:rFonts w:ascii="Arial" w:hAnsi="Arial"/>
            <w:color w:val="164F52"/>
          </w:rPr>
          <w:t>Source  CEA industry statistics</w:t>
        </w:r>
      </w:hyperlink>
      <w:r>
        <w:t xml:space="preserve">  </w:t>
      </w:r>
      <w:hyperlink r:id="rId19">
        <w:r>
          <w:rPr>
            <w:rFonts w:ascii="Arial" w:hAnsi="Arial"/>
            <w:color w:val="164F52"/>
          </w:rPr>
          <w:t>Source  Population Trends 2025</w:t>
        </w:r>
      </w:hyperlink>
    </w:p>
    <w:p>
      <w:pPr>
        <w:pStyle w:val="Heading2"/>
        <w:keepNext/>
      </w:pPr>
      <w:r>
        <w:t>Six decisions that should not move</w:t>
      </w:r>
    </w:p>
    <w:p>
      <w:pPr>
        <w:pStyle w:val="BodyText"/>
        <w:spacing w:after="80"/>
        <w:ind w:left="351" w:hanging="238"/>
      </w:pPr>
      <w:r>
        <w:rPr>
          <w:rFonts w:ascii="Arial" w:hAnsi="Arial"/>
          <w:color w:val="164F52"/>
        </w:rPr>
        <w:t xml:space="preserve">•  </w:t>
      </w:r>
      <w:r>
        <w:rPr>
          <w:rFonts w:ascii="Arial" w:hAnsi="Arial"/>
          <w:color w:val="1B2322"/>
        </w:rPr>
        <w:t>The platform does not hold, route or control rent or deposits in the pilot.</w:t>
      </w:r>
    </w:p>
    <w:p>
      <w:pPr>
        <w:pStyle w:val="BodyText"/>
        <w:spacing w:after="80"/>
        <w:ind w:left="351" w:hanging="238"/>
      </w:pPr>
      <w:r>
        <w:rPr>
          <w:rFonts w:ascii="Arial" w:hAnsi="Arial"/>
          <w:color w:val="164F52"/>
        </w:rPr>
        <w:t xml:space="preserve">•  </w:t>
      </w:r>
      <w:r>
        <w:rPr>
          <w:rFonts w:ascii="Arial" w:hAnsi="Arial"/>
          <w:color w:val="1B2322"/>
        </w:rPr>
        <w:t>The agent's aftercare work is contracted separately as property management or tenancy administration.</w:t>
      </w:r>
    </w:p>
    <w:p>
      <w:pPr>
        <w:pStyle w:val="BodyText"/>
        <w:spacing w:after="80"/>
        <w:ind w:left="351" w:hanging="238"/>
      </w:pPr>
      <w:r>
        <w:rPr>
          <w:rFonts w:ascii="Arial" w:hAnsi="Arial"/>
          <w:color w:val="164F52"/>
        </w:rPr>
        <w:t xml:space="preserve">•  </w:t>
      </w:r>
      <w:r>
        <w:rPr>
          <w:rFonts w:ascii="Arial" w:hAnsi="Arial"/>
          <w:color w:val="1B2322"/>
        </w:rPr>
        <w:t>The signed agreement controls each obligation. The app does not assume every tenancy uses the CEA template.</w:t>
      </w:r>
    </w:p>
    <w:p>
      <w:pPr>
        <w:pStyle w:val="BodyText"/>
        <w:spacing w:after="80"/>
        <w:ind w:left="351" w:hanging="238"/>
      </w:pPr>
      <w:r>
        <w:rPr>
          <w:rFonts w:ascii="Arial" w:hAnsi="Arial"/>
          <w:color w:val="164F52"/>
        </w:rPr>
        <w:t xml:space="preserve">•  </w:t>
      </w:r>
      <w:r>
        <w:rPr>
          <w:rFonts w:ascii="Arial" w:hAnsi="Arial"/>
          <w:color w:val="1B2322"/>
        </w:rPr>
        <w:t>Contractors are brought by the landlord or agent first. An open marketplace comes only after recurring use is proven.</w:t>
      </w:r>
    </w:p>
    <w:p>
      <w:pPr>
        <w:pStyle w:val="BodyText"/>
        <w:spacing w:after="80"/>
        <w:ind w:left="351" w:hanging="238"/>
      </w:pPr>
      <w:r>
        <w:rPr>
          <w:rFonts w:ascii="Arial" w:hAnsi="Arial"/>
          <w:color w:val="164F52"/>
        </w:rPr>
        <w:t xml:space="preserve">•  </w:t>
      </w:r>
      <w:r>
        <w:rPr>
          <w:rFonts w:ascii="Arial" w:hAnsi="Arial"/>
          <w:color w:val="1B2322"/>
        </w:rPr>
        <w:t>Operational messages are separate from marketing consent. Tenant data is never reused for listings or prospecting by default.</w:t>
      </w:r>
    </w:p>
    <w:p>
      <w:pPr>
        <w:pStyle w:val="BodyText"/>
        <w:spacing w:after="80"/>
        <w:ind w:left="351" w:hanging="238"/>
      </w:pPr>
      <w:r>
        <w:rPr>
          <w:rFonts w:ascii="Arial" w:hAnsi="Arial"/>
          <w:color w:val="164F52"/>
        </w:rPr>
        <w:t xml:space="preserve">•  </w:t>
      </w:r>
      <w:r>
        <w:rPr>
          <w:rFonts w:ascii="Arial" w:hAnsi="Arial"/>
          <w:color w:val="1B2322"/>
        </w:rPr>
        <w:t>The private service has its own application and data project. Public data can flow in; private tenancy data never flows out.</w:t>
      </w:r>
    </w:p>
    <w:tbl>
      <w:tblPr>
        <w:tblW w:type="auto" w:w="0"/>
        <w:jc w:val="center"/>
        <w:tblLayout w:type="fixed"/>
        <w:tblLook w:firstColumn="1" w:firstRow="1" w:lastColumn="0" w:lastRow="0" w:noHBand="0" w:noVBand="1" w:val="04A0"/>
      </w:tblPr>
      <w:tblGrid>
        <w:gridCol w:w="125"/>
        <w:gridCol w:w="9128"/>
      </w:tblGrid>
      <w:tr>
        <w:tc>
          <w:tcPr>
            <w:tcW w:type="dxa" w:w="4961"/>
            <w:shd w:fill="A76519"/>
            <w:tcBorders>
              <w:top w:val="single" w:sz="0" w:space="0" w:color="F5E8D0"/>
              <w:left w:val="single" w:sz="0" w:space="0" w:color="F5E8D0"/>
              <w:bottom w:val="single" w:sz="0" w:space="0" w:color="F5E8D0"/>
              <w:right w:val="single" w:sz="0" w:space="0" w:color="F5E8D0"/>
              <w:insideH w:val="single" w:sz="0" w:space="0" w:color="F5E8D0"/>
              <w:insideV w:val="single" w:sz="0" w:space="0" w:color="F5E8D0"/>
            </w:tcBorders>
            <w:tcMar>
              <w:top w:w="140" w:type="dxa"/>
              <w:start w:w="170" w:type="dxa"/>
              <w:bottom w:w="140" w:type="dxa"/>
              <w:end w:w="170" w:type="dxa"/>
            </w:tcMar>
            <w:vAlign w:val="center"/>
          </w:tcPr>
          <w:p/>
        </w:tc>
        <w:tc>
          <w:tcPr>
            <w:tcW w:type="dxa" w:w="4961"/>
            <w:shd w:fill="F5E8D0"/>
            <w:tcBorders>
              <w:top w:val="single" w:sz="0" w:space="0" w:color="F5E8D0"/>
              <w:left w:val="single" w:sz="0" w:space="0" w:color="F5E8D0"/>
              <w:bottom w:val="single" w:sz="0" w:space="0" w:color="F5E8D0"/>
              <w:right w:val="single" w:sz="0" w:space="0" w:color="F5E8D0"/>
              <w:insideH w:val="single" w:sz="0" w:space="0" w:color="F5E8D0"/>
              <w:insideV w:val="single" w:sz="0" w:space="0" w:color="F5E8D0"/>
            </w:tcBorders>
            <w:tcMar>
              <w:top w:w="140" w:type="dxa"/>
              <w:start w:w="170" w:type="dxa"/>
              <w:bottom w:w="140" w:type="dxa"/>
              <w:end w:w="170" w:type="dxa"/>
            </w:tcMar>
            <w:vAlign w:val="center"/>
          </w:tcPr>
          <w:p>
            <w:pPr>
              <w:spacing w:after="60"/>
            </w:pPr>
            <w:r>
              <w:rPr>
                <w:rFonts w:ascii="Arial" w:hAnsi="Arial"/>
                <w:b/>
                <w:color w:val="000000"/>
                <w:sz w:val="21"/>
              </w:rPr>
              <w:t>The claim to avoid</w:t>
            </w:r>
          </w:p>
          <w:p>
            <w:pPr>
              <w:spacing w:after="0"/>
            </w:pPr>
            <w:r>
              <w:rPr>
                <w:rFonts w:ascii="Arial" w:hAnsi="Arial"/>
                <w:color w:val="1B2322"/>
                <w:sz w:val="19"/>
              </w:rPr>
              <w:t>An independent contractor and a transparent quote cannot guarantee that there will be no dispute. The product can reduce ambiguity and preserve evidence. It should never promise a dispute free tenancy.</w:t>
            </w:r>
          </w:p>
        </w:tc>
      </w:tr>
    </w:tbl>
    <w:p>
      <w:pPr>
        <w:spacing w:after="0"/>
      </w:pPr>
    </w:p>
    <w:p>
      <w:pPr>
        <w:pStyle w:val="Heading1"/>
        <w:keepNext/>
      </w:pPr>
      <w:r>
        <w:t>What changes the decision</w:t>
      </w:r>
    </w:p>
    <w:p>
      <w:pPr>
        <w:pStyle w:val="BodyText"/>
      </w:pPr>
      <w:r>
        <w:rPr>
          <w:rFonts w:ascii="Arial" w:hAnsi="Arial"/>
          <w:color w:val="1B2322"/>
        </w:rPr>
        <w:t>The proposed feature set is not absent from Singapore. Current first party product pages show several live or beta products with substantial overlap. This does not prove customer adoption or quality, but it means uniqueness cannot be the basis for investment.</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247"/>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Product</w:t>
            </w:r>
          </w:p>
        </w:tc>
        <w:tc>
          <w:tcPr>
            <w:tcW w:type="dxa" w:w="3402"/>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Current stated scope</w:t>
            </w:r>
          </w:p>
        </w:tc>
        <w:tc>
          <w:tcPr>
            <w:tcW w:type="dxa" w:w="2154"/>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Published price signal</w:t>
            </w:r>
          </w:p>
        </w:tc>
        <w:tc>
          <w:tcPr>
            <w:tcW w:type="dxa" w:w="2835"/>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What it means for Truestorey</w:t>
            </w:r>
          </w:p>
        </w:tc>
      </w:tr>
      <w:tr>
        <w:trPr>
          <w:trHeight w:hRule="atLeast"/>
        </w:trPr>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RentOwl</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Singapore agent, landlord and tenant portals; agreements; direct PayNow rent tracking; maintenance; contractor quotes; obligations; renewals</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S$49 founding Solo for 20 active tenancies, then S$79; S$12 for one self managed property</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Closest direct competitor. Demo or partnership discussion should precede a long build.</w:t>
            </w:r>
          </w:p>
        </w:tc>
      </w:tr>
      <w:tr>
        <w:trPr>
          <w:trHeight w:hRule="atLeast"/>
        </w:trPr>
        <w:tc>
          <w:tcPr>
            <w:tcW w:type="dxa" w:w="124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Coweave</w:t>
            </w:r>
          </w:p>
        </w:tc>
        <w:tc>
          <w:tcPr>
            <w:tcW w:type="dxa" w:w="3402"/>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Multi role property collaboration; work orders; chat; audit trail; Singpass e signatures</w:t>
            </w:r>
          </w:p>
        </w:tc>
        <w:tc>
          <w:tcPr>
            <w:tcW w:type="dxa" w:w="215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Invite only beta; agent free during beta; enterprise custom</w:t>
            </w:r>
          </w:p>
        </w:tc>
        <w:tc>
          <w:tcPr>
            <w:tcW w:type="dxa" w:w="2835"/>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Broad competitor. Its current legal and compliance claims require independent verification.</w:t>
            </w:r>
          </w:p>
        </w:tc>
      </w:tr>
      <w:tr>
        <w:trPr>
          <w:trHeight w:hRule="atLeast"/>
        </w:trPr>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EasyProp</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Rent reminders; leases; tenant records; finance; maintenance</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S$49 for up to five properties; maintenance listed at S$99</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Shows the basic feature bundle is already a category.</w:t>
            </w:r>
          </w:p>
        </w:tc>
      </w:tr>
      <w:tr>
        <w:trPr>
          <w:trHeight w:hRule="atLeast"/>
        </w:trPr>
        <w:tc>
          <w:tcPr>
            <w:tcW w:type="dxa" w:w="124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Mehlia</w:t>
            </w:r>
          </w:p>
        </w:tc>
        <w:tc>
          <w:tcPr>
            <w:tcW w:type="dxa" w:w="3402"/>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Landlord app and resident app; rent; expenses; tickets; photos; messaging</w:t>
            </w:r>
          </w:p>
        </w:tc>
        <w:tc>
          <w:tcPr>
            <w:tcW w:type="dxa" w:w="215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Free for one unit; S$12.99 for up to five</w:t>
            </w:r>
          </w:p>
        </w:tc>
        <w:tc>
          <w:tcPr>
            <w:tcW w:type="dxa" w:w="2835"/>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Low cost international alternative available in the Singapore App Store.</w:t>
            </w:r>
          </w:p>
        </w:tc>
      </w:tr>
      <w:tr>
        <w:trPr>
          <w:trHeight w:hRule="atLeast"/>
        </w:trPr>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Handyy</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Singapore fixed price contractor quotes; payments; vetting; insurance; agent referral commissions</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Customer posts free; job economics not fully published</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Potential partner and proof that the contractor marketplace is a separate operating business.</w:t>
            </w:r>
          </w:p>
        </w:tc>
      </w:tr>
    </w:tbl>
    <w:p>
      <w:pPr>
        <w:spacing w:after="0"/>
      </w:pPr>
    </w:p>
    <w:p>
      <w:pPr>
        <w:pStyle w:val="SmallNote"/>
      </w:pPr>
      <w:r>
        <w:t xml:space="preserve">Sources are current first party pages accessed 4 September 2026. Adoption, retention and service quality were not independently verified. </w:t>
      </w:r>
      <w:hyperlink r:id="rId20">
        <w:r>
          <w:rPr>
            <w:rFonts w:ascii="Arial" w:hAnsi="Arial"/>
            <w:color w:val="164F52"/>
          </w:rPr>
          <w:t>RentOwl</w:t>
        </w:r>
      </w:hyperlink>
      <w:r>
        <w:t xml:space="preserve">  </w:t>
      </w:r>
      <w:hyperlink r:id="rId21">
        <w:r>
          <w:rPr>
            <w:rFonts w:ascii="Arial" w:hAnsi="Arial"/>
            <w:color w:val="164F52"/>
          </w:rPr>
          <w:t>Coweave</w:t>
        </w:r>
      </w:hyperlink>
      <w:r>
        <w:t xml:space="preserve">  </w:t>
      </w:r>
      <w:hyperlink r:id="rId22">
        <w:r>
          <w:rPr>
            <w:rFonts w:ascii="Arial" w:hAnsi="Arial"/>
            <w:color w:val="164F52"/>
          </w:rPr>
          <w:t>EasyProp</w:t>
        </w:r>
      </w:hyperlink>
      <w:r>
        <w:t xml:space="preserve">  </w:t>
      </w:r>
      <w:hyperlink r:id="rId23">
        <w:r>
          <w:rPr>
            <w:rFonts w:ascii="Arial" w:hAnsi="Arial"/>
            <w:color w:val="164F52"/>
          </w:rPr>
          <w:t>Mehlia</w:t>
        </w:r>
      </w:hyperlink>
      <w:r>
        <w:t xml:space="preserve">  </w:t>
      </w:r>
      <w:hyperlink r:id="rId24">
        <w:r>
          <w:rPr>
            <w:rFonts w:ascii="Arial" w:hAnsi="Arial"/>
            <w:color w:val="164F52"/>
          </w:rPr>
          <w:t>Handyy</w:t>
        </w:r>
      </w:hyperlink>
    </w:p>
    <w:p>
      <w:pPr>
        <w:pStyle w:val="Heading2"/>
        <w:keepNext/>
      </w:pPr>
      <w:r>
        <w:t>Evidence confidence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84"/>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Question</w:t>
            </w:r>
          </w:p>
        </w:tc>
        <w:tc>
          <w:tcPr>
            <w:tcW w:type="dxa" w:w="1247"/>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Confidence</w:t>
            </w:r>
          </w:p>
        </w:tc>
        <w:tc>
          <w:tcPr>
            <w:tcW w:type="dxa" w:w="3628"/>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What the evidence establishes</w:t>
            </w:r>
          </w:p>
        </w:tc>
        <w:tc>
          <w:tcPr>
            <w:tcW w:type="dxa" w:w="2778"/>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Remaining gap</w:t>
            </w:r>
          </w:p>
        </w:tc>
      </w:tr>
      <w:tr>
        <w:trPr>
          <w:trHeight w:hRule="atLeast"/>
        </w:trPr>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Is there a real operational problem</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Medium</w:t>
            </w:r>
          </w:p>
        </w:tc>
        <w:tc>
          <w:tcPr>
            <w:tcW w:type="dxa" w:w="36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Singapore standard tenancy clauses create recurring rent, condition, repair and air conditioning evidence tasks.</w:t>
            </w:r>
          </w:p>
        </w:tc>
        <w:tc>
          <w:tcPr>
            <w:tcW w:type="dxa" w:w="27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No direct observation yet of Shervin's users and their current workarounds.</w:t>
            </w:r>
          </w:p>
        </w:tc>
      </w:tr>
      <w:tr>
        <w:trPr>
          <w:trHeight w:hRule="atLeast"/>
        </w:trPr>
        <w:tc>
          <w:tcPr>
            <w:tcW w:type="dxa" w:w="198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Is the market empty</w:t>
            </w:r>
          </w:p>
        </w:tc>
        <w:tc>
          <w:tcPr>
            <w:tcW w:type="dxa" w:w="124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High</w:t>
            </w:r>
          </w:p>
        </w:tc>
        <w:tc>
          <w:tcPr>
            <w:tcW w:type="dxa" w:w="36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Several current products explicitly advertise the proposed functions.</w:t>
            </w:r>
          </w:p>
        </w:tc>
        <w:tc>
          <w:tcPr>
            <w:tcW w:type="dxa" w:w="277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Independent usage and product quality are unknown.</w:t>
            </w:r>
          </w:p>
        </w:tc>
      </w:tr>
      <w:tr>
        <w:trPr>
          <w:trHeight w:hRule="atLeast"/>
        </w:trPr>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Can the agent remain involved</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High on boundary</w:t>
            </w:r>
          </w:p>
        </w:tc>
        <w:tc>
          <w:tcPr>
            <w:tcW w:type="dxa" w:w="36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CEA permits separate property management help but says it falls outside estate agency work and CEA's purview.</w:t>
            </w:r>
          </w:p>
        </w:tc>
        <w:tc>
          <w:tcPr>
            <w:tcW w:type="dxa" w:w="27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Huttons approval, entity structure, insurance and contract terms require advice.</w:t>
            </w:r>
          </w:p>
        </w:tc>
      </w:tr>
      <w:tr>
        <w:trPr>
          <w:trHeight w:hRule="atLeast"/>
        </w:trPr>
        <w:tc>
          <w:tcPr>
            <w:tcW w:type="dxa" w:w="198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Will anyone pay</w:t>
            </w:r>
          </w:p>
        </w:tc>
        <w:tc>
          <w:tcPr>
            <w:tcW w:type="dxa" w:w="124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Low</w:t>
            </w:r>
          </w:p>
        </w:tc>
        <w:tc>
          <w:tcPr>
            <w:tcW w:type="dxa" w:w="36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Competitor prices provide anchors only.</w:t>
            </w:r>
          </w:p>
        </w:tc>
        <w:tc>
          <w:tcPr>
            <w:tcW w:type="dxa" w:w="277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Paid pilot and interview evidence are needed.</w:t>
            </w:r>
          </w:p>
        </w:tc>
      </w:tr>
    </w:tbl>
    <w:p>
      <w:pPr>
        <w:spacing w:after="0"/>
      </w:pPr>
    </w:p>
    <w:p>
      <w:pPr>
        <w:pStyle w:val="Heading1"/>
        <w:keepNext/>
      </w:pPr>
      <w:r>
        <w:t>The defensible product</w:t>
      </w:r>
    </w:p>
    <w:p>
      <w:pPr>
        <w:pStyle w:val="BodyText"/>
      </w:pPr>
      <w:r>
        <w:rPr>
          <w:rFonts w:ascii="Arial" w:hAnsi="Arial"/>
          <w:color w:val="1B2322"/>
        </w:rPr>
        <w:t>Truestorey should own the evidence and accountability layer, not try to own every tenancy transaction. The product should answer what happened, who acknowledged it, what the agreement requires and what happens next. It should avoid legal conclusions, payment custody and opaque service provider incentives.</w:t>
      </w:r>
    </w:p>
    <w:tbl>
      <w:tblPr>
        <w:tblW w:type="auto" w:w="0"/>
        <w:jc w:val="center"/>
        <w:tblLayout w:type="fixed"/>
        <w:tblLook w:firstColumn="1" w:firstRow="1" w:lastColumn="0" w:lastRow="0" w:noHBand="0" w:noVBand="1" w:val="04A0"/>
      </w:tblPr>
      <w:tblGrid>
        <w:gridCol w:w="125"/>
        <w:gridCol w:w="9128"/>
      </w:tblGrid>
      <w:tr>
        <w:tc>
          <w:tcPr>
            <w:tcW w:type="dxa" w:w="4961"/>
            <w:shd w:fill="164F52"/>
            <w:tcBorders>
              <w:top w:val="single" w:sz="0" w:space="0" w:color="E9F2F1"/>
              <w:left w:val="single" w:sz="0" w:space="0" w:color="E9F2F1"/>
              <w:bottom w:val="single" w:sz="0" w:space="0" w:color="E9F2F1"/>
              <w:right w:val="single" w:sz="0" w:space="0" w:color="E9F2F1"/>
              <w:insideH w:val="single" w:sz="0" w:space="0" w:color="E9F2F1"/>
              <w:insideV w:val="single" w:sz="0" w:space="0" w:color="E9F2F1"/>
            </w:tcBorders>
            <w:tcMar>
              <w:top w:w="140" w:type="dxa"/>
              <w:start w:w="170" w:type="dxa"/>
              <w:bottom w:w="140" w:type="dxa"/>
              <w:end w:w="170" w:type="dxa"/>
            </w:tcMar>
            <w:vAlign w:val="center"/>
          </w:tcPr>
          <w:p/>
        </w:tc>
        <w:tc>
          <w:tcPr>
            <w:tcW w:type="dxa" w:w="4961"/>
            <w:shd w:fill="E9F2F1"/>
            <w:tcBorders>
              <w:top w:val="single" w:sz="0" w:space="0" w:color="E9F2F1"/>
              <w:left w:val="single" w:sz="0" w:space="0" w:color="E9F2F1"/>
              <w:bottom w:val="single" w:sz="0" w:space="0" w:color="E9F2F1"/>
              <w:right w:val="single" w:sz="0" w:space="0" w:color="E9F2F1"/>
              <w:insideH w:val="single" w:sz="0" w:space="0" w:color="E9F2F1"/>
              <w:insideV w:val="single" w:sz="0" w:space="0" w:color="E9F2F1"/>
            </w:tcBorders>
            <w:tcMar>
              <w:top w:w="140" w:type="dxa"/>
              <w:start w:w="170" w:type="dxa"/>
              <w:bottom w:w="140" w:type="dxa"/>
              <w:end w:w="170" w:type="dxa"/>
            </w:tcMar>
            <w:vAlign w:val="center"/>
          </w:tcPr>
          <w:p>
            <w:pPr>
              <w:spacing w:after="60"/>
            </w:pPr>
            <w:r>
              <w:rPr>
                <w:rFonts w:ascii="Arial" w:hAnsi="Arial"/>
                <w:b/>
                <w:color w:val="000000"/>
                <w:sz w:val="21"/>
              </w:rPr>
              <w:t>Working promise</w:t>
            </w:r>
          </w:p>
          <w:p>
            <w:pPr>
              <w:spacing w:after="0"/>
            </w:pPr>
            <w:r>
              <w:rPr>
                <w:rFonts w:ascii="Arial" w:hAnsi="Arial"/>
                <w:color w:val="1B2322"/>
                <w:sz w:val="19"/>
              </w:rPr>
              <w:t>Each tenancy has one shared timeline for rent, condition, maintenance and agreed obligations. Every change shows who made it, when, what evidence was attached and what happens next.</w:t>
            </w:r>
          </w:p>
        </w:tc>
      </w:tr>
    </w:tbl>
    <w:p>
      <w:pPr>
        <w:spacing w:after="0"/>
      </w:pPr>
    </w:p>
    <w:p>
      <w:pPr>
        <w:pStyle w:val="Heading2"/>
        <w:keepNext/>
      </w:pPr>
      <w:r>
        <w:t>Why the signed agreement must control</w:t>
      </w:r>
    </w:p>
    <w:p>
      <w:pPr>
        <w:pStyle w:val="BodyText"/>
      </w:pPr>
      <w:r>
        <w:rPr>
          <w:rFonts w:ascii="Arial" w:hAnsi="Arial"/>
          <w:color w:val="1B2322"/>
        </w:rPr>
        <w:t>CEA's private residential template includes a property condition report prepared within thirty days and endorsed by landlord and tenant. It also provides for a negotiable minor repair threshold and air conditioning service by a qualified contractor at least once every three months. Parties are free to negotiate different terms. The app may suggest fields from the template, but it must store the terms actually agreed.</w:t>
      </w:r>
      <w:r>
        <w:t xml:space="preserve">  </w:t>
      </w:r>
      <w:hyperlink r:id="rId25">
        <w:r>
          <w:rPr>
            <w:rFonts w:ascii="Arial" w:hAnsi="Arial"/>
            <w:color w:val="164F52"/>
          </w:rPr>
          <w:t>Source  CEA private tenancy template</w:t>
        </w:r>
      </w:hyperlink>
    </w:p>
    <w:p>
      <w:pPr>
        <w:pStyle w:val="Heading2"/>
        <w:keepNext/>
      </w:pPr>
      <w:r>
        <w:t>The five questions on every home</w:t>
      </w:r>
    </w:p>
    <w:p>
      <w:pPr>
        <w:pStyle w:val="BodyText"/>
        <w:spacing w:after="80"/>
        <w:ind w:left="351" w:hanging="351"/>
      </w:pPr>
      <w:r>
        <w:rPr>
          <w:rFonts w:ascii="Arial" w:hAnsi="Arial"/>
          <w:color w:val="164F52"/>
        </w:rPr>
        <w:t xml:space="preserve">1.  </w:t>
      </w:r>
      <w:r>
        <w:rPr>
          <w:rFonts w:ascii="Arial" w:hAnsi="Arial"/>
          <w:color w:val="1B2322"/>
        </w:rPr>
        <w:t>What is due next</w:t>
      </w:r>
    </w:p>
    <w:p>
      <w:pPr>
        <w:pStyle w:val="BodyText"/>
        <w:spacing w:after="80"/>
        <w:ind w:left="351" w:hanging="351"/>
      </w:pPr>
      <w:r>
        <w:rPr>
          <w:rFonts w:ascii="Arial" w:hAnsi="Arial"/>
          <w:color w:val="164F52"/>
        </w:rPr>
        <w:t xml:space="preserve">2.  </w:t>
      </w:r>
      <w:r>
        <w:rPr>
          <w:rFonts w:ascii="Arial" w:hAnsi="Arial"/>
          <w:color w:val="1B2322"/>
        </w:rPr>
        <w:t>What has been paid and who confirmed it</w:t>
      </w:r>
    </w:p>
    <w:p>
      <w:pPr>
        <w:pStyle w:val="BodyText"/>
        <w:spacing w:after="80"/>
        <w:ind w:left="351" w:hanging="351"/>
      </w:pPr>
      <w:r>
        <w:rPr>
          <w:rFonts w:ascii="Arial" w:hAnsi="Arial"/>
          <w:color w:val="164F52"/>
        </w:rPr>
        <w:t xml:space="preserve">3.  </w:t>
      </w:r>
      <w:r>
        <w:rPr>
          <w:rFonts w:ascii="Arial" w:hAnsi="Arial"/>
          <w:color w:val="1B2322"/>
        </w:rPr>
        <w:t>What condition was recorded at move in and move out</w:t>
      </w:r>
    </w:p>
    <w:p>
      <w:pPr>
        <w:pStyle w:val="BodyText"/>
        <w:spacing w:after="80"/>
        <w:ind w:left="351" w:hanging="351"/>
      </w:pPr>
      <w:r>
        <w:rPr>
          <w:rFonts w:ascii="Arial" w:hAnsi="Arial"/>
          <w:color w:val="164F52"/>
        </w:rPr>
        <w:t xml:space="preserve">4.  </w:t>
      </w:r>
      <w:r>
        <w:rPr>
          <w:rFonts w:ascii="Arial" w:hAnsi="Arial"/>
          <w:color w:val="1B2322"/>
        </w:rPr>
        <w:t>What is broken, who owns the next action and what was approved</w:t>
      </w:r>
    </w:p>
    <w:p>
      <w:pPr>
        <w:pStyle w:val="BodyText"/>
        <w:spacing w:after="80"/>
        <w:ind w:left="351" w:hanging="351"/>
      </w:pPr>
      <w:r>
        <w:rPr>
          <w:rFonts w:ascii="Arial" w:hAnsi="Arial"/>
          <w:color w:val="164F52"/>
        </w:rPr>
        <w:t xml:space="preserve">5.  </w:t>
      </w:r>
      <w:r>
        <w:rPr>
          <w:rFonts w:ascii="Arial" w:hAnsi="Arial"/>
          <w:color w:val="1B2322"/>
        </w:rPr>
        <w:t>Which agreed obligations are approaching or overdue</w:t>
      </w:r>
    </w:p>
    <w:p>
      <w:pPr>
        <w:pStyle w:val="Heading1"/>
        <w:keepNext/>
      </w:pPr>
      <w:r>
        <w:t>Minimum viable product</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417"/>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Capability</w:t>
            </w:r>
          </w:p>
        </w:tc>
        <w:tc>
          <w:tcPr>
            <w:tcW w:type="dxa" w:w="4082"/>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What the pilot does</w:t>
            </w:r>
          </w:p>
        </w:tc>
        <w:tc>
          <w:tcPr>
            <w:tcW w:type="dxa" w:w="4139"/>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Control that prevents overclaiming</w:t>
            </w:r>
          </w:p>
        </w:tc>
      </w:tr>
      <w:tr>
        <w:trPr>
          <w:trHeight w:hRule="atLeas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Tenancy setup</w:t>
            </w:r>
          </w:p>
        </w:tc>
        <w:tc>
          <w:tcPr>
            <w:tcW w:type="dxa" w:w="408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Records property, parties, dates, rent day, grace period, minor repair threshold, problem free period and air conditioning frequency.</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Every term is confirmed against the signed agreement. No full agreement upload in the pilot.</w:t>
            </w:r>
          </w:p>
        </w:tc>
      </w:tr>
      <w:tr>
        <w:trPr>
          <w:trHeight w:hRule="atLeast"/>
        </w:trPr>
        <w:tc>
          <w:tcPr>
            <w:tcW w:type="dxa" w:w="141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Rent record</w:t>
            </w:r>
          </w:p>
        </w:tc>
        <w:tc>
          <w:tcPr>
            <w:tcW w:type="dxa" w:w="4082"/>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Creates monthly cycles. Tenant marks sent with a transfer reference. Landlord confirms receipt.</w:t>
            </w:r>
          </w:p>
        </w:tc>
        <w:tc>
          <w:tcPr>
            <w:tcW w:type="dxa" w:w="413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Due, sent, confirmed, late and disputed remain separate states. The app never touches the funds.</w:t>
            </w:r>
          </w:p>
        </w:tc>
      </w:tr>
      <w:tr>
        <w:trPr>
          <w:trHeight w:hRule="atLeas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Condition report</w:t>
            </w:r>
          </w:p>
        </w:tc>
        <w:tc>
          <w:tcPr>
            <w:tcW w:type="dxa" w:w="408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Mobile checklist with room and item notes, photographs, versions and both party acknowledgement.</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Corrections append a version. GPS and device metadata are removed from photos.</w:t>
            </w:r>
          </w:p>
        </w:tc>
      </w:tr>
      <w:tr>
        <w:trPr>
          <w:trHeight w:hRule="atLeast"/>
        </w:trPr>
        <w:tc>
          <w:tcPr>
            <w:tcW w:type="dxa" w:w="141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Obligations</w:t>
            </w:r>
          </w:p>
        </w:tc>
        <w:tc>
          <w:tcPr>
            <w:tcW w:type="dxa" w:w="4082"/>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Reminds the responsible party and captures receipt or service evidence.</w:t>
            </w:r>
          </w:p>
        </w:tc>
        <w:tc>
          <w:tcPr>
            <w:tcW w:type="dxa" w:w="413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Overdue means evidence is not acknowledged by the configured deadline. It is not a legal breach finding.</w:t>
            </w:r>
          </w:p>
        </w:tc>
      </w:tr>
      <w:tr>
        <w:trPr>
          <w:trHeight w:hRule="atLeas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Repairs</w:t>
            </w:r>
          </w:p>
        </w:tc>
        <w:tc>
          <w:tcPr>
            <w:tcW w:type="dxa" w:w="408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Captures defect, evidence, access, quote, approval, appointment, completion and close.</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A person chooses urgency, responsibility and final action. Scope or price changes need a new approval.</w:t>
            </w:r>
          </w:p>
        </w:tc>
      </w:tr>
      <w:tr>
        <w:trPr>
          <w:trHeight w:hRule="atLeast"/>
        </w:trPr>
        <w:tc>
          <w:tcPr>
            <w:tcW w:type="dxa" w:w="141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Exports</w:t>
            </w:r>
          </w:p>
        </w:tc>
        <w:tc>
          <w:tcPr>
            <w:tcW w:type="dxa" w:w="4082"/>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Produces a rent ledger, condition report and chronological repair evidence pack.</w:t>
            </w:r>
          </w:p>
        </w:tc>
        <w:tc>
          <w:tcPr>
            <w:tcW w:type="dxa" w:w="413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The export says it is an operational record, not proof of liability or tax treatment.</w:t>
            </w:r>
          </w:p>
        </w:tc>
      </w:tr>
    </w:tbl>
    <w:p>
      <w:pPr>
        <w:spacing w:after="0"/>
      </w:pPr>
    </w:p>
    <w:p>
      <w:pPr>
        <w:pStyle w:val="Heading2"/>
        <w:keepNext/>
      </w:pPr>
      <w:r>
        <w:t>Features to leave out</w:t>
      </w:r>
    </w:p>
    <w:p>
      <w:pPr>
        <w:pStyle w:val="BodyText"/>
        <w:spacing w:after="80"/>
        <w:ind w:left="351" w:hanging="238"/>
      </w:pPr>
      <w:r>
        <w:rPr>
          <w:rFonts w:ascii="Arial" w:hAnsi="Arial"/>
          <w:color w:val="164F52"/>
        </w:rPr>
        <w:t xml:space="preserve">•  </w:t>
      </w:r>
      <w:r>
        <w:rPr>
          <w:rFonts w:ascii="Arial" w:hAnsi="Arial"/>
          <w:color w:val="1B2322"/>
        </w:rPr>
        <w:t>Rent and deposit custody, escrow or routing</w:t>
      </w:r>
    </w:p>
    <w:p>
      <w:pPr>
        <w:pStyle w:val="BodyText"/>
        <w:spacing w:after="80"/>
        <w:ind w:left="351" w:hanging="238"/>
      </w:pPr>
      <w:r>
        <w:rPr>
          <w:rFonts w:ascii="Arial" w:hAnsi="Arial"/>
          <w:color w:val="164F52"/>
        </w:rPr>
        <w:t xml:space="preserve">•  </w:t>
      </w:r>
      <w:r>
        <w:rPr>
          <w:rFonts w:ascii="Arial" w:hAnsi="Arial"/>
          <w:color w:val="1B2322"/>
        </w:rPr>
        <w:t>Automated bank reconciliation</w:t>
      </w:r>
    </w:p>
    <w:p>
      <w:pPr>
        <w:pStyle w:val="BodyText"/>
        <w:spacing w:after="80"/>
        <w:ind w:left="351" w:hanging="238"/>
      </w:pPr>
      <w:r>
        <w:rPr>
          <w:rFonts w:ascii="Arial" w:hAnsi="Arial"/>
          <w:color w:val="164F52"/>
        </w:rPr>
        <w:t xml:space="preserve">•  </w:t>
      </w:r>
      <w:r>
        <w:rPr>
          <w:rFonts w:ascii="Arial" w:hAnsi="Arial"/>
          <w:color w:val="1B2322"/>
        </w:rPr>
        <w:t>Tenancy agreement drafting and electronic signing</w:t>
      </w:r>
    </w:p>
    <w:p>
      <w:pPr>
        <w:pStyle w:val="BodyText"/>
        <w:spacing w:after="80"/>
        <w:ind w:left="351" w:hanging="238"/>
      </w:pPr>
      <w:r>
        <w:rPr>
          <w:rFonts w:ascii="Arial" w:hAnsi="Arial"/>
          <w:color w:val="164F52"/>
        </w:rPr>
        <w:t xml:space="preserve">•  </w:t>
      </w:r>
      <w:r>
        <w:rPr>
          <w:rFonts w:ascii="Arial" w:hAnsi="Arial"/>
          <w:color w:val="1B2322"/>
        </w:rPr>
        <w:t>An open contractor marketplace and contractor payments</w:t>
      </w:r>
    </w:p>
    <w:p>
      <w:pPr>
        <w:pStyle w:val="BodyText"/>
        <w:spacing w:after="80"/>
        <w:ind w:left="351" w:hanging="238"/>
      </w:pPr>
      <w:r>
        <w:rPr>
          <w:rFonts w:ascii="Arial" w:hAnsi="Arial"/>
          <w:color w:val="164F52"/>
        </w:rPr>
        <w:t xml:space="preserve">•  </w:t>
      </w:r>
      <w:r>
        <w:rPr>
          <w:rFonts w:ascii="Arial" w:hAnsi="Arial"/>
          <w:color w:val="1B2322"/>
        </w:rPr>
        <w:t>Automated findings on fault, negligence, liability or who pays</w:t>
      </w:r>
    </w:p>
    <w:p>
      <w:pPr>
        <w:pStyle w:val="BodyText"/>
        <w:spacing w:after="80"/>
        <w:ind w:left="351" w:hanging="238"/>
      </w:pPr>
      <w:r>
        <w:rPr>
          <w:rFonts w:ascii="Arial" w:hAnsi="Arial"/>
          <w:color w:val="164F52"/>
        </w:rPr>
        <w:t xml:space="preserve">•  </w:t>
      </w:r>
      <w:r>
        <w:rPr>
          <w:rFonts w:ascii="Arial" w:hAnsi="Arial"/>
          <w:color w:val="1B2322"/>
        </w:rPr>
        <w:t>WhatsApp, SMS and telephone marketing</w:t>
      </w:r>
    </w:p>
    <w:p>
      <w:pPr>
        <w:pStyle w:val="BodyText"/>
        <w:spacing w:after="80"/>
        <w:ind w:left="351" w:hanging="238"/>
      </w:pPr>
      <w:r>
        <w:rPr>
          <w:rFonts w:ascii="Arial" w:hAnsi="Arial"/>
          <w:color w:val="164F52"/>
        </w:rPr>
        <w:t xml:space="preserve">•  </w:t>
      </w:r>
      <w:r>
        <w:rPr>
          <w:rFonts w:ascii="Arial" w:hAnsi="Arial"/>
          <w:color w:val="1B2322"/>
        </w:rPr>
        <w:t>NRIC, FIN, work pass and passport storage</w:t>
      </w:r>
    </w:p>
    <w:p>
      <w:pPr>
        <w:pStyle w:val="BodyText"/>
        <w:spacing w:after="80"/>
        <w:ind w:left="351" w:hanging="238"/>
      </w:pPr>
      <w:r>
        <w:rPr>
          <w:rFonts w:ascii="Arial" w:hAnsi="Arial"/>
          <w:color w:val="164F52"/>
        </w:rPr>
        <w:t xml:space="preserve">•  </w:t>
      </w:r>
      <w:r>
        <w:rPr>
          <w:rFonts w:ascii="Arial" w:hAnsi="Arial"/>
          <w:color w:val="1B2322"/>
        </w:rPr>
        <w:t>HDB and URA submissions</w:t>
      </w:r>
    </w:p>
    <w:p>
      <w:pPr>
        <w:pStyle w:val="BodyText"/>
        <w:spacing w:after="80"/>
        <w:ind w:left="351" w:hanging="238"/>
      </w:pPr>
      <w:r>
        <w:rPr>
          <w:rFonts w:ascii="Arial" w:hAnsi="Arial"/>
          <w:color w:val="164F52"/>
        </w:rPr>
        <w:t xml:space="preserve">•  </w:t>
      </w:r>
      <w:r>
        <w:rPr>
          <w:rFonts w:ascii="Arial" w:hAnsi="Arial"/>
          <w:color w:val="1B2322"/>
        </w:rPr>
        <w:t>Tax filing or statements that an expense is deductible</w:t>
      </w:r>
    </w:p>
    <w:p>
      <w:pPr>
        <w:pStyle w:val="BodyText"/>
        <w:spacing w:after="80"/>
        <w:ind w:left="351" w:hanging="238"/>
      </w:pPr>
      <w:r>
        <w:rPr>
          <w:rFonts w:ascii="Arial" w:hAnsi="Arial"/>
          <w:color w:val="164F52"/>
        </w:rPr>
        <w:t xml:space="preserve">•  </w:t>
      </w:r>
      <w:r>
        <w:rPr>
          <w:rFonts w:ascii="Arial" w:hAnsi="Arial"/>
          <w:color w:val="1B2322"/>
        </w:rPr>
        <w:t>Native mobile apps and public provider reviews</w:t>
      </w:r>
    </w:p>
    <w:p>
      <w:pPr>
        <w:pStyle w:val="BodyText"/>
      </w:pPr>
      <w:r>
        <w:rPr>
          <w:rFonts w:ascii="Arial" w:hAnsi="Arial"/>
          <w:color w:val="1B2322"/>
        </w:rPr>
        <w:t>These exclusions keep the trial on the behaviour that matters: whether all parties will maintain a shared record when WhatsApp and a spreadsheet remain available.</w:t>
      </w:r>
    </w:p>
    <w:p>
      <w:pPr>
        <w:pStyle w:val="Heading1"/>
        <w:keepNext/>
      </w:pPr>
      <w:r>
        <w:t>How the workflows should work</w:t>
      </w:r>
    </w:p>
    <w:p>
      <w:pPr>
        <w:pStyle w:val="Heading2"/>
        <w:keepNext/>
      </w:pPr>
      <w:r>
        <w:t>Rent</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247"/>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State</w:t>
            </w:r>
          </w:p>
        </w:tc>
        <w:tc>
          <w:tcPr>
            <w:tcW w:type="dxa" w:w="2721"/>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Who acts</w:t>
            </w:r>
          </w:p>
        </w:tc>
        <w:tc>
          <w:tcPr>
            <w:tcW w:type="dxa" w:w="2835"/>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What the other parties see</w:t>
            </w:r>
          </w:p>
        </w:tc>
        <w:tc>
          <w:tcPr>
            <w:tcW w:type="dxa" w:w="2835"/>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What the system must not infer</w:t>
            </w:r>
          </w:p>
        </w:tc>
      </w:tr>
      <w:tr>
        <w:trPr>
          <w:trHeight w:hRule="atLeast"/>
        </w:trPr>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Upcoming</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System sends the configured service reminder</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Amount, due date and existing payment instruction</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No marketing consent and no promise that payment will be collected</w:t>
            </w:r>
          </w:p>
        </w:tc>
      </w:tr>
      <w:tr>
        <w:trPr>
          <w:trHeight w:hRule="atLeast"/>
        </w:trPr>
        <w:tc>
          <w:tcPr>
            <w:tcW w:type="dxa" w:w="124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Due</w:t>
            </w:r>
          </w:p>
        </w:tc>
        <w:tc>
          <w:tcPr>
            <w:tcW w:type="dxa" w:w="272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Tenant pays landlord directly</w:t>
            </w:r>
          </w:p>
        </w:tc>
        <w:tc>
          <w:tcPr>
            <w:tcW w:type="dxa" w:w="2835"/>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Due today</w:t>
            </w:r>
          </w:p>
        </w:tc>
        <w:tc>
          <w:tcPr>
            <w:tcW w:type="dxa" w:w="2835"/>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No receipt until a party records it</w:t>
            </w:r>
          </w:p>
        </w:tc>
      </w:tr>
      <w:tr>
        <w:trPr>
          <w:trHeight w:hRule="atLeast"/>
        </w:trPr>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Sent</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Tenant records transfer reference</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Awaiting landlord confirmation</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Sent is not received</w:t>
            </w:r>
          </w:p>
        </w:tc>
      </w:tr>
      <w:tr>
        <w:trPr>
          <w:trHeight w:hRule="atLeast"/>
        </w:trPr>
        <w:tc>
          <w:tcPr>
            <w:tcW w:type="dxa" w:w="124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Confirmed</w:t>
            </w:r>
          </w:p>
        </w:tc>
        <w:tc>
          <w:tcPr>
            <w:tcW w:type="dxa" w:w="272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Landlord acknowledges receipt</w:t>
            </w:r>
          </w:p>
        </w:tc>
        <w:tc>
          <w:tcPr>
            <w:tcW w:type="dxa" w:w="2835"/>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Confirmation and timestamp</w:t>
            </w:r>
          </w:p>
        </w:tc>
        <w:tc>
          <w:tcPr>
            <w:tcW w:type="dxa" w:w="2835"/>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No tax conclusion</w:t>
            </w:r>
          </w:p>
        </w:tc>
      </w:tr>
      <w:tr>
        <w:trPr>
          <w:trHeight w:hRule="atLeast"/>
        </w:trPr>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Mismatch</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Landlord or tenant disputes state</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Named next action and evidence request</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No automatic blame or late fee</w:t>
            </w:r>
          </w:p>
        </w:tc>
      </w:tr>
    </w:tbl>
    <w:p>
      <w:pPr>
        <w:spacing w:after="0"/>
      </w:pPr>
    </w:p>
    <w:p>
      <w:pPr>
        <w:pStyle w:val="BodyText"/>
      </w:pPr>
      <w:r>
        <w:rPr>
          <w:rFonts w:ascii="Arial" w:hAnsi="Arial"/>
          <w:color w:val="1B2322"/>
        </w:rPr>
        <w:t>CEA advises consumers to pay rent to the landlord directly and to use verifiable payment methods. This supports direct bank transfer with a record, not agent or platform custody.</w:t>
      </w:r>
      <w:r>
        <w:t xml:space="preserve">  </w:t>
      </w:r>
      <w:hyperlink r:id="rId26">
        <w:r>
          <w:rPr>
            <w:rFonts w:ascii="Arial" w:hAnsi="Arial"/>
            <w:color w:val="164F52"/>
          </w:rPr>
          <w:t>Source  CEA consumer guidance</w:t>
        </w:r>
      </w:hyperlink>
    </w:p>
    <w:p>
      <w:pPr>
        <w:pStyle w:val="BodyText"/>
      </w:pPr>
      <w:r>
        <w:rPr>
          <w:rFonts w:ascii="Arial" w:hAnsi="Arial"/>
          <w:color w:val="1B2322"/>
        </w:rPr>
        <w:t>IRAS taxes rental income when it is due and payable rather than when cash is received. The ledger therefore needs separate due and received dates. Owners who claim actual expenses should retain agreements, invoices and receipts for at least five years.</w:t>
      </w:r>
      <w:r>
        <w:t xml:space="preserve">  </w:t>
      </w:r>
      <w:hyperlink r:id="rId27">
        <w:r>
          <w:rPr>
            <w:rFonts w:ascii="Arial" w:hAnsi="Arial"/>
            <w:color w:val="164F52"/>
          </w:rPr>
          <w:t>Source  IRAS rental income</w:t>
        </w:r>
      </w:hyperlink>
    </w:p>
    <w:p>
      <w:pPr>
        <w:pStyle w:val="Heading2"/>
        <w:keepNext/>
      </w:pPr>
      <w:r>
        <w:t>Repairs</w:t>
      </w:r>
    </w:p>
    <w:tbl>
      <w:tblPr>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907"/>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Step</w:t>
            </w:r>
          </w:p>
        </w:tc>
        <w:tc>
          <w:tcPr>
            <w:tcW w:type="dxa" w:w="1701"/>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Tenant</w:t>
            </w:r>
          </w:p>
        </w:tc>
        <w:tc>
          <w:tcPr>
            <w:tcW w:type="dxa" w:w="1928"/>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Manager</w:t>
            </w:r>
          </w:p>
        </w:tc>
        <w:tc>
          <w:tcPr>
            <w:tcW w:type="dxa" w:w="1814"/>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Landlord</w:t>
            </w:r>
          </w:p>
        </w:tc>
        <w:tc>
          <w:tcPr>
            <w:tcW w:type="dxa" w:w="1814"/>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Provider</w:t>
            </w:r>
          </w:p>
        </w:tc>
        <w:tc>
          <w:tcPr>
            <w:tcW w:type="dxa" w:w="2154"/>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Permanent record</w:t>
            </w:r>
          </w:p>
        </w:tc>
      </w:tr>
      <w:tr>
        <w:trPr>
          <w:trHeight w:hRule="atLeast"/>
        </w:trPr>
        <w:tc>
          <w:tcPr>
            <w:tcW w:type="dxa" w:w="9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Report</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Describes issue and adds photos</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Receives alert</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Can view</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No access</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Original report and server time</w:t>
            </w:r>
          </w:p>
        </w:tc>
      </w:tr>
      <w:tr>
        <w:trPr>
          <w:trHeight w:hRule="atLeast"/>
        </w:trPr>
        <w:tc>
          <w:tcPr>
            <w:tcW w:type="dxa" w:w="90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Review</w:t>
            </w:r>
          </w:p>
        </w:tc>
        <w:tc>
          <w:tcPr>
            <w:tcW w:type="dxa" w:w="170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Sees acknowledgement</w:t>
            </w:r>
          </w:p>
        </w:tc>
        <w:tc>
          <w:tcPr>
            <w:tcW w:type="dxa" w:w="19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Checks safety and contract term</w:t>
            </w:r>
          </w:p>
        </w:tc>
        <w:tc>
          <w:tcPr>
            <w:tcW w:type="dxa" w:w="181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Sees next action</w:t>
            </w:r>
          </w:p>
        </w:tc>
        <w:tc>
          <w:tcPr>
            <w:tcW w:type="dxa" w:w="181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May receive scoped invite</w:t>
            </w:r>
          </w:p>
        </w:tc>
        <w:tc>
          <w:tcPr>
            <w:tcW w:type="dxa" w:w="215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Human urgency and owner</w:t>
            </w:r>
          </w:p>
        </w:tc>
      </w:tr>
      <w:tr>
        <w:trPr>
          <w:trHeight w:hRule="atLeast"/>
        </w:trPr>
        <w:tc>
          <w:tcPr>
            <w:tcW w:type="dxa" w:w="9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Quote</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Sees scheduling impact</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Requests comparable scope</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Reviews itemised price</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Submits scope and price</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Quote version and expiry</w:t>
            </w:r>
          </w:p>
        </w:tc>
      </w:tr>
      <w:tr>
        <w:trPr>
          <w:trHeight w:hRule="atLeast"/>
        </w:trPr>
        <w:tc>
          <w:tcPr>
            <w:tcW w:type="dxa" w:w="90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Approve</w:t>
            </w:r>
          </w:p>
        </w:tc>
        <w:tc>
          <w:tcPr>
            <w:tcW w:type="dxa" w:w="170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Sees accepted scope</w:t>
            </w:r>
          </w:p>
        </w:tc>
        <w:tc>
          <w:tcPr>
            <w:tcW w:type="dxa" w:w="19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Routes approval</w:t>
            </w:r>
          </w:p>
        </w:tc>
        <w:tc>
          <w:tcPr>
            <w:tcW w:type="dxa" w:w="181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Approves where required</w:t>
            </w:r>
          </w:p>
        </w:tc>
        <w:tc>
          <w:tcPr>
            <w:tcW w:type="dxa" w:w="181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Receives work order</w:t>
            </w:r>
          </w:p>
        </w:tc>
        <w:tc>
          <w:tcPr>
            <w:tcW w:type="dxa" w:w="215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Approver and timestamp</w:t>
            </w:r>
          </w:p>
        </w:tc>
      </w:tr>
      <w:tr>
        <w:trPr>
          <w:trHeight w:hRule="atLeast"/>
        </w:trPr>
        <w:tc>
          <w:tcPr>
            <w:tcW w:type="dxa" w:w="9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Complete</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Confirms access and outcome</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Checks evidence</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Sees cost and warranty</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Uploads invoice and photos</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4"/>
              </w:rPr>
              <w:t>Completion and acknowledgements</w:t>
            </w:r>
          </w:p>
        </w:tc>
      </w:tr>
    </w:tbl>
    <w:p>
      <w:pPr>
        <w:spacing w:after="0"/>
      </w:pPr>
    </w:p>
    <w:tbl>
      <w:tblPr>
        <w:tblW w:type="auto" w:w="0"/>
        <w:jc w:val="center"/>
        <w:tblLayout w:type="fixed"/>
        <w:tblLook w:firstColumn="1" w:firstRow="1" w:lastColumn="0" w:lastRow="0" w:noHBand="0" w:noVBand="1" w:val="04A0"/>
      </w:tblPr>
      <w:tblGrid>
        <w:gridCol w:w="125"/>
        <w:gridCol w:w="9128"/>
      </w:tblGrid>
      <w:tr>
        <w:tc>
          <w:tcPr>
            <w:tcW w:type="dxa" w:w="4961"/>
            <w:shd w:fill="9F3A38"/>
            <w:tcBorders>
              <w:top w:val="single" w:sz="0" w:space="0" w:color="F5E8D0"/>
              <w:left w:val="single" w:sz="0" w:space="0" w:color="F5E8D0"/>
              <w:bottom w:val="single" w:sz="0" w:space="0" w:color="F5E8D0"/>
              <w:right w:val="single" w:sz="0" w:space="0" w:color="F5E8D0"/>
              <w:insideH w:val="single" w:sz="0" w:space="0" w:color="F5E8D0"/>
              <w:insideV w:val="single" w:sz="0" w:space="0" w:color="F5E8D0"/>
            </w:tcBorders>
            <w:tcMar>
              <w:top w:w="140" w:type="dxa"/>
              <w:start w:w="170" w:type="dxa"/>
              <w:bottom w:w="140" w:type="dxa"/>
              <w:end w:w="170" w:type="dxa"/>
            </w:tcMar>
            <w:vAlign w:val="center"/>
          </w:tcPr>
          <w:p/>
        </w:tc>
        <w:tc>
          <w:tcPr>
            <w:tcW w:type="dxa" w:w="4961"/>
            <w:shd w:fill="F5E8D0"/>
            <w:tcBorders>
              <w:top w:val="single" w:sz="0" w:space="0" w:color="F5E8D0"/>
              <w:left w:val="single" w:sz="0" w:space="0" w:color="F5E8D0"/>
              <w:bottom w:val="single" w:sz="0" w:space="0" w:color="F5E8D0"/>
              <w:right w:val="single" w:sz="0" w:space="0" w:color="F5E8D0"/>
              <w:insideH w:val="single" w:sz="0" w:space="0" w:color="F5E8D0"/>
              <w:insideV w:val="single" w:sz="0" w:space="0" w:color="F5E8D0"/>
            </w:tcBorders>
            <w:tcMar>
              <w:top w:w="140" w:type="dxa"/>
              <w:start w:w="170" w:type="dxa"/>
              <w:bottom w:w="140" w:type="dxa"/>
              <w:end w:w="170" w:type="dxa"/>
            </w:tcMar>
            <w:vAlign w:val="center"/>
          </w:tcPr>
          <w:p>
            <w:pPr>
              <w:spacing w:after="60"/>
            </w:pPr>
            <w:r>
              <w:rPr>
                <w:rFonts w:ascii="Arial" w:hAnsi="Arial"/>
                <w:b/>
                <w:color w:val="000000"/>
                <w:sz w:val="21"/>
              </w:rPr>
              <w:t>Safety rule</w:t>
            </w:r>
          </w:p>
          <w:p>
            <w:pPr>
              <w:spacing w:after="0"/>
            </w:pPr>
            <w:r>
              <w:rPr>
                <w:rFonts w:ascii="Arial" w:hAnsi="Arial"/>
                <w:color w:val="1B2322"/>
                <w:sz w:val="19"/>
              </w:rPr>
              <w:t>Gas smell, exposed live wiring, active water escape and similar hazards use fixed emergency instructions before the ordinary ticket flow. A failed check never appears as low risk, and a language model never decides that danger is absent.</w:t>
            </w:r>
          </w:p>
        </w:tc>
      </w:tr>
    </w:tbl>
    <w:p>
      <w:pPr>
        <w:spacing w:after="0"/>
      </w:pPr>
    </w:p>
    <w:p>
      <w:pPr>
        <w:pStyle w:val="Heading2"/>
        <w:keepNext/>
      </w:pPr>
      <w:r>
        <w:t>Condition and air conditioning</w:t>
      </w:r>
    </w:p>
    <w:p>
      <w:pPr>
        <w:pStyle w:val="BodyText"/>
      </w:pPr>
      <w:r>
        <w:rPr>
          <w:rFonts w:ascii="Arial" w:hAnsi="Arial"/>
          <w:color w:val="1B2322"/>
        </w:rPr>
        <w:t>The condition report should mirror the CEA categories and allow room level additions. Both parties acknowledge a frozen version. A later correction stays linked to the original. Air conditioning reminders come from the signed term, not a global quarterly assumption. The tenant uploads the service date and receipt; the landlord or manager acknowledges the evidence.</w:t>
      </w:r>
    </w:p>
    <w:p>
      <w:pPr>
        <w:pStyle w:val="Heading1"/>
        <w:keepNext/>
      </w:pPr>
      <w:r>
        <w:t>Role and visibility</w:t>
      </w:r>
    </w:p>
    <w:p>
      <w:pPr>
        <w:pStyle w:val="BodyText"/>
      </w:pPr>
      <w:r>
        <w:rPr>
          <w:rFonts w:ascii="Arial" w:hAnsi="Arial"/>
          <w:color w:val="1B2322"/>
        </w:rPr>
        <w:t>The phrase one hundred percent transparency should be replaced with shared truth within an agreed scope. Privacy and professional boundaries require some information to remain private.</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871"/>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Record</w:t>
            </w:r>
          </w:p>
        </w:tc>
        <w:tc>
          <w:tcPr>
            <w:tcW w:type="dxa" w:w="1928"/>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Landlord</w:t>
            </w:r>
          </w:p>
        </w:tc>
        <w:tc>
          <w:tcPr>
            <w:tcW w:type="dxa" w:w="1928"/>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Tenant</w:t>
            </w:r>
          </w:p>
        </w:tc>
        <w:tc>
          <w:tcPr>
            <w:tcW w:type="dxa" w:w="2098"/>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Property manager</w:t>
            </w:r>
          </w:p>
        </w:tc>
        <w:tc>
          <w:tcPr>
            <w:tcW w:type="dxa" w:w="1814"/>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Contractor</w:t>
            </w:r>
          </w:p>
        </w:tc>
      </w:tr>
      <w:tr>
        <w:trPr>
          <w:trHeight w:hRule="atLeast"/>
        </w:trPr>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Rent due and status</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View and confirm</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View and mark sent</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View and remind</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No access</w:t>
            </w:r>
          </w:p>
        </w:tc>
      </w:tr>
      <w:tr>
        <w:trPr>
          <w:trHeight w:hRule="atLeast"/>
        </w:trPr>
        <w:tc>
          <w:tcPr>
            <w:tcW w:type="dxa" w:w="187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Condition report</w:t>
            </w:r>
          </w:p>
        </w:tc>
        <w:tc>
          <w:tcPr>
            <w:tcW w:type="dxa" w:w="19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View and acknowledge</w:t>
            </w:r>
          </w:p>
        </w:tc>
        <w:tc>
          <w:tcPr>
            <w:tcW w:type="dxa" w:w="19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Create and acknowledge</w:t>
            </w:r>
          </w:p>
        </w:tc>
        <w:tc>
          <w:tcPr>
            <w:tcW w:type="dxa" w:w="209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Coordinate</w:t>
            </w:r>
          </w:p>
        </w:tc>
        <w:tc>
          <w:tcPr>
            <w:tcW w:type="dxa" w:w="181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Job specific extract only</w:t>
            </w:r>
          </w:p>
        </w:tc>
      </w:tr>
      <w:tr>
        <w:trPr>
          <w:trHeight w:hRule="atLeast"/>
        </w:trPr>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Repair timeline</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View and approve</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Create and acknowledge</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Assign and coordinate</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Own job only</w:t>
            </w:r>
          </w:p>
        </w:tc>
      </w:tr>
      <w:tr>
        <w:trPr>
          <w:trHeight w:hRule="atLeast"/>
        </w:trPr>
        <w:tc>
          <w:tcPr>
            <w:tcW w:type="dxa" w:w="187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Quote and invoice</w:t>
            </w:r>
          </w:p>
        </w:tc>
        <w:tc>
          <w:tcPr>
            <w:tcW w:type="dxa" w:w="19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View and approve</w:t>
            </w:r>
          </w:p>
        </w:tc>
        <w:tc>
          <w:tcPr>
            <w:tcW w:type="dxa" w:w="19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View accepted scope where relevant</w:t>
            </w:r>
          </w:p>
        </w:tc>
        <w:tc>
          <w:tcPr>
            <w:tcW w:type="dxa" w:w="209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View and route</w:t>
            </w:r>
          </w:p>
        </w:tc>
        <w:tc>
          <w:tcPr>
            <w:tcW w:type="dxa" w:w="181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Create own</w:t>
            </w:r>
          </w:p>
        </w:tc>
      </w:tr>
      <w:tr>
        <w:trPr>
          <w:trHeight w:hRule="atLeast"/>
        </w:trPr>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Agent commission</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As separately disclosed</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No access</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Own private record</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No access</w:t>
            </w:r>
          </w:p>
        </w:tc>
      </w:tr>
      <w:tr>
        <w:trPr>
          <w:trHeight w:hRule="atLeast"/>
        </w:trPr>
        <w:tc>
          <w:tcPr>
            <w:tcW w:type="dxa" w:w="187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Other properties</w:t>
            </w:r>
          </w:p>
        </w:tc>
        <w:tc>
          <w:tcPr>
            <w:tcW w:type="dxa" w:w="19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Own portfolio only</w:t>
            </w:r>
          </w:p>
        </w:tc>
        <w:tc>
          <w:tcPr>
            <w:tcW w:type="dxa" w:w="19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No access</w:t>
            </w:r>
          </w:p>
        </w:tc>
        <w:tc>
          <w:tcPr>
            <w:tcW w:type="dxa" w:w="209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Assigned portfolio only</w:t>
            </w:r>
          </w:p>
        </w:tc>
        <w:tc>
          <w:tcPr>
            <w:tcW w:type="dxa" w:w="1814"/>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No access</w:t>
            </w:r>
          </w:p>
        </w:tc>
      </w:tr>
      <w:tr>
        <w:trPr>
          <w:trHeight w:hRule="atLeast"/>
        </w:trPr>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Tenant contact details</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As required by tenancy</w:t>
            </w:r>
          </w:p>
        </w:tc>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Own details</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As authorised</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5"/>
              </w:rPr>
              <w:t>Minimum needed for access only</w:t>
            </w:r>
          </w:p>
        </w:tc>
      </w:tr>
    </w:tbl>
    <w:p>
      <w:pPr>
        <w:spacing w:after="0"/>
      </w:pPr>
    </w:p>
    <w:p>
      <w:pPr>
        <w:pStyle w:val="BodyText"/>
      </w:pPr>
      <w:r>
        <w:rPr>
          <w:rFonts w:ascii="Arial" w:hAnsi="Arial"/>
          <w:color w:val="1B2322"/>
        </w:rPr>
        <w:t>The landlord should retain access and export rights if an agent leaves. Reassigning a manager should require the landlord's approval and immediately remove the old manager's access. A contractor link should expire and show only one job.</w:t>
      </w:r>
    </w:p>
    <w:p>
      <w:pPr>
        <w:pStyle w:val="Heading1"/>
        <w:keepNext/>
      </w:pPr>
      <w:r>
        <w:t>Agent operating model</w:t>
      </w:r>
    </w:p>
    <w:p>
      <w:pPr>
        <w:pStyle w:val="BodyText"/>
      </w:pPr>
      <w:r>
        <w:rPr>
          <w:rFonts w:ascii="Arial" w:hAnsi="Arial"/>
          <w:color w:val="1B2322"/>
        </w:rPr>
        <w:t>CEA states that the property agent's role normally ends when the tenancy agreement is signed and the property is handed over. Facilitating repairs and collecting rent during the tenancy are property management matters outside CEA's regulatory purview. The app must not imply that CEA regulates this service because a registered salesperson operates it.</w:t>
      </w:r>
      <w:r>
        <w:t xml:space="preserve">  </w:t>
      </w:r>
      <w:hyperlink r:id="rId28">
        <w:r>
          <w:rPr>
            <w:rFonts w:ascii="Arial" w:hAnsi="Arial"/>
            <w:color w:val="164F52"/>
          </w:rPr>
          <w:t>Source  CEA rental guidance</w:t>
        </w:r>
      </w:hyperlink>
    </w:p>
    <w:p>
      <w:pPr>
        <w:pStyle w:val="Heading2"/>
        <w:keepNext/>
      </w:pPr>
      <w:r>
        <w:t>Separate written mandate</w:t>
      </w:r>
    </w:p>
    <w:p>
      <w:pPr>
        <w:pStyle w:val="BodyText"/>
      </w:pPr>
      <w:r>
        <w:rPr>
          <w:rFonts w:ascii="Arial" w:hAnsi="Arial"/>
          <w:color w:val="1B2322"/>
        </w:rPr>
        <w:t>Before client use, a tenancy administration agreement should state the service provider, scope, fee, response hours, emergency route, spending authority, contractor selection method, personal data responsibilities, record retention, liability, insurance and termination process. The contract should identify whether Shervin, a separate company or Huttons provides the service.</w:t>
      </w:r>
    </w:p>
    <w:p>
      <w:pPr>
        <w:pStyle w:val="Heading2"/>
        <w:keepNext/>
      </w:pPr>
      <w:r>
        <w:t>Questions for the Huttons key executive officer</w:t>
      </w:r>
    </w:p>
    <w:p>
      <w:pPr>
        <w:pStyle w:val="BodyText"/>
        <w:spacing w:after="80"/>
        <w:ind w:left="351" w:hanging="238"/>
      </w:pPr>
      <w:r>
        <w:rPr>
          <w:rFonts w:ascii="Arial" w:hAnsi="Arial"/>
          <w:color w:val="164F52"/>
        </w:rPr>
        <w:t xml:space="preserve">•  </w:t>
      </w:r>
      <w:r>
        <w:rPr>
          <w:rFonts w:ascii="Arial" w:hAnsi="Arial"/>
          <w:color w:val="1B2322"/>
        </w:rPr>
        <w:t>Does Huttons permit a salesperson to provide this separate service, and through which legal entity</w:t>
      </w:r>
    </w:p>
    <w:p>
      <w:pPr>
        <w:pStyle w:val="BodyText"/>
        <w:spacing w:after="80"/>
        <w:ind w:left="351" w:hanging="238"/>
      </w:pPr>
      <w:r>
        <w:rPr>
          <w:rFonts w:ascii="Arial" w:hAnsi="Arial"/>
          <w:color w:val="164F52"/>
        </w:rPr>
        <w:t xml:space="preserve">•  </w:t>
      </w:r>
      <w:r>
        <w:rPr>
          <w:rFonts w:ascii="Arial" w:hAnsi="Arial"/>
          <w:color w:val="1B2322"/>
        </w:rPr>
        <w:t>May the Huttons name, agent profile, client data and transaction records be used in the product</w:t>
      </w:r>
    </w:p>
    <w:p>
      <w:pPr>
        <w:pStyle w:val="BodyText"/>
        <w:spacing w:after="80"/>
        <w:ind w:left="351" w:hanging="238"/>
      </w:pPr>
      <w:r>
        <w:rPr>
          <w:rFonts w:ascii="Arial" w:hAnsi="Arial"/>
          <w:color w:val="164F52"/>
        </w:rPr>
        <w:t xml:space="preserve">•  </w:t>
      </w:r>
      <w:r>
        <w:rPr>
          <w:rFonts w:ascii="Arial" w:hAnsi="Arial"/>
          <w:color w:val="1B2322"/>
        </w:rPr>
        <w:t>Who invoices the owner and what professional indemnity or public liability cover applies</w:t>
      </w:r>
    </w:p>
    <w:p>
      <w:pPr>
        <w:pStyle w:val="BodyText"/>
        <w:spacing w:after="80"/>
        <w:ind w:left="351" w:hanging="238"/>
      </w:pPr>
      <w:r>
        <w:rPr>
          <w:rFonts w:ascii="Arial" w:hAnsi="Arial"/>
          <w:color w:val="164F52"/>
        </w:rPr>
        <w:t xml:space="preserve">•  </w:t>
      </w:r>
      <w:r>
        <w:rPr>
          <w:rFonts w:ascii="Arial" w:hAnsi="Arial"/>
          <w:color w:val="1B2322"/>
        </w:rPr>
        <w:t>How must contractor referral income and ownership of the platform be disclosed</w:t>
      </w:r>
    </w:p>
    <w:p>
      <w:pPr>
        <w:pStyle w:val="BodyText"/>
        <w:spacing w:after="80"/>
        <w:ind w:left="351" w:hanging="238"/>
      </w:pPr>
      <w:r>
        <w:rPr>
          <w:rFonts w:ascii="Arial" w:hAnsi="Arial"/>
          <w:color w:val="164F52"/>
        </w:rPr>
        <w:t xml:space="preserve">•  </w:t>
      </w:r>
      <w:r>
        <w:rPr>
          <w:rFonts w:ascii="Arial" w:hAnsi="Arial"/>
          <w:color w:val="1B2322"/>
        </w:rPr>
        <w:t>What happens to tenancy records when an agent leaves the agency or a landlord appoints someone else</w:t>
      </w:r>
    </w:p>
    <w:p>
      <w:pPr>
        <w:pStyle w:val="Heading2"/>
        <w:keepNext/>
      </w:pPr>
      <w:r>
        <w:t>Referral income</w:t>
      </w:r>
    </w:p>
    <w:p>
      <w:pPr>
        <w:pStyle w:val="BodyText"/>
      </w:pPr>
      <w:r>
        <w:rPr>
          <w:rFonts w:ascii="Arial" w:hAnsi="Arial"/>
          <w:color w:val="1B2322"/>
        </w:rPr>
        <w:t>CEA identifies referral fees from a recommended service provider as a potential conflict. The agent must disclose the conflict in writing and obtain the client's written agreement before continuing to represent the client. The cleanest pilot pays no contractor referral income.</w:t>
      </w:r>
      <w:r>
        <w:t xml:space="preserve">  </w:t>
      </w:r>
      <w:hyperlink r:id="rId29">
        <w:r>
          <w:rPr>
            <w:rFonts w:ascii="Arial" w:hAnsi="Arial"/>
            <w:color w:val="164F52"/>
          </w:rPr>
          <w:t>Source  CEA conflict guidance</w:t>
        </w:r>
      </w:hyperlink>
    </w:p>
    <w:p>
      <w:pPr>
        <w:pStyle w:val="Heading1"/>
        <w:keepNext/>
      </w:pPr>
      <w:r>
        <w:t>Service provider model</w:t>
      </w:r>
    </w:p>
    <w:p>
      <w:pPr>
        <w:pStyle w:val="BodyText"/>
      </w:pPr>
      <w:r>
        <w:rPr>
          <w:rFonts w:ascii="Arial" w:hAnsi="Arial"/>
          <w:color w:val="1B2322"/>
        </w:rPr>
        <w:t>Start with bring your own provider. The landlord or manager sends an expiring job link to a contractor already known to them. The contractor needs no account for the first job and sees only the address, scoped issue, access arrangement and necessary photographs.</w:t>
      </w:r>
    </w:p>
    <w:p>
      <w:pPr>
        <w:pStyle w:val="Heading2"/>
        <w:keepNext/>
      </w:pPr>
      <w:r>
        <w:t>Quote standard</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381"/>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Required field</w:t>
            </w:r>
          </w:p>
        </w:tc>
        <w:tc>
          <w:tcPr>
            <w:tcW w:type="dxa" w:w="7257"/>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Reason</w:t>
            </w:r>
          </w:p>
        </w:tc>
      </w:tr>
      <w:tr>
        <w:trPr>
          <w:trHeight w:hRule="atLeas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Call out fee</w:t>
            </w:r>
          </w:p>
        </w:tc>
        <w:tc>
          <w:tcPr>
            <w:tcW w:type="dxa" w:w="7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Prevents a low headline price from hiding the visit charge</w:t>
            </w:r>
          </w:p>
        </w:tc>
      </w:tr>
      <w:tr>
        <w:trPr>
          <w:trHeight w:hRule="atLeast"/>
        </w:trPr>
        <w:tc>
          <w:tcPr>
            <w:tcW w:type="dxa" w:w="238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Labour and materials</w:t>
            </w:r>
          </w:p>
        </w:tc>
        <w:tc>
          <w:tcPr>
            <w:tcW w:type="dxa" w:w="72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Makes quotes comparable and supports later expense records</w:t>
            </w:r>
          </w:p>
        </w:tc>
      </w:tr>
      <w:tr>
        <w:trPr>
          <w:trHeight w:hRule="atLeas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GST and total</w:t>
            </w:r>
          </w:p>
        </w:tc>
        <w:tc>
          <w:tcPr>
            <w:tcW w:type="dxa" w:w="7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Shows the amount that will actually be approved</w:t>
            </w:r>
          </w:p>
        </w:tc>
      </w:tr>
      <w:tr>
        <w:trPr>
          <w:trHeight w:hRule="atLeast"/>
        </w:trPr>
        <w:tc>
          <w:tcPr>
            <w:tcW w:type="dxa" w:w="238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Inclusions and exclusions</w:t>
            </w:r>
          </w:p>
        </w:tc>
        <w:tc>
          <w:tcPr>
            <w:tcW w:type="dxa" w:w="72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Defines the accepted scope</w:t>
            </w:r>
          </w:p>
        </w:tc>
      </w:tr>
      <w:tr>
        <w:trPr>
          <w:trHeight w:hRule="atLeas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Validity and schedule</w:t>
            </w:r>
          </w:p>
        </w:tc>
        <w:tc>
          <w:tcPr>
            <w:tcW w:type="dxa" w:w="7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Prevents a stale price from being treated as live</w:t>
            </w:r>
          </w:p>
        </w:tc>
      </w:tr>
      <w:tr>
        <w:trPr>
          <w:trHeight w:hRule="atLeast"/>
        </w:trPr>
        <w:tc>
          <w:tcPr>
            <w:tcW w:type="dxa" w:w="238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Variation rule</w:t>
            </w:r>
          </w:p>
        </w:tc>
        <w:tc>
          <w:tcPr>
            <w:tcW w:type="dxa" w:w="72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Any price or scope change requires a new written approval</w:t>
            </w:r>
          </w:p>
        </w:tc>
      </w:tr>
      <w:tr>
        <w:trPr>
          <w:trHeight w:hRule="atLeas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Warranty</w:t>
            </w:r>
          </w:p>
        </w:tc>
        <w:tc>
          <w:tcPr>
            <w:tcW w:type="dxa" w:w="7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Records what happens if the repair fails</w:t>
            </w:r>
          </w:p>
        </w:tc>
      </w:tr>
      <w:tr>
        <w:trPr>
          <w:trHeight w:hRule="atLeast"/>
        </w:trPr>
        <w:tc>
          <w:tcPr>
            <w:tcW w:type="dxa" w:w="238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Licence or credential</w:t>
            </w:r>
          </w:p>
        </w:tc>
        <w:tc>
          <w:tcPr>
            <w:tcW w:type="dxa" w:w="72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Allows category specific checks before work starts</w:t>
            </w:r>
          </w:p>
        </w:tc>
      </w:tr>
    </w:tbl>
    <w:p>
      <w:pPr>
        <w:spacing w:after="0"/>
      </w:pPr>
    </w:p>
    <w:p>
      <w:pPr>
        <w:pStyle w:val="Heading2"/>
        <w:keepNext/>
      </w:pPr>
      <w:r>
        <w:t>Credentials by work type</w:t>
      </w:r>
    </w:p>
    <w:p>
      <w:pPr>
        <w:pStyle w:val="BodyText"/>
      </w:pPr>
      <w:r>
        <w:rPr>
          <w:rFonts w:ascii="Arial" w:hAnsi="Arial"/>
          <w:color w:val="1B2322"/>
        </w:rPr>
        <w:t>Electrical work should be carried out or supervised by an EMA licensed electrical worker. Piped gas work requires an EMA licensed gas service worker. PUB requires a licensed plumber for regulated water service and sanitary works, while specified simple works may be done by a handyman. HDB renovation work requires a listed renovation contractor, and HDB says air conditioner installation requires a BCA trained installer.</w:t>
      </w:r>
    </w:p>
    <w:p>
      <w:pPr>
        <w:pStyle w:val="SmallNote"/>
      </w:pPr>
      <w:hyperlink r:id="rId30">
        <w:r>
          <w:rPr>
            <w:rFonts w:ascii="Arial" w:hAnsi="Arial"/>
            <w:color w:val="164F52"/>
          </w:rPr>
          <w:t>EMA electrical workers</w:t>
        </w:r>
      </w:hyperlink>
      <w:r>
        <w:t xml:space="preserve">  </w:t>
      </w:r>
      <w:hyperlink r:id="rId31">
        <w:r>
          <w:rPr>
            <w:rFonts w:ascii="Arial" w:hAnsi="Arial"/>
            <w:color w:val="164F52"/>
          </w:rPr>
          <w:t>EMA gas workers</w:t>
        </w:r>
      </w:hyperlink>
      <w:r>
        <w:t xml:space="preserve">  </w:t>
      </w:r>
      <w:hyperlink r:id="rId32">
        <w:r>
          <w:rPr>
            <w:rFonts w:ascii="Arial" w:hAnsi="Arial"/>
            <w:color w:val="164F52"/>
          </w:rPr>
          <w:t>PUB plumbing works</w:t>
        </w:r>
      </w:hyperlink>
      <w:r>
        <w:t xml:space="preserve">  </w:t>
      </w:r>
      <w:hyperlink r:id="rId33">
        <w:r>
          <w:rPr>
            <w:rFonts w:ascii="Arial" w:hAnsi="Arial"/>
            <w:color w:val="164F52"/>
          </w:rPr>
          <w:t>HDB renovation permits</w:t>
        </w:r>
      </w:hyperlink>
    </w:p>
    <w:p>
      <w:pPr>
        <w:pStyle w:val="Heading1"/>
        <w:keepNext/>
      </w:pPr>
      <w:r>
        <w:t>Data protection and security</w:t>
      </w:r>
    </w:p>
    <w:p>
      <w:pPr>
        <w:pStyle w:val="BodyText"/>
      </w:pPr>
      <w:r>
        <w:rPr>
          <w:rFonts w:ascii="Arial" w:hAnsi="Arial"/>
          <w:color w:val="1B2322"/>
        </w:rPr>
        <w:t>The private app will hold names, emails, home addresses, occupancy dates, photographs of private interiors, payment references and dispute records. This is materially more sensitive than Truestorey's public market data. The product needs a named data protection officer, a public privacy notice, a data inventory, processor contracts, an access and correction process, a deletion and retention schedule, and an incident plan.</w:t>
      </w:r>
      <w:r>
        <w:t xml:space="preserve">  </w:t>
      </w:r>
      <w:hyperlink r:id="rId34">
        <w:r>
          <w:rPr>
            <w:rFonts w:ascii="Arial" w:hAnsi="Arial"/>
            <w:color w:val="164F52"/>
          </w:rPr>
          <w:t>Source  PDPC data protection obligations</w:t>
        </w:r>
      </w:hyperlink>
    </w:p>
    <w:p>
      <w:pPr>
        <w:pStyle w:val="Heading2"/>
        <w:keepNext/>
      </w:pPr>
      <w:r>
        <w:t>Data minimisation</w:t>
      </w:r>
    </w:p>
    <w:p>
      <w:pPr>
        <w:pStyle w:val="BodyText"/>
      </w:pPr>
      <w:r>
        <w:rPr>
          <w:rFonts w:ascii="Arial" w:hAnsi="Arial"/>
          <w:color w:val="1B2322"/>
        </w:rPr>
        <w:t>Do not upload the signed tenancy agreement in the pilot. It often contains identification details that the operational app does not need. PDPC permits private sector collection of NRIC and similar numbers only when required by law or needed to verify identity to a high degree of accuracy. Full passport numbers should be avoided unless justified.</w:t>
      </w:r>
      <w:r>
        <w:t xml:space="preserve">  </w:t>
      </w:r>
      <w:hyperlink r:id="rId35">
        <w:r>
          <w:rPr>
            <w:rFonts w:ascii="Arial" w:hAnsi="Arial"/>
            <w:color w:val="164F52"/>
          </w:rPr>
          <w:t>Source  PDPC NRIC guidance</w:t>
        </w:r>
      </w:hyperlink>
    </w:p>
    <w:p>
      <w:pPr>
        <w:pStyle w:val="Heading2"/>
        <w:keepNext/>
      </w:pPr>
      <w:r>
        <w:t>Security baseline</w:t>
      </w:r>
    </w:p>
    <w:p>
      <w:pPr>
        <w:pStyle w:val="BodyText"/>
        <w:spacing w:after="80"/>
        <w:ind w:left="351" w:hanging="238"/>
      </w:pPr>
      <w:r>
        <w:rPr>
          <w:rFonts w:ascii="Arial" w:hAnsi="Arial"/>
          <w:color w:val="164F52"/>
        </w:rPr>
        <w:t xml:space="preserve">•  </w:t>
      </w:r>
      <w:r>
        <w:rPr>
          <w:rFonts w:ascii="Arial" w:hAnsi="Arial"/>
          <w:color w:val="1B2322"/>
        </w:rPr>
        <w:t>Passwordless email login for ordinary users and multi factor authentication for administrators</w:t>
      </w:r>
    </w:p>
    <w:p>
      <w:pPr>
        <w:pStyle w:val="BodyText"/>
        <w:spacing w:after="80"/>
        <w:ind w:left="351" w:hanging="238"/>
      </w:pPr>
      <w:r>
        <w:rPr>
          <w:rFonts w:ascii="Arial" w:hAnsi="Arial"/>
          <w:color w:val="164F52"/>
        </w:rPr>
        <w:t xml:space="preserve">•  </w:t>
      </w:r>
      <w:r>
        <w:rPr>
          <w:rFonts w:ascii="Arial" w:hAnsi="Arial"/>
          <w:color w:val="1B2322"/>
        </w:rPr>
        <w:t>A separate Supabase project with row level security and explicit database grants</w:t>
      </w:r>
    </w:p>
    <w:p>
      <w:pPr>
        <w:pStyle w:val="BodyText"/>
        <w:spacing w:after="80"/>
        <w:ind w:left="351" w:hanging="238"/>
      </w:pPr>
      <w:r>
        <w:rPr>
          <w:rFonts w:ascii="Arial" w:hAnsi="Arial"/>
          <w:color w:val="164F52"/>
        </w:rPr>
        <w:t xml:space="preserve">•  </w:t>
      </w:r>
      <w:r>
        <w:rPr>
          <w:rFonts w:ascii="Arial" w:hAnsi="Arial"/>
          <w:color w:val="1B2322"/>
        </w:rPr>
        <w:t>Private storage buckets with short lived links and no public listing</w:t>
      </w:r>
    </w:p>
    <w:p>
      <w:pPr>
        <w:pStyle w:val="BodyText"/>
        <w:spacing w:after="80"/>
        <w:ind w:left="351" w:hanging="238"/>
      </w:pPr>
      <w:r>
        <w:rPr>
          <w:rFonts w:ascii="Arial" w:hAnsi="Arial"/>
          <w:color w:val="164F52"/>
        </w:rPr>
        <w:t xml:space="preserve">•  </w:t>
      </w:r>
      <w:r>
        <w:rPr>
          <w:rFonts w:ascii="Arial" w:hAnsi="Arial"/>
          <w:color w:val="1B2322"/>
        </w:rPr>
        <w:t>Service role credentials kept on the server and never sent to the browser</w:t>
      </w:r>
    </w:p>
    <w:p>
      <w:pPr>
        <w:pStyle w:val="BodyText"/>
        <w:spacing w:after="80"/>
        <w:ind w:left="351" w:hanging="238"/>
      </w:pPr>
      <w:r>
        <w:rPr>
          <w:rFonts w:ascii="Arial" w:hAnsi="Arial"/>
          <w:color w:val="164F52"/>
        </w:rPr>
        <w:t xml:space="preserve">•  </w:t>
      </w:r>
      <w:r>
        <w:rPr>
          <w:rFonts w:ascii="Arial" w:hAnsi="Arial"/>
          <w:color w:val="1B2322"/>
        </w:rPr>
        <w:t>Append only audit events for create, change, acknowledge, approve, export and access removal</w:t>
      </w:r>
    </w:p>
    <w:p>
      <w:pPr>
        <w:pStyle w:val="BodyText"/>
        <w:spacing w:after="80"/>
        <w:ind w:left="351" w:hanging="238"/>
      </w:pPr>
      <w:r>
        <w:rPr>
          <w:rFonts w:ascii="Arial" w:hAnsi="Arial"/>
          <w:color w:val="164F52"/>
        </w:rPr>
        <w:t xml:space="preserve">•  </w:t>
      </w:r>
      <w:r>
        <w:rPr>
          <w:rFonts w:ascii="Arial" w:hAnsi="Arial"/>
          <w:color w:val="1B2322"/>
        </w:rPr>
        <w:t>Rate limits, file type and size validation, malware checks, GPS and device metadata removal</w:t>
      </w:r>
    </w:p>
    <w:p>
      <w:pPr>
        <w:pStyle w:val="BodyText"/>
        <w:spacing w:after="80"/>
        <w:ind w:left="351" w:hanging="238"/>
      </w:pPr>
      <w:r>
        <w:rPr>
          <w:rFonts w:ascii="Arial" w:hAnsi="Arial"/>
          <w:color w:val="164F52"/>
        </w:rPr>
        <w:t xml:space="preserve">•  </w:t>
      </w:r>
      <w:r>
        <w:rPr>
          <w:rFonts w:ascii="Arial" w:hAnsi="Arial"/>
          <w:color w:val="1B2322"/>
        </w:rPr>
        <w:t>Encrypted backups, processor register, tested deletion and incident procedures</w:t>
      </w:r>
    </w:p>
    <w:p>
      <w:pPr>
        <w:pStyle w:val="BodyText"/>
      </w:pPr>
      <w:r>
        <w:rPr>
          <w:rFonts w:ascii="Arial" w:hAnsi="Arial"/>
          <w:color w:val="1B2322"/>
        </w:rPr>
        <w:t>Supabase explains that row level security can enforce per row rules with Auth and that service role keys bypass those policies. Private storage should be reached through authenticated requests or time limited links.</w:t>
      </w:r>
      <w:r>
        <w:t xml:space="preserve">  </w:t>
      </w:r>
      <w:hyperlink r:id="rId36">
        <w:r>
          <w:rPr>
            <w:rFonts w:ascii="Arial" w:hAnsi="Arial"/>
            <w:color w:val="164F52"/>
          </w:rPr>
          <w:t>Source  Supabase row level security</w:t>
        </w:r>
      </w:hyperlink>
    </w:p>
    <w:p>
      <w:pPr>
        <w:pStyle w:val="Heading2"/>
        <w:keepNext/>
      </w:pPr>
      <w:r>
        <w:t>Permission tests that matter</w:t>
      </w:r>
    </w:p>
    <w:p>
      <w:pPr>
        <w:pStyle w:val="BodyText"/>
        <w:spacing w:after="80"/>
        <w:ind w:left="351" w:hanging="238"/>
      </w:pPr>
      <w:r>
        <w:rPr>
          <w:rFonts w:ascii="Arial" w:hAnsi="Arial"/>
          <w:color w:val="164F52"/>
        </w:rPr>
        <w:t xml:space="preserve">•  </w:t>
      </w:r>
      <w:r>
        <w:rPr>
          <w:rFonts w:ascii="Arial" w:hAnsi="Arial"/>
          <w:color w:val="1B2322"/>
        </w:rPr>
        <w:t>One tenant tries to read another tenancy</w:t>
      </w:r>
    </w:p>
    <w:p>
      <w:pPr>
        <w:pStyle w:val="BodyText"/>
        <w:spacing w:after="80"/>
        <w:ind w:left="351" w:hanging="238"/>
      </w:pPr>
      <w:r>
        <w:rPr>
          <w:rFonts w:ascii="Arial" w:hAnsi="Arial"/>
          <w:color w:val="164F52"/>
        </w:rPr>
        <w:t xml:space="preserve">•  </w:t>
      </w:r>
      <w:r>
        <w:rPr>
          <w:rFonts w:ascii="Arial" w:hAnsi="Arial"/>
          <w:color w:val="1B2322"/>
        </w:rPr>
        <w:t>A contractor tries to enumerate other jobs</w:t>
      </w:r>
    </w:p>
    <w:p>
      <w:pPr>
        <w:pStyle w:val="BodyText"/>
        <w:spacing w:after="80"/>
        <w:ind w:left="351" w:hanging="238"/>
      </w:pPr>
      <w:r>
        <w:rPr>
          <w:rFonts w:ascii="Arial" w:hAnsi="Arial"/>
          <w:color w:val="164F52"/>
        </w:rPr>
        <w:t xml:space="preserve">•  </w:t>
      </w:r>
      <w:r>
        <w:rPr>
          <w:rFonts w:ascii="Arial" w:hAnsi="Arial"/>
          <w:color w:val="1B2322"/>
        </w:rPr>
        <w:t>An expired invitation is reused</w:t>
      </w:r>
    </w:p>
    <w:p>
      <w:pPr>
        <w:pStyle w:val="BodyText"/>
        <w:spacing w:after="80"/>
        <w:ind w:left="351" w:hanging="238"/>
      </w:pPr>
      <w:r>
        <w:rPr>
          <w:rFonts w:ascii="Arial" w:hAnsi="Arial"/>
          <w:color w:val="164F52"/>
        </w:rPr>
        <w:t xml:space="preserve">•  </w:t>
      </w:r>
      <w:r>
        <w:rPr>
          <w:rFonts w:ascii="Arial" w:hAnsi="Arial"/>
          <w:color w:val="1B2322"/>
        </w:rPr>
        <w:t>A removed agent keeps using an old session</w:t>
      </w:r>
    </w:p>
    <w:p>
      <w:pPr>
        <w:pStyle w:val="BodyText"/>
        <w:spacing w:after="80"/>
        <w:ind w:left="351" w:hanging="238"/>
      </w:pPr>
      <w:r>
        <w:rPr>
          <w:rFonts w:ascii="Arial" w:hAnsi="Arial"/>
          <w:color w:val="164F52"/>
        </w:rPr>
        <w:t xml:space="preserve">•  </w:t>
      </w:r>
      <w:r>
        <w:rPr>
          <w:rFonts w:ascii="Arial" w:hAnsi="Arial"/>
          <w:color w:val="1B2322"/>
        </w:rPr>
        <w:t>A copied image link is opened after access is revoked</w:t>
      </w:r>
    </w:p>
    <w:p>
      <w:pPr>
        <w:pStyle w:val="BodyText"/>
        <w:spacing w:after="80"/>
        <w:ind w:left="351" w:hanging="238"/>
      </w:pPr>
      <w:r>
        <w:rPr>
          <w:rFonts w:ascii="Arial" w:hAnsi="Arial"/>
          <w:color w:val="164F52"/>
        </w:rPr>
        <w:t xml:space="preserve">•  </w:t>
      </w:r>
      <w:r>
        <w:rPr>
          <w:rFonts w:ascii="Arial" w:hAnsi="Arial"/>
          <w:color w:val="1B2322"/>
        </w:rPr>
        <w:t>An export is requested by a role that can view but not download</w:t>
      </w:r>
    </w:p>
    <w:p>
      <w:pPr>
        <w:pStyle w:val="BodyText"/>
      </w:pPr>
      <w:r>
        <w:rPr>
          <w:rFonts w:ascii="Arial" w:hAnsi="Arial"/>
          <w:color w:val="1B2322"/>
        </w:rPr>
        <w:t>PDPC's 2026 enforcement summaries identify inadequate access controls and misconfigured database permissions among recurring breach causes. If a breach is determined to be notifiable, the PDPC must be notified as soon as practicable and within three calendar days; affected individuals are notified as soon as practicable when required.</w:t>
      </w:r>
      <w:r>
        <w:t xml:space="preserve">  </w:t>
      </w:r>
      <w:hyperlink r:id="rId37">
        <w:r>
          <w:rPr>
            <w:rFonts w:ascii="Arial" w:hAnsi="Arial"/>
            <w:color w:val="164F52"/>
          </w:rPr>
          <w:t>Source  PDPC 2026 undertakings</w:t>
        </w:r>
      </w:hyperlink>
    </w:p>
    <w:p>
      <w:pPr>
        <w:pStyle w:val="Heading1"/>
        <w:keepNext/>
      </w:pPr>
      <w:r>
        <w:t>Architecture with Truestorey</w:t>
      </w:r>
    </w:p>
    <w:tbl>
      <w:tblPr>
        <w:tblW w:type="auto" w:w="0"/>
        <w:jc w:val="center"/>
        <w:tblLayout w:type="fixed"/>
        <w:tblLook w:firstColumn="1" w:firstRow="1" w:lastColumn="0" w:lastRow="0" w:noHBand="0" w:noVBand="1" w:val="04A0"/>
      </w:tblPr>
      <w:tblGrid>
        <w:gridCol w:w="125"/>
        <w:gridCol w:w="9128"/>
      </w:tblGrid>
      <w:tr>
        <w:tc>
          <w:tcPr>
            <w:tcW w:type="dxa" w:w="4961"/>
            <w:shd w:fill="164F52"/>
            <w:tcBorders>
              <w:top w:val="single" w:sz="0" w:space="0" w:color="E9F2F1"/>
              <w:left w:val="single" w:sz="0" w:space="0" w:color="E9F2F1"/>
              <w:bottom w:val="single" w:sz="0" w:space="0" w:color="E9F2F1"/>
              <w:right w:val="single" w:sz="0" w:space="0" w:color="E9F2F1"/>
              <w:insideH w:val="single" w:sz="0" w:space="0" w:color="E9F2F1"/>
              <w:insideV w:val="single" w:sz="0" w:space="0" w:color="E9F2F1"/>
            </w:tcBorders>
            <w:tcMar>
              <w:top w:w="140" w:type="dxa"/>
              <w:start w:w="170" w:type="dxa"/>
              <w:bottom w:w="140" w:type="dxa"/>
              <w:end w:w="170" w:type="dxa"/>
            </w:tcMar>
            <w:vAlign w:val="center"/>
          </w:tcPr>
          <w:p/>
        </w:tc>
        <w:tc>
          <w:tcPr>
            <w:tcW w:type="dxa" w:w="4961"/>
            <w:shd w:fill="E9F2F1"/>
            <w:tcBorders>
              <w:top w:val="single" w:sz="0" w:space="0" w:color="E9F2F1"/>
              <w:left w:val="single" w:sz="0" w:space="0" w:color="E9F2F1"/>
              <w:bottom w:val="single" w:sz="0" w:space="0" w:color="E9F2F1"/>
              <w:right w:val="single" w:sz="0" w:space="0" w:color="E9F2F1"/>
              <w:insideH w:val="single" w:sz="0" w:space="0" w:color="E9F2F1"/>
              <w:insideV w:val="single" w:sz="0" w:space="0" w:color="E9F2F1"/>
            </w:tcBorders>
            <w:tcMar>
              <w:top w:w="140" w:type="dxa"/>
              <w:start w:w="170" w:type="dxa"/>
              <w:bottom w:w="140" w:type="dxa"/>
              <w:end w:w="170" w:type="dxa"/>
            </w:tcMar>
            <w:vAlign w:val="center"/>
          </w:tcPr>
          <w:p>
            <w:pPr>
              <w:spacing w:after="60"/>
            </w:pPr>
            <w:r>
              <w:rPr>
                <w:rFonts w:ascii="Arial" w:hAnsi="Arial"/>
                <w:b/>
                <w:color w:val="000000"/>
                <w:sz w:val="21"/>
              </w:rPr>
              <w:t>Recommended boundary</w:t>
            </w:r>
          </w:p>
          <w:p>
            <w:pPr>
              <w:spacing w:after="0"/>
            </w:pPr>
            <w:r>
              <w:rPr>
                <w:rFonts w:ascii="Arial" w:hAnsi="Arial"/>
                <w:color w:val="1B2322"/>
                <w:sz w:val="19"/>
              </w:rPr>
              <w:t>Public Truestorey  -&gt;  read only property identifier and sourced market data  -&gt;  private tenancy application  -&gt;  separate authentication database storage and mail services</w:t>
            </w:r>
          </w:p>
        </w:tc>
      </w:tr>
    </w:tbl>
    <w:p>
      <w:pPr>
        <w:spacing w:after="0"/>
      </w:pPr>
    </w:p>
    <w:p>
      <w:pPr>
        <w:pStyle w:val="BodyText"/>
      </w:pPr>
      <w:r>
        <w:rPr>
          <w:rFonts w:ascii="Arial" w:hAnsi="Arial"/>
          <w:color w:val="1B2322"/>
        </w:rPr>
        <w:t>Deploy the private app on a subdomain such as manage.truestorey.sg as a separate Vercel project with a separate Supabase project. A sibling repository is the safest starting point. This preserves the public site's build time architecture, three dependency discipline and free no sign up position while isolating private data and migrations.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098"/>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Connection</w:t>
            </w:r>
          </w:p>
        </w:tc>
        <w:tc>
          <w:tcPr>
            <w:tcW w:type="dxa" w:w="3742"/>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Allowed</w:t>
            </w:r>
          </w:p>
        </w:tc>
        <w:tc>
          <w:tcPr>
            <w:tcW w:type="dxa" w:w="3798"/>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Not allowed</w:t>
            </w:r>
          </w:p>
        </w:tc>
      </w:tr>
      <w:tr>
        <w:trPr>
          <w:trHeight w:hRule="atLeas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Public record to private setup</w:t>
            </w:r>
          </w:p>
        </w:tc>
        <w:tc>
          <w:tcPr>
            <w:tcW w:type="dxa" w:w="374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Property identifier and address prefill</w:t>
            </w:r>
          </w:p>
        </w:tc>
        <w:tc>
          <w:tcPr>
            <w:tcW w:type="dxa" w:w="37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Tenant name, tenancy status or private query parameters</w:t>
            </w:r>
          </w:p>
        </w:tc>
      </w:tr>
      <w:tr>
        <w:trPr>
          <w:trHeight w:hRule="atLeast"/>
        </w:trPr>
        <w:tc>
          <w:tcPr>
            <w:tcW w:type="dxa" w:w="209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Public data in private app</w:t>
            </w:r>
          </w:p>
        </w:tc>
        <w:tc>
          <w:tcPr>
            <w:tcW w:type="dxa" w:w="3742"/>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Filed rent ranges, transactions, public source and period</w:t>
            </w:r>
          </w:p>
        </w:tc>
        <w:tc>
          <w:tcPr>
            <w:tcW w:type="dxa" w:w="379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Single value estimate or unsourced market claim</w:t>
            </w:r>
          </w:p>
        </w:tc>
      </w:tr>
      <w:tr>
        <w:trPr>
          <w:trHeight w:hRule="atLeas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Private app to public site</w:t>
            </w:r>
          </w:p>
        </w:tc>
        <w:tc>
          <w:tcPr>
            <w:tcW w:type="dxa" w:w="374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A generic link back to the public property record</w:t>
            </w:r>
          </w:p>
        </w:tc>
        <w:tc>
          <w:tcPr>
            <w:tcW w:type="dxa" w:w="37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Payments, repairs, photos, users or tenancy analytics</w:t>
            </w:r>
          </w:p>
        </w:tc>
      </w:tr>
      <w:tr>
        <w:trPr>
          <w:trHeight w:hRule="atLeast"/>
        </w:trPr>
        <w:tc>
          <w:tcPr>
            <w:tcW w:type="dxa" w:w="209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Analytics</w:t>
            </w:r>
          </w:p>
        </w:tc>
        <w:tc>
          <w:tcPr>
            <w:tcW w:type="dxa" w:w="3742"/>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Separate aggregate operational metrics with no public property event stream</w:t>
            </w:r>
          </w:p>
        </w:tc>
        <w:tc>
          <w:tcPr>
            <w:tcW w:type="dxa" w:w="379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Sending tenant or tenancy identifiers to public analytics</w:t>
            </w:r>
          </w:p>
        </w:tc>
      </w:tr>
    </w:tbl>
    <w:p>
      <w:pPr>
        <w:spacing w:after="0"/>
      </w:pPr>
    </w:p>
    <w:p>
      <w:pPr>
        <w:pStyle w:val="Heading2"/>
        <w:keepNext/>
      </w:pPr>
      <w:r>
        <w:t>First data model</w:t>
      </w:r>
    </w:p>
    <w:p>
      <w:pPr>
        <w:pStyle w:val="BodyText"/>
      </w:pPr>
      <w:r>
        <w:rPr>
          <w:rFonts w:ascii="Arial" w:hAnsi="Arial"/>
          <w:color w:val="1B2322"/>
        </w:rPr>
        <w:t>The initial entities are properties, tenancies, memberships, confirmed operational terms, rent cycles, payment assertions, obligations, condition reports, condition items, tickets, ticket events, quotes, approvals, appointments, work orders, documents, provider credentials, notification events and audit events. Current status should be derived from the event history rather than overwriting the only record of what happened.</w:t>
      </w:r>
    </w:p>
    <w:p>
      <w:pPr>
        <w:pStyle w:val="BodyText"/>
      </w:pPr>
      <w:r>
        <w:rPr>
          <w:rFonts w:ascii="Arial" w:hAnsi="Arial"/>
          <w:color w:val="1B2322"/>
        </w:rPr>
        <w:t>A language model may summarise a ticket or propose extracted fields for human confirmation. It must not decide who pays, assign legal fault, set a price or conclude that a safety risk is absent.</w:t>
      </w:r>
    </w:p>
    <w:p>
      <w:pPr>
        <w:pStyle w:val="Heading1"/>
        <w:keepNext/>
      </w:pPr>
      <w:r>
        <w:t>Pilot and validation plan</w:t>
      </w:r>
    </w:p>
    <w:p>
      <w:pPr>
        <w:pStyle w:val="Heading2"/>
        <w:keepNext/>
      </w:pPr>
      <w:r>
        <w:t>Two week decision sprint</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757"/>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Work</w:t>
            </w:r>
          </w:p>
        </w:tc>
        <w:tc>
          <w:tcPr>
            <w:tcW w:type="dxa" w:w="5159"/>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Evidence to collect</w:t>
            </w:r>
          </w:p>
        </w:tc>
        <w:tc>
          <w:tcPr>
            <w:tcW w:type="dxa" w:w="2721"/>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Decision</w:t>
            </w:r>
          </w:p>
        </w:tc>
      </w:tr>
      <w:tr>
        <w:trPr>
          <w:trHeight w:hRule="atLeas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Competitor demos</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Complete the same sample tenancy in RentOwl and Coweave; record missing or weak steps</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Partner, build a wedge or stop</w:t>
            </w:r>
          </w:p>
        </w:tc>
      </w:tr>
      <w:tr>
        <w:trPr>
          <w:trHeight w:hRule="atLeast"/>
        </w:trPr>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Ten interviews</w:t>
            </w:r>
          </w:p>
        </w:tc>
        <w:tc>
          <w:tcPr>
            <w:tcW w:type="dxa" w:w="515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Owners, tenants and agents show the last real rent, repair, service and handover trail with personal details removed</w:t>
            </w:r>
          </w:p>
        </w:tc>
        <w:tc>
          <w:tcPr>
            <w:tcW w:type="dxa" w:w="272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Confirm which repeated failure is painful enough to change behaviour</w:t>
            </w:r>
          </w:p>
        </w:tc>
      </w:tr>
      <w:tr>
        <w:trPr>
          <w:trHeight w:hRule="atLeas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Contract review</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Map two or three real agreements to due dates, repair caps, condition and air conditioning obligations</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Confirm the setup model works without uploading the agreement</w:t>
            </w:r>
          </w:p>
        </w:tc>
      </w:tr>
      <w:tr>
        <w:trPr>
          <w:trHeight w:hRule="atLeast"/>
        </w:trPr>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Governance</w:t>
            </w:r>
          </w:p>
        </w:tc>
        <w:tc>
          <w:tcPr>
            <w:tcW w:type="dxa" w:w="515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Written KEO response and initial legal advice on entity, scope, fees, data and conflicts</w:t>
            </w:r>
          </w:p>
        </w:tc>
        <w:tc>
          <w:tcPr>
            <w:tcW w:type="dxa" w:w="272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Confirm whether external pilot use can proceed</w:t>
            </w:r>
          </w:p>
        </w:tc>
      </w:tr>
      <w:tr>
        <w:trPr>
          <w:trHeight w:hRule="atLeas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Service test</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Book one real job through Handyy or another provider and compare with the proposed workflow</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Partner first or build contractor guest flow</w:t>
            </w:r>
          </w:p>
        </w:tc>
      </w:tr>
    </w:tbl>
    <w:p>
      <w:pPr>
        <w:spacing w:after="0"/>
      </w:pPr>
    </w:p>
    <w:p>
      <w:pPr>
        <w:pStyle w:val="Heading2"/>
        <w:keepNext/>
      </w:pPr>
      <w:r>
        <w:t>Eight week build</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1417"/>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Week</w:t>
            </w:r>
          </w:p>
        </w:tc>
        <w:tc>
          <w:tcPr>
            <w:tcW w:type="dxa" w:w="8220"/>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Build outcome</w:t>
            </w:r>
          </w:p>
        </w:tc>
      </w:tr>
      <w:tr>
        <w:trPr>
          <w:trHeight w:hRule="atLeas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1</w:t>
            </w:r>
          </w:p>
        </w:tc>
        <w:tc>
          <w:tcPr>
            <w:tcW w:type="dxa" w:w="82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Role model, permission tests, event states, notification wording and policy decisions</w:t>
            </w:r>
          </w:p>
        </w:tc>
      </w:tr>
      <w:tr>
        <w:trPr>
          <w:trHeight w:hRule="atLeast"/>
        </w:trPr>
        <w:tc>
          <w:tcPr>
            <w:tcW w:type="dxa" w:w="141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2</w:t>
            </w:r>
          </w:p>
        </w:tc>
        <w:tc>
          <w:tcPr>
            <w:tcW w:type="dxa" w:w="8220"/>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Passwordless invitation, tenancy setup and shared timeline</w:t>
            </w:r>
          </w:p>
        </w:tc>
      </w:tr>
      <w:tr>
        <w:trPr>
          <w:trHeight w:hRule="atLeas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3 to 4</w:t>
            </w:r>
          </w:p>
        </w:tc>
        <w:tc>
          <w:tcPr>
            <w:tcW w:type="dxa" w:w="82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Rent cycles, dual acknowledgement and obligation evidence</w:t>
            </w:r>
          </w:p>
        </w:tc>
      </w:tr>
      <w:tr>
        <w:trPr>
          <w:trHeight w:hRule="atLeast"/>
        </w:trPr>
        <w:tc>
          <w:tcPr>
            <w:tcW w:type="dxa" w:w="141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5 to 6</w:t>
            </w:r>
          </w:p>
        </w:tc>
        <w:tc>
          <w:tcPr>
            <w:tcW w:type="dxa" w:w="8220"/>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Condition report and repair workflow</w:t>
            </w:r>
          </w:p>
        </w:tc>
      </w:tr>
      <w:tr>
        <w:trPr>
          <w:trHeight w:hRule="atLeas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7 to 8</w:t>
            </w:r>
          </w:p>
        </w:tc>
        <w:tc>
          <w:tcPr>
            <w:tcW w:type="dxa" w:w="82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Contractor guest quote, exports, retention controls, security and failure testing</w:t>
            </w:r>
          </w:p>
        </w:tc>
      </w:tr>
    </w:tbl>
    <w:p>
      <w:pPr>
        <w:spacing w:after="0"/>
      </w:pPr>
    </w:p>
    <w:p>
      <w:pPr>
        <w:pStyle w:val="Heading2"/>
        <w:keepNext/>
      </w:pPr>
      <w:r>
        <w:t>Twelve week personal pilot</w:t>
      </w:r>
    </w:p>
    <w:p>
      <w:pPr>
        <w:pStyle w:val="BodyText"/>
      </w:pPr>
      <w:r>
        <w:rPr>
          <w:rFonts w:ascii="Arial" w:hAnsi="Arial"/>
          <w:color w:val="1B2322"/>
        </w:rPr>
        <w:t>Use two or three active tenancies for one full air conditioning quarter. Review every reminder, ticket and approval manually. Avoid adding features during the first four weeks unless the workflow is blocked. Interview each participant after the first completed task and at the end of the quarter.</w:t>
      </w:r>
    </w:p>
    <w:p>
      <w:pPr>
        <w:pStyle w:val="BodyText"/>
      </w:pPr>
      <w:r>
        <w:rPr>
          <w:rFonts w:ascii="Arial" w:hAnsi="Arial"/>
          <w:color w:val="1B2322"/>
        </w:rPr>
        <w:t>Baseline before setting targets. Measure whether both parties participate, whether rent state is accurate two days after the due date, time to first human repair response, open tickets with a named owner and next action, air conditioning evidence by the agreed deadline, side channel messages needed to finish a task, and agent minutes per tenancy.</w:t>
      </w:r>
    </w:p>
    <w:p>
      <w:pPr>
        <w:pStyle w:val="Heading2"/>
        <w:keepNext/>
      </w:pPr>
      <w:r>
        <w:t>Expansion gates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Stage</w:t>
            </w:r>
          </w:p>
        </w:tc>
        <w:tc>
          <w:tcPr>
            <w:tcW w:type="dxa" w:w="3458"/>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Suggested cohort</w:t>
            </w:r>
          </w:p>
        </w:tc>
        <w:tc>
          <w:tcPr>
            <w:tcW w:type="dxa" w:w="4932"/>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Proceed only when</w:t>
            </w:r>
          </w:p>
        </w:tc>
      </w:tr>
      <w:tr>
        <w:trPr>
          <w:trHeight w:hRule="atLeast"/>
        </w:trPr>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Personal</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Two or three of Shervin's own active tenancies for twelve weeks</w:t>
            </w:r>
          </w:p>
        </w:tc>
        <w:tc>
          <w:tcPr>
            <w:tcW w:type="dxa" w:w="49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Users maintain the record without repeated manual chasing and the hard workflow completes end to end</w:t>
            </w:r>
          </w:p>
        </w:tc>
      </w:tr>
      <w:tr>
        <w:trPr>
          <w:trHeight w:hRule="atLeast"/>
        </w:trPr>
        <w:tc>
          <w:tcPr>
            <w:tcW w:type="dxa" w:w="124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 broker</w:t>
            </w:r>
          </w:p>
        </w:tc>
        <w:tc>
          <w:tcPr>
            <w:tcW w:type="dxa" w:w="345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Up to five agents and twenty five to fifty tenancies for another quarter</w:t>
            </w:r>
          </w:p>
        </w:tc>
        <w:tc>
          <w:tcPr>
            <w:tcW w:type="dxa" w:w="4932"/>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Permissions, onboarding, exports and support work across separate books</w:t>
            </w:r>
          </w:p>
        </w:tc>
      </w:tr>
      <w:tr>
        <w:trPr>
          <w:trHeight w:hRule="atLeast"/>
        </w:trPr>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Team</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A controlled Huttons team cohort</w:t>
            </w:r>
          </w:p>
        </w:tc>
        <w:tc>
          <w:tcPr>
            <w:tcW w:type="dxa" w:w="49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KEO approved operating model, billing, support and incident response are tested</w:t>
            </w:r>
          </w:p>
        </w:tc>
      </w:tr>
      <w:tr>
        <w:trPr>
          <w:trHeight w:hRule="atLeast"/>
        </w:trPr>
        <w:tc>
          <w:tcPr>
            <w:tcW w:type="dxa" w:w="124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Open</w:t>
            </w:r>
          </w:p>
        </w:tc>
        <w:tc>
          <w:tcPr>
            <w:tcW w:type="dxa" w:w="345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Self service owners and agents</w:t>
            </w:r>
          </w:p>
        </w:tc>
        <w:tc>
          <w:tcPr>
            <w:tcW w:type="dxa" w:w="4932"/>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Deletion, export, billing, complaint handling and provider governance are production ready</w:t>
            </w:r>
          </w:p>
        </w:tc>
      </w:tr>
    </w:tbl>
    <w:p>
      <w:pPr>
        <w:spacing w:after="0"/>
      </w:pPr>
    </w:p>
    <w:p>
      <w:pPr>
        <w:pStyle w:val="Heading1"/>
        <w:keepNext/>
      </w:pPr>
      <w:r>
        <w:t>Business model</w:t>
      </w:r>
    </w:p>
    <w:p>
      <w:pPr>
        <w:pStyle w:val="BodyText"/>
      </w:pPr>
      <w:r>
        <w:rPr>
          <w:rFonts w:ascii="Arial" w:hAnsi="Arial"/>
          <w:color w:val="1B2322"/>
        </w:rPr>
        <w:t>Charge the party that receives recurring professional value. Tenants remain free. Landlords invited by an agent remain free while that tenancy is sponsored. The first paid product is an agent workspace. A self managing owner plan can follow.</w:t>
      </w:r>
    </w:p>
    <w:p>
      <w:pPr>
        <w:pStyle w:val="Heading2"/>
        <w:keepNext/>
      </w:pPr>
      <w:r>
        <w:t>Pricing tests not conclusions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041"/>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Test</w:t>
            </w:r>
          </w:p>
        </w:tc>
        <w:tc>
          <w:tcPr>
            <w:tcW w:type="dxa" w:w="3969"/>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Reason to test</w:t>
            </w:r>
          </w:p>
        </w:tc>
        <w:tc>
          <w:tcPr>
            <w:tcW w:type="dxa" w:w="3628"/>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5" w:type="dxa"/>
              <w:bottom w:w="110" w:type="dxa"/>
              <w:end w:w="115" w:type="dxa"/>
            </w:tcMar>
            <w:vAlign w:val="center"/>
          </w:tcPr>
          <w:p>
            <w:pPr>
              <w:spacing w:after="0"/>
              <w:jc w:val="left"/>
            </w:pPr>
            <w:r>
              <w:rPr>
                <w:rFonts w:ascii="Arial" w:hAnsi="Arial"/>
                <w:b/>
                <w:color w:val="FFFFFF"/>
                <w:sz w:val="17"/>
              </w:rPr>
              <w:t>Risk</w:t>
            </w:r>
          </w:p>
        </w:tc>
      </w:tr>
      <w:tr>
        <w:trPr>
          <w:trHeight w:hRule="atLeast"/>
        </w:trPr>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Per agent plan</w:t>
            </w:r>
          </w:p>
        </w:tc>
        <w:tc>
          <w:tcPr>
            <w:tcW w:type="dxa" w:w="39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Simple budget and aligned with relationship management</w:t>
            </w:r>
          </w:p>
        </w:tc>
        <w:tc>
          <w:tcPr>
            <w:tcW w:type="dxa" w:w="36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Heavy and light users pay the same</w:t>
            </w:r>
          </w:p>
        </w:tc>
      </w:tr>
      <w:tr>
        <w:trPr>
          <w:trHeight w:hRule="atLeast"/>
        </w:trPr>
        <w:tc>
          <w:tcPr>
            <w:tcW w:type="dxa" w:w="204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Per active tenancy</w:t>
            </w:r>
          </w:p>
        </w:tc>
        <w:tc>
          <w:tcPr>
            <w:tcW w:type="dxa" w:w="396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Revenue follows usage and portfolio size</w:t>
            </w:r>
          </w:p>
        </w:tc>
        <w:tc>
          <w:tcPr>
            <w:tcW w:type="dxa" w:w="36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Agents dislike variable bills and may omit tenancies</w:t>
            </w:r>
          </w:p>
        </w:tc>
      </w:tr>
      <w:tr>
        <w:trPr>
          <w:trHeight w:hRule="atLeast"/>
        </w:trPr>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Self managing owner plan</w:t>
            </w:r>
          </w:p>
        </w:tc>
        <w:tc>
          <w:tcPr>
            <w:tcW w:type="dxa" w:w="39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Clear direct value for one or a few units</w:t>
            </w:r>
          </w:p>
        </w:tc>
        <w:tc>
          <w:tcPr>
            <w:tcW w:type="dxa" w:w="36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Competitor anchors are low and support expectations can exceed revenue</w:t>
            </w:r>
          </w:p>
        </w:tc>
      </w:tr>
      <w:tr>
        <w:trPr>
          <w:trHeight w:hRule="atLeast"/>
        </w:trPr>
        <w:tc>
          <w:tcPr>
            <w:tcW w:type="dxa" w:w="204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Managed coordination add on</w:t>
            </w:r>
          </w:p>
        </w:tc>
        <w:tc>
          <w:tcPr>
            <w:tcW w:type="dxa" w:w="396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Separates human work from software</w:t>
            </w:r>
          </w:p>
        </w:tc>
        <w:tc>
          <w:tcPr>
            <w:tcW w:type="dxa" w:w="3628"/>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1B2322"/>
                <w:sz w:val="16"/>
              </w:rPr>
              <w:t>Requires service hours, authority, staffing and insurance</w:t>
            </w:r>
          </w:p>
        </w:tc>
      </w:tr>
    </w:tbl>
    <w:p>
      <w:pPr>
        <w:spacing w:after="0"/>
      </w:pPr>
    </w:p>
    <w:p>
      <w:pPr>
        <w:pStyle w:val="BodyText"/>
      </w:pPr>
      <w:r>
        <w:rPr>
          <w:rFonts w:ascii="Arial" w:hAnsi="Arial"/>
          <w:color w:val="1B2322"/>
        </w:rPr>
        <w:t>Current competitor prices are useful only as anchors. RentOwl lists S$49 per month for up to twenty active tenancies at its founding price and S$12 per month for one self managed property. EasyProp starts at S$49 for five properties. Mehlia lists S$12.99 for five units. A paid pilot must establish willingness to pay.</w:t>
      </w:r>
    </w:p>
    <w:p>
      <w:pPr>
        <w:pStyle w:val="Heading2"/>
        <w:keepNext/>
      </w:pPr>
      <w:r>
        <w:t>Revenue to avoid first</w:t>
      </w:r>
    </w:p>
    <w:p>
      <w:pPr>
        <w:pStyle w:val="BodyText"/>
      </w:pPr>
      <w:r>
        <w:rPr>
          <w:rFonts w:ascii="Arial" w:hAnsi="Arial"/>
          <w:color w:val="1B2322"/>
        </w:rPr>
        <w:t>Do not rely on hidden contractor margin. If the platform later charges a booking fee, show it and state whether the agent or platform receives any part. Subscription revenue is more consistent with the transparency promise. Human repair coordination must be a separately priced service; a low software fee cannot fund unlimited agent work.</w:t>
      </w:r>
    </w:p>
    <w:p>
      <w:pPr>
        <w:pStyle w:val="Heading1"/>
        <w:keepNext/>
      </w:pPr>
      <w:r>
        <w:t>Decision checklist</w:t>
      </w:r>
    </w:p>
    <w:p>
      <w:pPr>
        <w:pStyle w:val="BodyText"/>
        <w:spacing w:after="80"/>
        <w:ind w:left="351" w:hanging="351"/>
      </w:pPr>
      <w:r>
        <w:rPr>
          <w:rFonts w:ascii="Arial" w:hAnsi="Arial"/>
          <w:color w:val="164F52"/>
        </w:rPr>
        <w:t xml:space="preserve">1.  </w:t>
      </w:r>
      <w:r>
        <w:rPr>
          <w:rFonts w:ascii="Arial" w:hAnsi="Arial"/>
          <w:color w:val="1B2322"/>
        </w:rPr>
        <w:t>Identify the legal entity that provides tenancy administration and obtain the Huttons KEO's written guidance</w:t>
      </w:r>
    </w:p>
    <w:p>
      <w:pPr>
        <w:pStyle w:val="BodyText"/>
        <w:spacing w:after="80"/>
        <w:ind w:left="351" w:hanging="351"/>
      </w:pPr>
      <w:r>
        <w:rPr>
          <w:rFonts w:ascii="Arial" w:hAnsi="Arial"/>
          <w:color w:val="164F52"/>
        </w:rPr>
        <w:t xml:space="preserve">2.  </w:t>
      </w:r>
      <w:r>
        <w:rPr>
          <w:rFonts w:ascii="Arial" w:hAnsi="Arial"/>
          <w:color w:val="1B2322"/>
        </w:rPr>
        <w:t>Run competitor demos and decide build versus partnership before development</w:t>
      </w:r>
    </w:p>
    <w:p>
      <w:pPr>
        <w:pStyle w:val="BodyText"/>
        <w:spacing w:after="80"/>
        <w:ind w:left="351" w:hanging="351"/>
      </w:pPr>
      <w:r>
        <w:rPr>
          <w:rFonts w:ascii="Arial" w:hAnsi="Arial"/>
          <w:color w:val="164F52"/>
        </w:rPr>
        <w:t xml:space="preserve">3.  </w:t>
      </w:r>
      <w:r>
        <w:rPr>
          <w:rFonts w:ascii="Arial" w:hAnsi="Arial"/>
          <w:color w:val="1B2322"/>
        </w:rPr>
        <w:t>Select the personal pilot tenancies and obtain informed participation from both parties</w:t>
      </w:r>
    </w:p>
    <w:p>
      <w:pPr>
        <w:pStyle w:val="BodyText"/>
        <w:spacing w:after="80"/>
        <w:ind w:left="351" w:hanging="351"/>
      </w:pPr>
      <w:r>
        <w:rPr>
          <w:rFonts w:ascii="Arial" w:hAnsi="Arial"/>
          <w:color w:val="164F52"/>
        </w:rPr>
        <w:t xml:space="preserve">4.  </w:t>
      </w:r>
      <w:r>
        <w:rPr>
          <w:rFonts w:ascii="Arial" w:hAnsi="Arial"/>
          <w:color w:val="1B2322"/>
        </w:rPr>
        <w:t>Approve the minimum viable scope and the excluded features</w:t>
      </w:r>
    </w:p>
    <w:p>
      <w:pPr>
        <w:pStyle w:val="BodyText"/>
        <w:spacing w:after="80"/>
        <w:ind w:left="351" w:hanging="351"/>
      </w:pPr>
      <w:r>
        <w:rPr>
          <w:rFonts w:ascii="Arial" w:hAnsi="Arial"/>
          <w:color w:val="164F52"/>
        </w:rPr>
        <w:t xml:space="preserve">5.  </w:t>
      </w:r>
      <w:r>
        <w:rPr>
          <w:rFonts w:ascii="Arial" w:hAnsi="Arial"/>
          <w:color w:val="1B2322"/>
        </w:rPr>
        <w:t>Approve the role and visibility matrix before creating the database</w:t>
      </w:r>
    </w:p>
    <w:p>
      <w:pPr>
        <w:pStyle w:val="BodyText"/>
        <w:spacing w:after="80"/>
        <w:ind w:left="351" w:hanging="351"/>
      </w:pPr>
      <w:r>
        <w:rPr>
          <w:rFonts w:ascii="Arial" w:hAnsi="Arial"/>
          <w:color w:val="164F52"/>
        </w:rPr>
        <w:t xml:space="preserve">6.  </w:t>
      </w:r>
      <w:r>
        <w:rPr>
          <w:rFonts w:ascii="Arial" w:hAnsi="Arial"/>
          <w:color w:val="1B2322"/>
        </w:rPr>
        <w:t>Set the retention basis for each data class with legal and tax advice</w:t>
      </w:r>
    </w:p>
    <w:p>
      <w:pPr>
        <w:pStyle w:val="BodyText"/>
        <w:spacing w:after="80"/>
        <w:ind w:left="351" w:hanging="351"/>
      </w:pPr>
      <w:r>
        <w:rPr>
          <w:rFonts w:ascii="Arial" w:hAnsi="Arial"/>
          <w:color w:val="164F52"/>
        </w:rPr>
        <w:t xml:space="preserve">7.  </w:t>
      </w:r>
      <w:r>
        <w:rPr>
          <w:rFonts w:ascii="Arial" w:hAnsi="Arial"/>
          <w:color w:val="1B2322"/>
        </w:rPr>
        <w:t>Keep contractor recommendations fee free in the first pilot</w:t>
      </w:r>
    </w:p>
    <w:p>
      <w:pPr>
        <w:pStyle w:val="BodyText"/>
        <w:spacing w:after="80"/>
        <w:ind w:left="351" w:hanging="351"/>
      </w:pPr>
      <w:r>
        <w:rPr>
          <w:rFonts w:ascii="Arial" w:hAnsi="Arial"/>
          <w:color w:val="164F52"/>
        </w:rPr>
        <w:t xml:space="preserve">8.  </w:t>
      </w:r>
      <w:r>
        <w:rPr>
          <w:rFonts w:ascii="Arial" w:hAnsi="Arial"/>
          <w:color w:val="1B2322"/>
        </w:rPr>
        <w:t>Appoint the data protection officer and approve an incident process</w:t>
      </w:r>
    </w:p>
    <w:tbl>
      <w:tblPr>
        <w:tblW w:type="auto" w:w="0"/>
        <w:jc w:val="center"/>
        <w:tblLayout w:type="fixed"/>
        <w:tblLook w:firstColumn="1" w:firstRow="1" w:lastColumn="0" w:lastRow="0" w:noHBand="0" w:noVBand="1" w:val="04A0"/>
      </w:tblPr>
      <w:tblGrid>
        <w:gridCol w:w="125"/>
        <w:gridCol w:w="9128"/>
      </w:tblGrid>
      <w:tr>
        <w:tc>
          <w:tcPr>
            <w:tcW w:type="dxa" w:w="4961"/>
            <w:shd w:fill="164F52"/>
            <w:tcBorders>
              <w:top w:val="single" w:sz="0" w:space="0" w:color="E9F2F1"/>
              <w:left w:val="single" w:sz="0" w:space="0" w:color="E9F2F1"/>
              <w:bottom w:val="single" w:sz="0" w:space="0" w:color="E9F2F1"/>
              <w:right w:val="single" w:sz="0" w:space="0" w:color="E9F2F1"/>
              <w:insideH w:val="single" w:sz="0" w:space="0" w:color="E9F2F1"/>
              <w:insideV w:val="single" w:sz="0" w:space="0" w:color="E9F2F1"/>
            </w:tcBorders>
            <w:tcMar>
              <w:top w:w="140" w:type="dxa"/>
              <w:start w:w="170" w:type="dxa"/>
              <w:bottom w:w="140" w:type="dxa"/>
              <w:end w:w="170" w:type="dxa"/>
            </w:tcMar>
            <w:vAlign w:val="center"/>
          </w:tcPr>
          <w:p/>
        </w:tc>
        <w:tc>
          <w:tcPr>
            <w:tcW w:type="dxa" w:w="4961"/>
            <w:shd w:fill="E9F2F1"/>
            <w:tcBorders>
              <w:top w:val="single" w:sz="0" w:space="0" w:color="E9F2F1"/>
              <w:left w:val="single" w:sz="0" w:space="0" w:color="E9F2F1"/>
              <w:bottom w:val="single" w:sz="0" w:space="0" w:color="E9F2F1"/>
              <w:right w:val="single" w:sz="0" w:space="0" w:color="E9F2F1"/>
              <w:insideH w:val="single" w:sz="0" w:space="0" w:color="E9F2F1"/>
              <w:insideV w:val="single" w:sz="0" w:space="0" w:color="E9F2F1"/>
            </w:tcBorders>
            <w:tcMar>
              <w:top w:w="140" w:type="dxa"/>
              <w:start w:w="170" w:type="dxa"/>
              <w:bottom w:w="140" w:type="dxa"/>
              <w:end w:w="170" w:type="dxa"/>
            </w:tcMar>
            <w:vAlign w:val="center"/>
          </w:tcPr>
          <w:p>
            <w:pPr>
              <w:spacing w:after="60"/>
            </w:pPr>
            <w:r>
              <w:rPr>
                <w:rFonts w:ascii="Arial" w:hAnsi="Arial"/>
                <w:b/>
                <w:color w:val="000000"/>
                <w:sz w:val="21"/>
              </w:rPr>
              <w:t>Recommended next action</w:t>
            </w:r>
          </w:p>
          <w:p>
            <w:pPr>
              <w:spacing w:after="0"/>
            </w:pPr>
            <w:r>
              <w:rPr>
                <w:rFonts w:ascii="Arial" w:hAnsi="Arial"/>
                <w:color w:val="1B2322"/>
                <w:sz w:val="19"/>
              </w:rPr>
              <w:t>Spend the next two weeks on demos, evidence led interviews and governance approval. If the decision remains build, implement the defect report to approved repair to both party acknowledgement journey first. It tests the hardest trust problem without touching rent.</w:t>
            </w:r>
          </w:p>
        </w:tc>
      </w:tr>
    </w:tbl>
    <w:p>
      <w:pPr>
        <w:spacing w:after="0"/>
      </w:pPr>
    </w:p>
    <w:p>
      <w:pPr>
        <w:pStyle w:val="Heading1"/>
        <w:keepNext/>
      </w:pPr>
      <w:r>
        <w:t>Limitations</w:t>
      </w:r>
    </w:p>
    <w:p>
      <w:pPr>
        <w:pStyle w:val="BodyText"/>
      </w:pPr>
      <w:r>
        <w:rPr>
          <w:rFonts w:ascii="Arial" w:hAnsi="Arial"/>
          <w:color w:val="1B2322"/>
        </w:rPr>
        <w:t>Competitor capabilities, prices and availability came from first party websites accessed on 4 September 2026. Customer counts, retention, product reliability and service quality were not independently verified. EasyProp's adoption claim and Coweave's legal claims are therefore not treated as established facts.</w:t>
      </w:r>
    </w:p>
    <w:p>
      <w:pPr>
        <w:pStyle w:val="BodyText"/>
      </w:pPr>
      <w:r>
        <w:rPr>
          <w:rFonts w:ascii="Arial" w:hAnsi="Arial"/>
          <w:color w:val="1B2322"/>
        </w:rPr>
        <w:t>This report is product and operational research, not Singapore legal, tax, payment services or employment advice. The legal entity, agent relationship, contract wording, insurance, data retention and any payment flow need professional review before third party use.</w:t>
      </w:r>
    </w:p>
    <w:p>
      <w:pPr>
        <w:pStyle w:val="BodyText"/>
      </w:pPr>
      <w:r>
        <w:rPr>
          <w:rFonts w:ascii="Arial" w:hAnsi="Arial"/>
          <w:color w:val="1B2322"/>
        </w:rPr>
        <w:t>The market indicators use different populations and periods and cannot be summed. They demonstrate reach rather than a total addressable market.</w:t>
      </w:r>
    </w:p>
    <w:p>
      <w:pPr>
        <w:pStyle w:val="Heading1"/>
        <w:keepNext/>
      </w:pPr>
      <w:r>
        <w:t>Sources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551"/>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r>
              <w:rPr>
                <w:rFonts w:ascii="Arial" w:hAnsi="Arial"/>
                <w:b/>
                <w:color w:val="FFFFFF"/>
                <w:sz w:val="16"/>
              </w:rPr>
              <w:t>Publisher</w:t>
            </w:r>
          </w:p>
        </w:tc>
        <w:tc>
          <w:tcPr>
            <w:tcW w:type="dxa" w:w="5329"/>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r>
              <w:rPr>
                <w:rFonts w:ascii="Arial" w:hAnsi="Arial"/>
                <w:b/>
                <w:color w:val="FFFFFF"/>
                <w:sz w:val="16"/>
              </w:rPr>
              <w:t>Source and date</w:t>
            </w:r>
          </w:p>
        </w:tc>
        <w:tc>
          <w:tcPr>
            <w:tcW w:type="dxa" w:w="1757"/>
            <w:shd w:fill="164F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r>
              <w:rPr>
                <w:rFonts w:ascii="Arial" w:hAnsi="Arial"/>
                <w:b/>
                <w:color w:val="FFFFFF"/>
                <w:sz w:val="16"/>
              </w:rPr>
              <w:t>Link</w:t>
            </w:r>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Council for Estate Agencies</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Renting or renting out  |  4 November 2025</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28">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Council for Estate Agencies</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What to take note of when engaging a property agent  |  13 May 2026</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26">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Council for Estate Agencies</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Private residential tenancy agreement template  |  Current template listed 14 August 2026</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25">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Housing and Development Board</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HDB Key Statistics 2025  |  2025</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17">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Singapore Department of Statistics</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Population Trends 2025  |  2025</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19">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Council for Estate Agencies</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Industry statistics  |  16 January 2026</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18">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Singapore Courts</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Cases eligible for a small claim  |  2026</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38">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Inland Revenue Authority of Singapore</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Income from property rented out  |  2026</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27">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Personal Data Protection Commission</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Data Protection Obligations  |  Current</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34">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Personal Data Protection Commission</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NRIC FAQs  |  Current guidance</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35">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Personal Data Protection Commission</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Required to Notify the PDPC  |  Current</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39">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Energy Market Authority</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Engaging Licensed Electrical Workers  |  Current</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30">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Energy Market Authority</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Engaging Licensed Gas Service Workers  |  Current</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31">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PUB</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Plumbing Works  |  1 August 2025</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32">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Housing and Development Board</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Application for a Renovation Permit  |  Current</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33">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Council for Estate Agencies</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Avoiding and managing conflict of interest situations  |  28 February 2019</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29">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Stripe</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Singapore pricing and PayNow documentation  |  Current</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40">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Supabase</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Row Level Security documentation  |  Current</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36">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RentOwl</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Product pricing terms and privacy  |  August 2026</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41">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Coweave</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Property collaboration platform  |  Current</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21">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EasyProp SG</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Property management product and pricing  |  Current</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22">
              <w:r>
                <w:rPr>
                  <w:rFonts w:ascii="Arial" w:hAnsi="Arial"/>
                  <w:color w:val="164F52"/>
                </w:rPr>
                <w:t>Open source</w:t>
              </w:r>
            </w:hyperlink>
          </w:p>
        </w:tc>
      </w:tr>
      <w:tr>
        <w:tc>
          <w:tcPr>
            <w:tcW w:type="dxa" w:w="2551"/>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Selira Technology Ventures</w:t>
            </w:r>
          </w:p>
        </w:tc>
        <w:tc>
          <w:tcPr>
            <w:tcW w:type="dxa" w:w="5329"/>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Mehlia product and pricing  |  Current</w:t>
            </w:r>
          </w:p>
        </w:tc>
        <w:tc>
          <w:tcPr>
            <w:tcW w:type="dxa" w:w="1757"/>
            <w:shd w:fill="F4F8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23">
              <w:r>
                <w:rPr>
                  <w:rFonts w:ascii="Arial" w:hAnsi="Arial"/>
                  <w:color w:val="164F52"/>
                </w:rPr>
                <w:t>Open source</w:t>
              </w:r>
            </w:hyperlink>
          </w:p>
        </w:tc>
      </w:tr>
      <w:tr>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Handyy Pte Ltd</w:t>
            </w:r>
          </w:p>
        </w:tc>
        <w:tc>
          <w:tcPr>
            <w:tcW w:type="dxa" w:w="532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r>
              <w:rPr>
                <w:rFonts w:ascii="Arial" w:hAnsi="Arial"/>
                <w:color w:val="1B2322"/>
                <w:sz w:val="15"/>
              </w:rPr>
              <w:t>Product and agent partner programme  |  2026</w:t>
            </w:r>
          </w:p>
        </w:tc>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5" w:type="dxa"/>
              <w:bottom w:w="90" w:type="dxa"/>
              <w:end w:w="105" w:type="dxa"/>
            </w:tcMar>
            <w:vAlign w:val="center"/>
          </w:tcPr>
          <w:p>
            <w:pPr>
              <w:spacing w:after="0"/>
            </w:pPr>
            <w:hyperlink r:id="rId24">
              <w:r>
                <w:rPr>
                  <w:rFonts w:ascii="Arial" w:hAnsi="Arial"/>
                  <w:color w:val="164F52"/>
                </w:rPr>
                <w:t>Open source</w:t>
              </w:r>
            </w:hyperlink>
          </w:p>
        </w:tc>
      </w:tr>
    </w:tbl>
    <w:p/>
    <w:p>
      <w:pPr>
        <w:pStyle w:val="SmallNote"/>
      </w:pPr>
      <w:r>
        <w:t>Research covered official tenancy templates and agent duties, HDB and private rental rules, dispute routes, tax records, PDPA obligations, contractor licensing, payment options and current local products. Research stopped when the product, compliance, payment, data, agent and competitor claims had primary support or an explicit limitation, and follow up searches returned redundant evidence.</w:t>
      </w:r>
    </w:p>
    <w:sectPr>
      <w:headerReference w:type="default" r:id="rId13"/>
      <w:footerReference w:type="default" r:id="rId14"/>
      <w:headerReference w:type="first" r:id="rId15"/>
      <w:footerReference w:type="first" r:id="rId16"/>
      <w:pgSz w:w="11906" w:h="16838"/>
      <w:pgMar w:top="964" w:right="992" w:bottom="1106"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824"/>
      <w:gridCol w:w="2098"/>
    </w:tblGrid>
    <w:tr>
      <w:tc>
        <w:tcPr>
          <w:tcW w:type="dxa" w:w="4961"/>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0" w:type="dxa"/>
            <w:start w:w="0" w:type="dxa"/>
            <w:bottom w:w="0" w:type="dxa"/>
            <w:end w:w="0" w:type="dxa"/>
          </w:tcMar>
        </w:tcPr>
        <w:p>
          <w:r>
            <w:rPr>
              <w:rFonts w:ascii="Arial" w:hAnsi="Arial"/>
              <w:color w:val="000000"/>
              <w:sz w:val="14"/>
            </w:rPr>
            <w:t>Prepared for Shervin Poh  |  4 September 2026</w:t>
          </w:r>
        </w:p>
      </w:tc>
      <w:tc>
        <w:tcPr>
          <w:tcW w:type="dxa" w:w="4961"/>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0" w:type="dxa"/>
            <w:start w:w="0" w:type="dxa"/>
            <w:bottom w:w="0" w:type="dxa"/>
            <w:end w:w="0" w:type="dxa"/>
          </w:tcMar>
        </w:tcPr>
        <w:p>
          <w:pPr>
            <w:jc w:val="right"/>
          </w:pPr>
          <w:r>
            <w:rPr>
              <w:rFonts w:ascii="Arial" w:hAnsi="Arial"/>
              <w:b/>
              <w:color w:val="000000"/>
              <w:sz w:val="14"/>
            </w:rPr>
            <w:t xml:space="preserve">PAGE </w:t>
          </w:r>
          <w:r>
            <w:fldChar w:fldCharType="begin"/>
            <w:instrText xml:space="preserve">PAGE</w:instrText>
            <w:fldChar w:fldCharType="separate"/>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000000"/>
        <w:sz w:val="14"/>
      </w:rPr>
      <w:t>TRUESTOREY  TENANCY OPERATIONS RESEARCH</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1B23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9" w:lineRule="auto"/>
    </w:pPr>
    <w:rPr>
      <w:rFonts w:ascii="Arial" w:hAnsi="Arial"/>
      <w:color w:val="1B2322"/>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rial" w:hAnsi="Arial"/>
      <w:color w:val="1B2322"/>
      <w:sz w:val="18"/>
    </w:rPr>
  </w:style>
  <w:style w:type="paragraph" w:styleId="ListBullet2">
    <w:name w:val="List Bullet 2"/>
    <w:basedOn w:val="Normal"/>
    <w:uiPriority w:val="99"/>
    <w:unhideWhenUsed/>
    <w:rsid w:val="00326F90"/>
    <w:pPr>
      <w:numPr>
        <w:numId w:val="2"/>
      </w:numPr>
      <w:spacing w:line="259" w:lineRule="auto"/>
      <w:contextualSpacing/>
    </w:pPr>
    <w:rPr>
      <w:rFonts w:ascii="Arial" w:hAnsi="Arial"/>
      <w:color w:val="1B2322"/>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rial" w:hAnsi="Arial"/>
      <w:color w:val="1B2322"/>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line="240" w:lineRule="auto"/>
    </w:pPr>
    <w:rPr>
      <w:rFonts w:ascii="Arial" w:hAnsi="Arial"/>
      <w:color w:val="5F69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yperlink" Target="https://www.hdb.gov.sg/-/media/hdb-pulse/reports/annual-reports-and-financial-statements/HDB_Key-Statistics-2025.pdf" TargetMode="External"/><Relationship Id="rId18" Type="http://schemas.openxmlformats.org/officeDocument/2006/relationships/hyperlink" Target="https://www.cea.gov.sg/about-cea/newsroom-publications/industry-statistics/" TargetMode="External"/><Relationship Id="rId19" Type="http://schemas.openxmlformats.org/officeDocument/2006/relationships/hyperlink" Target="https://www.singstat.gov.sg/-/media/files/publications/population/population2025.pdf" TargetMode="External"/><Relationship Id="rId20" Type="http://schemas.openxmlformats.org/officeDocument/2006/relationships/hyperlink" Target="https://rentowl.sg/?for=agents" TargetMode="External"/><Relationship Id="rId21" Type="http://schemas.openxmlformats.org/officeDocument/2006/relationships/hyperlink" Target="https://coweave.app/" TargetMode="External"/><Relationship Id="rId22" Type="http://schemas.openxmlformats.org/officeDocument/2006/relationships/hyperlink" Target="https://www.easyprop.sg/" TargetMode="External"/><Relationship Id="rId23" Type="http://schemas.openxmlformats.org/officeDocument/2006/relationships/hyperlink" Target="https://mehlia.co/" TargetMode="External"/><Relationship Id="rId24" Type="http://schemas.openxmlformats.org/officeDocument/2006/relationships/hyperlink" Target="https://handyy.sg/partners" TargetMode="External"/><Relationship Id="rId25" Type="http://schemas.openxmlformats.org/officeDocument/2006/relationships/hyperlink" Target="https://www.cea.gov.sg/docs/default-source/default-document-library/tenancy-agreement-template-for-private-residential-property-2021.pdf" TargetMode="External"/><Relationship Id="rId26" Type="http://schemas.openxmlformats.org/officeDocument/2006/relationships/hyperlink" Target="https://www.cea.gov.sg/consumers/engaging-a-property-agent/what-to-take-note-of-when-engaging-a-property-agent/" TargetMode="External"/><Relationship Id="rId27" Type="http://schemas.openxmlformats.org/officeDocument/2006/relationships/hyperlink" Target="https://www.iras.gov.sg/taxes/individual-income-tax/basics-of-individual-income-tax/what-is-taxable-what-is-not/income-from-property-rented-out" TargetMode="External"/><Relationship Id="rId28" Type="http://schemas.openxmlformats.org/officeDocument/2006/relationships/hyperlink" Target="https://www.cea.gov.sg/consumers/engaging-a-property-agent/renting-or-renting-out/" TargetMode="External"/><Relationship Id="rId29" Type="http://schemas.openxmlformats.org/officeDocument/2006/relationships/hyperlink" Target="https://www.cea.gov.sg/docs/default-source/ccpo/educational-materials/Tips-of-the-month/avoiding-and-managing-conflict-of-interest-situations.pdf" TargetMode="External"/><Relationship Id="rId30" Type="http://schemas.openxmlformats.org/officeDocument/2006/relationships/hyperlink" Target="https://www.ema.gov.sg/consumer-information/electricity/engaging-licensed-workers" TargetMode="External"/><Relationship Id="rId31" Type="http://schemas.openxmlformats.org/officeDocument/2006/relationships/hyperlink" Target="https://www.ema.gov.sg/consumer-information/gas/engaging-licensed-workers" TargetMode="External"/><Relationship Id="rId32" Type="http://schemas.openxmlformats.org/officeDocument/2006/relationships/hyperlink" Target="https://www.pub.gov.sg/Professionals/Requirements/Licensed-Plumbers/Plumbing-Works" TargetMode="External"/><Relationship Id="rId33" Type="http://schemas.openxmlformats.org/officeDocument/2006/relationships/hyperlink" Target="https://www.hdb.gov.sg/managing-my-home/renovation-and-maintenance/renovation/application-for-a-renovation-permit" TargetMode="External"/><Relationship Id="rId34" Type="http://schemas.openxmlformats.org/officeDocument/2006/relationships/hyperlink" Target="https://www.pdpc.gov.sg/overview-of-pdpa/the-legislation/personal-data-protection-act/data-protection-obligations" TargetMode="External"/><Relationship Id="rId35" Type="http://schemas.openxmlformats.org/officeDocument/2006/relationships/hyperlink" Target="https://www.pdpc.gov.sg/guidelines-and-consultation/2020/02/advisory-guidelines-on-the-personal-data-protection-act-for-nric-and-other-national-identification-numbers/nric-faqs" TargetMode="External"/><Relationship Id="rId36" Type="http://schemas.openxmlformats.org/officeDocument/2006/relationships/hyperlink" Target="https://supabase.com/docs/guides/database/postgres/row-level-security" TargetMode="External"/><Relationship Id="rId37" Type="http://schemas.openxmlformats.org/officeDocument/2006/relationships/hyperlink" Target="https://www.pdpc.gov.sg/news-and-events/announcements/2026/04/new-undertakings-on-9-april-2026" TargetMode="External"/><Relationship Id="rId38" Type="http://schemas.openxmlformats.org/officeDocument/2006/relationships/hyperlink" Target="https://www.judiciary.gov.sg/civil/cases-eligible-small-claim" TargetMode="External"/><Relationship Id="rId39" Type="http://schemas.openxmlformats.org/officeDocument/2006/relationships/hyperlink" Target="https://www.pdpc.gov.sg/report-data-breach/before-you-report-a-data-breach-3/info" TargetMode="External"/><Relationship Id="rId40" Type="http://schemas.openxmlformats.org/officeDocument/2006/relationships/hyperlink" Target="https://stripe.com/en-sg/pricing" TargetMode="External"/><Relationship Id="rId41" Type="http://schemas.openxmlformats.org/officeDocument/2006/relationships/hyperlink" Target="https://rentowl.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Truestorey Tenancy Operations Product Research</dc:title>
  <dc:subject>Singapore product strategy and pilot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