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3F316D" w14:textId="77F12268" w:rsidR="00463EDF" w:rsidRPr="00B31DBF" w:rsidRDefault="006268AB" w:rsidP="006268AB">
      <w:pPr>
        <w:jc w:val="center"/>
        <w:rPr>
          <w:rFonts w:asciiTheme="majorBidi" w:hAnsiTheme="majorBidi" w:cstheme="majorBidi"/>
          <w:b/>
          <w:bCs/>
          <w:sz w:val="28"/>
          <w:szCs w:val="28"/>
          <w:u w:val="single"/>
        </w:rPr>
      </w:pPr>
      <w:r w:rsidRPr="00B31DBF">
        <w:rPr>
          <w:rFonts w:asciiTheme="majorBidi" w:hAnsiTheme="majorBidi" w:cstheme="majorBidi"/>
          <w:b/>
          <w:bCs/>
          <w:sz w:val="28"/>
          <w:szCs w:val="28"/>
          <w:u w:val="single"/>
        </w:rPr>
        <w:t>Investigating the effects of Google search term big data on predictability of macro-economic indices</w:t>
      </w:r>
    </w:p>
    <w:p w14:paraId="6ECC837A" w14:textId="77777777" w:rsidR="006268AB" w:rsidRPr="00B31DBF" w:rsidRDefault="006268AB" w:rsidP="006268AB">
      <w:pPr>
        <w:jc w:val="center"/>
        <w:rPr>
          <w:rFonts w:asciiTheme="majorBidi" w:hAnsiTheme="majorBidi" w:cstheme="majorBidi"/>
          <w:i/>
          <w:iCs/>
        </w:rPr>
        <w:sectPr w:rsidR="006268AB" w:rsidRPr="00B31DBF">
          <w:headerReference w:type="default" r:id="rId7"/>
          <w:pgSz w:w="11906" w:h="16838"/>
          <w:pgMar w:top="1440" w:right="1440" w:bottom="1440" w:left="1440" w:header="708" w:footer="708" w:gutter="0"/>
          <w:cols w:space="708"/>
          <w:docGrid w:linePitch="360"/>
        </w:sectPr>
      </w:pPr>
      <w:r w:rsidRPr="00B31DBF">
        <w:rPr>
          <w:rFonts w:asciiTheme="majorBidi" w:hAnsiTheme="majorBidi" w:cstheme="majorBidi"/>
          <w:i/>
          <w:iCs/>
        </w:rPr>
        <w:t>Shervin Sharifi Rad</w:t>
      </w:r>
    </w:p>
    <w:p w14:paraId="78C1DCF3" w14:textId="64622194" w:rsidR="006268AB" w:rsidRPr="00B31DBF" w:rsidRDefault="006268AB" w:rsidP="0033048B">
      <w:pPr>
        <w:pStyle w:val="Heading1"/>
        <w:numPr>
          <w:ilvl w:val="0"/>
          <w:numId w:val="2"/>
        </w:numPr>
        <w:rPr>
          <w:rFonts w:asciiTheme="majorBidi" w:hAnsiTheme="majorBidi"/>
          <w:color w:val="auto"/>
          <w:sz w:val="38"/>
        </w:rPr>
      </w:pPr>
      <w:r w:rsidRPr="00B31DBF">
        <w:rPr>
          <w:rFonts w:asciiTheme="majorBidi" w:hAnsiTheme="majorBidi"/>
          <w:color w:val="auto"/>
          <w:sz w:val="38"/>
        </w:rPr>
        <w:t>Introduction</w:t>
      </w:r>
    </w:p>
    <w:p w14:paraId="23AF1578" w14:textId="7DDEFE34" w:rsidR="00E40261" w:rsidRPr="00B31DBF" w:rsidRDefault="00E40261" w:rsidP="00E40261">
      <w:pPr>
        <w:pStyle w:val="Heading2"/>
        <w:numPr>
          <w:ilvl w:val="1"/>
          <w:numId w:val="2"/>
        </w:numPr>
        <w:rPr>
          <w:rFonts w:asciiTheme="majorBidi" w:hAnsiTheme="majorBidi"/>
          <w:color w:val="auto"/>
        </w:rPr>
      </w:pPr>
      <w:r w:rsidRPr="00B31DBF">
        <w:rPr>
          <w:rFonts w:asciiTheme="majorBidi" w:hAnsiTheme="majorBidi"/>
          <w:color w:val="auto"/>
        </w:rPr>
        <w:t>Problem statement</w:t>
      </w:r>
    </w:p>
    <w:p w14:paraId="70B33A66" w14:textId="603CA72C" w:rsidR="006268AB" w:rsidRPr="00B31DBF" w:rsidRDefault="006268AB" w:rsidP="006268AB">
      <w:pPr>
        <w:jc w:val="both"/>
        <w:rPr>
          <w:rFonts w:asciiTheme="majorBidi" w:hAnsiTheme="majorBidi" w:cstheme="majorBidi"/>
        </w:rPr>
      </w:pPr>
      <w:r w:rsidRPr="00B31DBF">
        <w:rPr>
          <w:rFonts w:asciiTheme="majorBidi" w:hAnsiTheme="majorBidi" w:cstheme="majorBidi"/>
        </w:rPr>
        <w:t xml:space="preserve">In the real world and models with realistic assumptions, the future, almost always holds uncertainty and risk. Therefore, predicting the future is essential for mitigating these risks, planning and adaptability of organisations. For example, central banks, governments and statistical organisation gather data on a large scale in order to gain insight into the concerning governed body and to forecast the trends and movements of their economies. This then allows them plan for legislature, monetary policies and campaigns to mitigate risks of failure. </w:t>
      </w:r>
      <w:r w:rsidR="001C0DDA" w:rsidRPr="00B31DBF">
        <w:rPr>
          <w:rFonts w:asciiTheme="majorBidi" w:hAnsiTheme="majorBidi" w:cstheme="majorBidi"/>
        </w:rPr>
        <w:t>[]</w:t>
      </w:r>
    </w:p>
    <w:p w14:paraId="16612A6A" w14:textId="315A4B1F" w:rsidR="00730F33" w:rsidRPr="00B31DBF" w:rsidRDefault="00730F33" w:rsidP="006268AB">
      <w:pPr>
        <w:jc w:val="both"/>
        <w:rPr>
          <w:rFonts w:asciiTheme="majorBidi" w:hAnsiTheme="majorBidi" w:cstheme="majorBidi"/>
        </w:rPr>
      </w:pPr>
      <w:r w:rsidRPr="00B31DBF">
        <w:rPr>
          <w:rFonts w:asciiTheme="majorBidi" w:hAnsiTheme="majorBidi" w:cstheme="majorBidi"/>
        </w:rPr>
        <w:t xml:space="preserve">However, the collection of data is a costly and staggering struggle which then causes the data to represent the events of the past. Hence, instead of striving for the risks of the future, through the process of nowcasting, the central banks and governments attempt on building models to predict the present.  </w:t>
      </w:r>
    </w:p>
    <w:p w14:paraId="3C5F0BE6" w14:textId="7B8FC121" w:rsidR="00713A49" w:rsidRPr="00B31DBF" w:rsidRDefault="00713A49" w:rsidP="00713A49">
      <w:pPr>
        <w:jc w:val="both"/>
        <w:rPr>
          <w:rFonts w:asciiTheme="majorBidi" w:hAnsiTheme="majorBidi" w:cstheme="majorBidi"/>
        </w:rPr>
      </w:pPr>
      <w:r w:rsidRPr="00B31DBF">
        <w:rPr>
          <w:rFonts w:asciiTheme="majorBidi" w:hAnsiTheme="majorBidi" w:cstheme="majorBidi"/>
        </w:rPr>
        <w:t xml:space="preserve">The lag associated with the gathered data can take from weeks to months which hinders models with higher volatility and lower market memory. For example, in micro-economic, financial and logistical cases, miniature lags within the data such as that of a security pricing, could raise transactional risks and disrupt the trading process. On a larger scale such as that of central banks, system lags on issues such as employment can </w:t>
      </w:r>
      <w:r w:rsidR="00002CBF" w:rsidRPr="00B31DBF">
        <w:rPr>
          <w:rFonts w:asciiTheme="majorBidi" w:hAnsiTheme="majorBidi" w:cstheme="majorBidi"/>
        </w:rPr>
        <w:t>lead to decisions which cause</w:t>
      </w:r>
      <w:r w:rsidRPr="00B31DBF">
        <w:rPr>
          <w:rFonts w:asciiTheme="majorBidi" w:hAnsiTheme="majorBidi" w:cstheme="majorBidi"/>
        </w:rPr>
        <w:t xml:space="preserve"> volatile </w:t>
      </w:r>
      <w:r w:rsidR="00002CBF" w:rsidRPr="00B31DBF">
        <w:rPr>
          <w:rFonts w:asciiTheme="majorBidi" w:hAnsiTheme="majorBidi" w:cstheme="majorBidi"/>
        </w:rPr>
        <w:t xml:space="preserve">market conditions and send the economy in boom and bust cyclical patterns. This effect has been seen for centuries where slow government responses to market bubbles give raise to the bursting of bubbles and setting off recessions. This is due to the poor predictability of the current market conditions by the statistical organisations and the resulting slow responses to raising of the interest rates and tightening monetary policies. </w:t>
      </w:r>
      <w:r w:rsidR="001C0DDA" w:rsidRPr="00B31DBF">
        <w:rPr>
          <w:rFonts w:asciiTheme="majorBidi" w:hAnsiTheme="majorBidi" w:cstheme="majorBidi"/>
        </w:rPr>
        <w:t>[]</w:t>
      </w:r>
    </w:p>
    <w:p w14:paraId="5D7A6972" w14:textId="24C66814" w:rsidR="006268AB" w:rsidRPr="00B31DBF" w:rsidRDefault="00FD77DA" w:rsidP="001C0DDA">
      <w:pPr>
        <w:jc w:val="both"/>
        <w:rPr>
          <w:rFonts w:asciiTheme="majorBidi" w:hAnsiTheme="majorBidi" w:cstheme="majorBidi"/>
        </w:rPr>
      </w:pPr>
      <w:r w:rsidRPr="00B31DBF">
        <w:rPr>
          <w:rFonts w:asciiTheme="majorBidi" w:hAnsiTheme="majorBidi" w:cstheme="majorBidi"/>
        </w:rPr>
        <w:t xml:space="preserve">With the growth of technology, the gathering and analysis of data has been eased through artificial intelligence analyses of big data. The definition and </w:t>
      </w:r>
      <w:r w:rsidRPr="00B31DBF">
        <w:rPr>
          <w:rFonts w:asciiTheme="majorBidi" w:hAnsiTheme="majorBidi" w:cstheme="majorBidi"/>
        </w:rPr>
        <w:t xml:space="preserve">understanding of big data </w:t>
      </w:r>
      <w:proofErr w:type="gramStart"/>
      <w:r w:rsidRPr="00B31DBF">
        <w:rPr>
          <w:rFonts w:asciiTheme="majorBidi" w:hAnsiTheme="majorBidi" w:cstheme="majorBidi"/>
        </w:rPr>
        <w:t>remains</w:t>
      </w:r>
      <w:proofErr w:type="gramEnd"/>
      <w:r w:rsidRPr="00B31DBF">
        <w:rPr>
          <w:rFonts w:asciiTheme="majorBidi" w:hAnsiTheme="majorBidi" w:cstheme="majorBidi"/>
        </w:rPr>
        <w:t xml:space="preserve"> a big question to many. Big data is essentially,</w:t>
      </w:r>
      <w:r w:rsidR="001C0DDA" w:rsidRPr="00B31DBF">
        <w:rPr>
          <w:rFonts w:asciiTheme="majorBidi" w:hAnsiTheme="majorBidi" w:cstheme="majorBidi"/>
        </w:rPr>
        <w:t xml:space="preserve"> large datasets that can be computationally analysed to reveal trends and patterns which can illustrate human behaviour []. </w:t>
      </w:r>
      <w:r w:rsidRPr="00B31DBF">
        <w:rPr>
          <w:rFonts w:asciiTheme="majorBidi" w:hAnsiTheme="majorBidi" w:cstheme="majorBidi"/>
        </w:rPr>
        <w:t xml:space="preserve">Sources such as Google, MasterCard, Federal Express, UPS and many other private organisations, gather data of their services which appears to be key in understanding market movements and positions. </w:t>
      </w:r>
      <w:r w:rsidR="001C0DDA" w:rsidRPr="00B31DBF">
        <w:rPr>
          <w:rFonts w:asciiTheme="majorBidi" w:hAnsiTheme="majorBidi" w:cstheme="majorBidi"/>
        </w:rPr>
        <w:t xml:space="preserve">These data range from money market figures, internet information and/or courier statistics each sharing various insights. For example, the level of market risk can be guessed from the credit default swap spreads. As the spread between the insured </w:t>
      </w:r>
      <w:r w:rsidR="00C52891" w:rsidRPr="00B31DBF">
        <w:rPr>
          <w:rFonts w:asciiTheme="majorBidi" w:hAnsiTheme="majorBidi" w:cstheme="majorBidi"/>
        </w:rPr>
        <w:t>and the premiums raise, it can be inferred that the market is becoming riskier and insuring the same security at the same price would require higher interest payments to accommodate for the systematic risk. In addition, with the growth of e-commerce and online platforms, courier data can demonstrate the economic growth and slow-down of certain regions, employment within the area and even inflation. This can be taken from number of insights such as the frequency of deliveries, competitive pricing of the services and human capital information of the services</w:t>
      </w:r>
      <w:r w:rsidR="001C22EB" w:rsidRPr="00B31DBF">
        <w:rPr>
          <w:rFonts w:asciiTheme="majorBidi" w:hAnsiTheme="majorBidi" w:cstheme="majorBidi"/>
        </w:rPr>
        <w:t xml:space="preserve"> []</w:t>
      </w:r>
      <w:r w:rsidR="00C52891" w:rsidRPr="00B31DBF">
        <w:rPr>
          <w:rFonts w:asciiTheme="majorBidi" w:hAnsiTheme="majorBidi" w:cstheme="majorBidi"/>
        </w:rPr>
        <w:t xml:space="preserve">. </w:t>
      </w:r>
      <w:r w:rsidR="00C95BD4" w:rsidRPr="00B31DBF">
        <w:rPr>
          <w:rFonts w:asciiTheme="majorBidi" w:hAnsiTheme="majorBidi" w:cstheme="majorBidi"/>
        </w:rPr>
        <w:t xml:space="preserve">However, with the changing times and greater use of internet, many transactions are made and recorded online. Hence, insight into the minds of consumers is now readily available via the searches made online. </w:t>
      </w:r>
    </w:p>
    <w:p w14:paraId="7C19FCF7" w14:textId="3436A66F" w:rsidR="00E40261" w:rsidRPr="00B31DBF" w:rsidRDefault="00E40261" w:rsidP="00E40261">
      <w:pPr>
        <w:pStyle w:val="Heading2"/>
        <w:numPr>
          <w:ilvl w:val="1"/>
          <w:numId w:val="2"/>
        </w:numPr>
        <w:rPr>
          <w:rFonts w:asciiTheme="majorBidi" w:hAnsiTheme="majorBidi"/>
          <w:color w:val="auto"/>
        </w:rPr>
      </w:pPr>
      <w:r w:rsidRPr="00B31DBF">
        <w:rPr>
          <w:rFonts w:asciiTheme="majorBidi" w:hAnsiTheme="majorBidi"/>
          <w:color w:val="auto"/>
        </w:rPr>
        <w:t>Approach</w:t>
      </w:r>
    </w:p>
    <w:p w14:paraId="3F48AD00" w14:textId="34D2859F" w:rsidR="00D1017D" w:rsidRPr="00B31DBF" w:rsidRDefault="009840DA" w:rsidP="00D1017D">
      <w:pPr>
        <w:jc w:val="both"/>
        <w:rPr>
          <w:rFonts w:asciiTheme="majorBidi" w:hAnsiTheme="majorBidi" w:cstheme="majorBidi"/>
        </w:rPr>
      </w:pPr>
      <w:r w:rsidRPr="00B31DBF">
        <w:rPr>
          <w:rFonts w:asciiTheme="majorBidi" w:hAnsiTheme="majorBidi" w:cstheme="majorBidi"/>
        </w:rPr>
        <w:t>The focus of this paper</w:t>
      </w:r>
      <w:r w:rsidR="00F4176F" w:rsidRPr="00B31DBF">
        <w:rPr>
          <w:rFonts w:asciiTheme="majorBidi" w:hAnsiTheme="majorBidi" w:cstheme="majorBidi"/>
        </w:rPr>
        <w:t xml:space="preserve"> is</w:t>
      </w:r>
      <w:r w:rsidRPr="00B31DBF">
        <w:rPr>
          <w:rFonts w:asciiTheme="majorBidi" w:hAnsiTheme="majorBidi" w:cstheme="majorBidi"/>
        </w:rPr>
        <w:t xml:space="preserve">, </w:t>
      </w:r>
      <w:r w:rsidR="00C95BD4" w:rsidRPr="00B31DBF">
        <w:rPr>
          <w:rFonts w:asciiTheme="majorBidi" w:hAnsiTheme="majorBidi" w:cstheme="majorBidi"/>
        </w:rPr>
        <w:t>therefore</w:t>
      </w:r>
      <w:r w:rsidRPr="00B31DBF">
        <w:rPr>
          <w:rFonts w:asciiTheme="majorBidi" w:hAnsiTheme="majorBidi" w:cstheme="majorBidi"/>
        </w:rPr>
        <w:t xml:space="preserve">, on google search terms to </w:t>
      </w:r>
      <w:r w:rsidR="00EE3F4D" w:rsidRPr="00B31DBF">
        <w:rPr>
          <w:rFonts w:asciiTheme="majorBidi" w:hAnsiTheme="majorBidi" w:cstheme="majorBidi"/>
        </w:rPr>
        <w:t xml:space="preserve">improve the </w:t>
      </w:r>
      <w:r w:rsidRPr="00B31DBF">
        <w:rPr>
          <w:rFonts w:asciiTheme="majorBidi" w:hAnsiTheme="majorBidi" w:cstheme="majorBidi"/>
        </w:rPr>
        <w:t>nowcast</w:t>
      </w:r>
      <w:r w:rsidR="00EE3F4D" w:rsidRPr="00B31DBF">
        <w:rPr>
          <w:rFonts w:asciiTheme="majorBidi" w:hAnsiTheme="majorBidi" w:cstheme="majorBidi"/>
        </w:rPr>
        <w:t>ing</w:t>
      </w:r>
      <w:r w:rsidRPr="00B31DBF">
        <w:rPr>
          <w:rFonts w:asciiTheme="majorBidi" w:hAnsiTheme="majorBidi" w:cstheme="majorBidi"/>
        </w:rPr>
        <w:t xml:space="preserve"> of </w:t>
      </w:r>
      <w:r w:rsidR="00EE3F4D" w:rsidRPr="00B31DBF">
        <w:rPr>
          <w:rFonts w:asciiTheme="majorBidi" w:hAnsiTheme="majorBidi" w:cstheme="majorBidi"/>
        </w:rPr>
        <w:t xml:space="preserve">economic </w:t>
      </w:r>
      <w:r w:rsidRPr="00B31DBF">
        <w:rPr>
          <w:rFonts w:asciiTheme="majorBidi" w:hAnsiTheme="majorBidi" w:cstheme="majorBidi"/>
        </w:rPr>
        <w:t xml:space="preserve">indices such as Consumer Price Index (CPI), </w:t>
      </w:r>
      <w:r w:rsidR="005A0ABE" w:rsidRPr="00B31DBF">
        <w:rPr>
          <w:rFonts w:asciiTheme="majorBidi" w:hAnsiTheme="majorBidi" w:cstheme="majorBidi"/>
        </w:rPr>
        <w:t xml:space="preserve">Real </w:t>
      </w:r>
      <w:r w:rsidRPr="00B31DBF">
        <w:rPr>
          <w:rFonts w:asciiTheme="majorBidi" w:hAnsiTheme="majorBidi" w:cstheme="majorBidi"/>
        </w:rPr>
        <w:t xml:space="preserve">Disposable </w:t>
      </w:r>
      <w:r w:rsidR="005A0ABE" w:rsidRPr="00B31DBF">
        <w:rPr>
          <w:rFonts w:asciiTheme="majorBidi" w:hAnsiTheme="majorBidi" w:cstheme="majorBidi"/>
        </w:rPr>
        <w:t xml:space="preserve">Personal </w:t>
      </w:r>
      <w:r w:rsidRPr="00B31DBF">
        <w:rPr>
          <w:rFonts w:asciiTheme="majorBidi" w:hAnsiTheme="majorBidi" w:cstheme="majorBidi"/>
        </w:rPr>
        <w:t>Income (</w:t>
      </w:r>
      <w:r w:rsidR="005A0ABE" w:rsidRPr="00B31DBF">
        <w:rPr>
          <w:rFonts w:asciiTheme="majorBidi" w:hAnsiTheme="majorBidi" w:cstheme="majorBidi"/>
        </w:rPr>
        <w:t>R</w:t>
      </w:r>
      <w:r w:rsidRPr="00B31DBF">
        <w:rPr>
          <w:rFonts w:asciiTheme="majorBidi" w:hAnsiTheme="majorBidi" w:cstheme="majorBidi"/>
        </w:rPr>
        <w:t>D</w:t>
      </w:r>
      <w:r w:rsidR="005A0ABE" w:rsidRPr="00B31DBF">
        <w:rPr>
          <w:rFonts w:asciiTheme="majorBidi" w:hAnsiTheme="majorBidi" w:cstheme="majorBidi"/>
        </w:rPr>
        <w:t>P</w:t>
      </w:r>
      <w:r w:rsidRPr="00B31DBF">
        <w:rPr>
          <w:rFonts w:asciiTheme="majorBidi" w:hAnsiTheme="majorBidi" w:cstheme="majorBidi"/>
        </w:rPr>
        <w:t>I)</w:t>
      </w:r>
      <w:r w:rsidR="002A5ECD" w:rsidRPr="00B31DBF">
        <w:rPr>
          <w:rFonts w:asciiTheme="majorBidi" w:hAnsiTheme="majorBidi" w:cstheme="majorBidi"/>
        </w:rPr>
        <w:t xml:space="preserve"> </w:t>
      </w:r>
      <w:r w:rsidR="00EE3F4D" w:rsidRPr="00B31DBF">
        <w:rPr>
          <w:rFonts w:asciiTheme="majorBidi" w:hAnsiTheme="majorBidi" w:cstheme="majorBidi"/>
        </w:rPr>
        <w:t xml:space="preserve">and to take a further step and </w:t>
      </w:r>
      <w:r w:rsidR="009A3379" w:rsidRPr="00B31DBF">
        <w:rPr>
          <w:rFonts w:asciiTheme="majorBidi" w:hAnsiTheme="majorBidi" w:cstheme="majorBidi"/>
        </w:rPr>
        <w:t>(in-sample</w:t>
      </w:r>
      <w:r w:rsidR="00C46300" w:rsidRPr="00B31DBF">
        <w:rPr>
          <w:rFonts w:asciiTheme="majorBidi" w:hAnsiTheme="majorBidi" w:cstheme="majorBidi"/>
        </w:rPr>
        <w:t xml:space="preserve"> rolling window</w:t>
      </w:r>
      <w:r w:rsidR="009A3379" w:rsidRPr="00B31DBF">
        <w:rPr>
          <w:rFonts w:asciiTheme="majorBidi" w:hAnsiTheme="majorBidi" w:cstheme="majorBidi"/>
        </w:rPr>
        <w:t xml:space="preserve">) </w:t>
      </w:r>
      <w:r w:rsidR="00EE3F4D" w:rsidRPr="00B31DBF">
        <w:rPr>
          <w:rFonts w:asciiTheme="majorBidi" w:hAnsiTheme="majorBidi" w:cstheme="majorBidi"/>
        </w:rPr>
        <w:t xml:space="preserve">forecast future trends and probabilities using a kinetic Monte Carlo simulation. </w:t>
      </w:r>
    </w:p>
    <w:p w14:paraId="7EBFB29D" w14:textId="0EC92485" w:rsidR="00E60CED" w:rsidRPr="00B31DBF" w:rsidRDefault="00814894" w:rsidP="00D1017D">
      <w:pPr>
        <w:jc w:val="both"/>
        <w:rPr>
          <w:rFonts w:asciiTheme="majorBidi" w:hAnsiTheme="majorBidi" w:cstheme="majorBidi"/>
        </w:rPr>
      </w:pPr>
      <w:r w:rsidRPr="00B31DBF">
        <w:rPr>
          <w:rFonts w:asciiTheme="majorBidi" w:hAnsiTheme="majorBidi" w:cstheme="majorBidi"/>
        </w:rPr>
        <w:t>It is hypothesised that search terms within Google search engine can be used to determine the effects of consumer behaviour on t</w:t>
      </w:r>
      <w:r w:rsidR="009840DA" w:rsidRPr="00B31DBF">
        <w:rPr>
          <w:rFonts w:asciiTheme="majorBidi" w:hAnsiTheme="majorBidi" w:cstheme="majorBidi"/>
        </w:rPr>
        <w:t xml:space="preserve">hese metrics </w:t>
      </w:r>
      <w:r w:rsidRPr="00B31DBF">
        <w:rPr>
          <w:rFonts w:asciiTheme="majorBidi" w:hAnsiTheme="majorBidi" w:cstheme="majorBidi"/>
        </w:rPr>
        <w:t xml:space="preserve">which </w:t>
      </w:r>
      <w:r w:rsidR="009840DA" w:rsidRPr="00B31DBF">
        <w:rPr>
          <w:rFonts w:asciiTheme="majorBidi" w:hAnsiTheme="majorBidi" w:cstheme="majorBidi"/>
        </w:rPr>
        <w:t xml:space="preserve">allow prediction of inflation </w:t>
      </w:r>
      <w:r w:rsidR="00E60CED" w:rsidRPr="00B31DBF">
        <w:rPr>
          <w:rFonts w:asciiTheme="majorBidi" w:hAnsiTheme="majorBidi" w:cstheme="majorBidi"/>
        </w:rPr>
        <w:t>rates</w:t>
      </w:r>
      <w:r w:rsidR="002A5ECD" w:rsidRPr="00B31DBF">
        <w:rPr>
          <w:rFonts w:asciiTheme="majorBidi" w:hAnsiTheme="majorBidi" w:cstheme="majorBidi"/>
        </w:rPr>
        <w:t>, market sentiment</w:t>
      </w:r>
      <w:r w:rsidR="00E60CED" w:rsidRPr="00B31DBF">
        <w:rPr>
          <w:rFonts w:asciiTheme="majorBidi" w:hAnsiTheme="majorBidi" w:cstheme="majorBidi"/>
        </w:rPr>
        <w:t xml:space="preserve"> </w:t>
      </w:r>
      <w:r w:rsidR="009840DA" w:rsidRPr="00B31DBF">
        <w:rPr>
          <w:rFonts w:asciiTheme="majorBidi" w:hAnsiTheme="majorBidi" w:cstheme="majorBidi"/>
        </w:rPr>
        <w:t xml:space="preserve">and allows decision making on </w:t>
      </w:r>
      <w:r w:rsidR="00E60CED" w:rsidRPr="00B31DBF">
        <w:rPr>
          <w:rFonts w:asciiTheme="majorBidi" w:hAnsiTheme="majorBidi" w:cstheme="majorBidi"/>
        </w:rPr>
        <w:t xml:space="preserve">fiscal and monetary </w:t>
      </w:r>
      <w:r w:rsidR="009840DA" w:rsidRPr="00B31DBF">
        <w:rPr>
          <w:rFonts w:asciiTheme="majorBidi" w:hAnsiTheme="majorBidi" w:cstheme="majorBidi"/>
        </w:rPr>
        <w:t>policies such as</w:t>
      </w:r>
      <w:r w:rsidR="00E60CED" w:rsidRPr="00B31DBF">
        <w:rPr>
          <w:rFonts w:asciiTheme="majorBidi" w:hAnsiTheme="majorBidi" w:cstheme="majorBidi"/>
        </w:rPr>
        <w:t xml:space="preserve"> taxation and aggregate </w:t>
      </w:r>
      <w:r w:rsidR="00E60CED" w:rsidRPr="00B31DBF">
        <w:rPr>
          <w:rFonts w:asciiTheme="majorBidi" w:hAnsiTheme="majorBidi" w:cstheme="majorBidi"/>
        </w:rPr>
        <w:lastRenderedPageBreak/>
        <w:t>demand (fiscal policies),</w:t>
      </w:r>
      <w:r w:rsidR="009840DA" w:rsidRPr="00B31DBF">
        <w:rPr>
          <w:rFonts w:asciiTheme="majorBidi" w:hAnsiTheme="majorBidi" w:cstheme="majorBidi"/>
        </w:rPr>
        <w:t xml:space="preserve"> interest rates</w:t>
      </w:r>
      <w:r w:rsidR="00E60CED" w:rsidRPr="00B31DBF">
        <w:rPr>
          <w:rFonts w:asciiTheme="majorBidi" w:hAnsiTheme="majorBidi" w:cstheme="majorBidi"/>
        </w:rPr>
        <w:t xml:space="preserve"> and money supply (monetary policies). </w:t>
      </w:r>
    </w:p>
    <w:p w14:paraId="47E561F7" w14:textId="2F95E649" w:rsidR="00EC285A" w:rsidRPr="00B31DBF" w:rsidRDefault="00EC285A" w:rsidP="00EC285A">
      <w:pPr>
        <w:jc w:val="both"/>
        <w:rPr>
          <w:rFonts w:asciiTheme="majorBidi" w:hAnsiTheme="majorBidi" w:cstheme="majorBidi"/>
        </w:rPr>
      </w:pPr>
      <w:r w:rsidRPr="00B31DBF">
        <w:rPr>
          <w:rFonts w:asciiTheme="majorBidi" w:hAnsiTheme="majorBidi" w:cstheme="majorBidi"/>
        </w:rPr>
        <w:t>A question can now be raised that what search terms can be used to predict such movements? Research carried out by Ainsworth et. al. (2000) estimated the value of internet transactions to be 9% of the GDP. This poses a great opportunity for the sector to have considerable effect on the economy and thus, act as an indicator of economy’s health. Market research carried out by eMarketer (emarketer.com), has found the top 10 e-commerce websites used in the USA with their respective monthly traffic and traffic share in (July) 2018 to be summarised as the following:</w:t>
      </w:r>
    </w:p>
    <w:p w14:paraId="45EC2835" w14:textId="77777777" w:rsidR="00EC285A" w:rsidRPr="00B31DBF" w:rsidRDefault="00EC285A" w:rsidP="00EC285A">
      <w:pPr>
        <w:rPr>
          <w:rFonts w:asciiTheme="majorBidi" w:hAnsiTheme="majorBidi" w:cstheme="majorBidi"/>
        </w:rPr>
      </w:pPr>
      <w:r w:rsidRPr="00B31DBF">
        <w:rPr>
          <w:rFonts w:asciiTheme="majorBidi" w:hAnsiTheme="majorBidi" w:cstheme="majorBidi"/>
          <w:noProof/>
        </w:rPr>
        <w:drawing>
          <wp:inline distT="0" distB="0" distL="0" distR="0" wp14:anchorId="365FDB0D" wp14:editId="16635725">
            <wp:extent cx="2640965" cy="2239010"/>
            <wp:effectExtent l="0" t="0" r="6985"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40965" cy="2239010"/>
                    </a:xfrm>
                    <a:prstGeom prst="rect">
                      <a:avLst/>
                    </a:prstGeom>
                    <a:noFill/>
                    <a:ln>
                      <a:noFill/>
                    </a:ln>
                  </pic:spPr>
                </pic:pic>
              </a:graphicData>
            </a:graphic>
          </wp:inline>
        </w:drawing>
      </w:r>
    </w:p>
    <w:p w14:paraId="0FCF4D2D" w14:textId="77777777" w:rsidR="00EC285A" w:rsidRPr="00B31DBF" w:rsidRDefault="00EC285A" w:rsidP="00EC285A">
      <w:pPr>
        <w:jc w:val="both"/>
        <w:rPr>
          <w:rFonts w:asciiTheme="majorBidi" w:hAnsiTheme="majorBidi" w:cstheme="majorBidi"/>
        </w:rPr>
      </w:pPr>
      <w:r w:rsidRPr="00B31DBF">
        <w:rPr>
          <w:rFonts w:asciiTheme="majorBidi" w:hAnsiTheme="majorBidi" w:cstheme="majorBidi"/>
        </w:rPr>
        <w:t>As seen in table XXX the top 5 visited websites carry 94.5% of the traffic related to e-commerce. On the other hand, the top grossing e-commerce websites (2</w:t>
      </w:r>
      <w:r w:rsidRPr="00B31DBF">
        <w:rPr>
          <w:rFonts w:asciiTheme="majorBidi" w:hAnsiTheme="majorBidi" w:cstheme="majorBidi"/>
          <w:vertAlign w:val="superscript"/>
        </w:rPr>
        <w:t>nd</w:t>
      </w:r>
      <w:r w:rsidRPr="00B31DBF">
        <w:rPr>
          <w:rFonts w:asciiTheme="majorBidi" w:hAnsiTheme="majorBidi" w:cstheme="majorBidi"/>
        </w:rPr>
        <w:t xml:space="preserve"> Quarter) in 2018 are as follows</w:t>
      </w:r>
      <w:r w:rsidRPr="00B31DBF">
        <w:rPr>
          <w:rStyle w:val="FootnoteReference"/>
          <w:rFonts w:asciiTheme="majorBidi" w:hAnsiTheme="majorBidi" w:cstheme="majorBidi"/>
        </w:rPr>
        <w:footnoteReference w:id="1"/>
      </w:r>
      <w:r w:rsidRPr="00B31DBF">
        <w:rPr>
          <w:rFonts w:asciiTheme="majorBidi" w:hAnsiTheme="majorBidi" w:cstheme="majorBidi"/>
        </w:rPr>
        <w:t>:</w:t>
      </w:r>
    </w:p>
    <w:p w14:paraId="1ED07B9C" w14:textId="77777777" w:rsidR="00EC285A" w:rsidRPr="00B31DBF" w:rsidRDefault="00EC285A" w:rsidP="00EC285A">
      <w:pPr>
        <w:jc w:val="both"/>
        <w:rPr>
          <w:rFonts w:asciiTheme="majorBidi" w:hAnsiTheme="majorBidi" w:cstheme="majorBidi"/>
        </w:rPr>
      </w:pPr>
      <w:r w:rsidRPr="00B31DBF">
        <w:rPr>
          <w:rFonts w:asciiTheme="majorBidi" w:hAnsiTheme="majorBidi" w:cstheme="majorBidi"/>
          <w:noProof/>
        </w:rPr>
        <w:drawing>
          <wp:inline distT="0" distB="0" distL="0" distR="0" wp14:anchorId="7C12DC9C" wp14:editId="7AA65962">
            <wp:extent cx="2820305" cy="209896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47806" cy="2119431"/>
                    </a:xfrm>
                    <a:prstGeom prst="rect">
                      <a:avLst/>
                    </a:prstGeom>
                    <a:noFill/>
                    <a:ln>
                      <a:noFill/>
                    </a:ln>
                  </pic:spPr>
                </pic:pic>
              </a:graphicData>
            </a:graphic>
          </wp:inline>
        </w:drawing>
      </w:r>
    </w:p>
    <w:p w14:paraId="558AC646" w14:textId="115EC1D2" w:rsidR="00EC285A" w:rsidRPr="00B31DBF" w:rsidRDefault="00EC285A" w:rsidP="00EC285A">
      <w:pPr>
        <w:jc w:val="both"/>
        <w:rPr>
          <w:rFonts w:asciiTheme="majorBidi" w:hAnsiTheme="majorBidi" w:cstheme="majorBidi"/>
        </w:rPr>
      </w:pPr>
      <w:r w:rsidRPr="00B31DBF">
        <w:rPr>
          <w:rFonts w:asciiTheme="majorBidi" w:hAnsiTheme="majorBidi" w:cstheme="majorBidi"/>
        </w:rPr>
        <w:t xml:space="preserve">Comparing the two tables (XXX and XXX), </w:t>
      </w:r>
      <w:proofErr w:type="gramStart"/>
      <w:r w:rsidRPr="00B31DBF">
        <w:rPr>
          <w:rFonts w:asciiTheme="majorBidi" w:hAnsiTheme="majorBidi" w:cstheme="majorBidi"/>
        </w:rPr>
        <w:t>it can be seen that four of the 10</w:t>
      </w:r>
      <w:proofErr w:type="gramEnd"/>
      <w:r w:rsidRPr="00B31DBF">
        <w:rPr>
          <w:rFonts w:asciiTheme="majorBidi" w:hAnsiTheme="majorBidi" w:cstheme="majorBidi"/>
        </w:rPr>
        <w:t xml:space="preserve"> top grossing retailers are also in the top ten mostly visited e-commerce </w:t>
      </w:r>
      <w:commentRangeStart w:id="0"/>
      <w:r w:rsidRPr="00B31DBF">
        <w:rPr>
          <w:rFonts w:asciiTheme="majorBidi" w:hAnsiTheme="majorBidi" w:cstheme="majorBidi"/>
        </w:rPr>
        <w:t>websites in the United States. In addition, the four companies include 88.81% of the overall online retailer searches</w:t>
      </w:r>
      <w:r w:rsidR="00F8689D">
        <w:rPr>
          <w:rFonts w:asciiTheme="majorBidi" w:hAnsiTheme="majorBidi" w:cstheme="majorBidi"/>
        </w:rPr>
        <w:t xml:space="preserve"> (Amazon, eBay, Walmart, Etsy)</w:t>
      </w:r>
      <w:r w:rsidRPr="00B31DBF">
        <w:rPr>
          <w:rFonts w:asciiTheme="majorBidi" w:hAnsiTheme="majorBidi" w:cstheme="majorBidi"/>
        </w:rPr>
        <w:t xml:space="preserve"> and 60.60% of the total internet sales that has taken place in the US over 2018. Therefore, aggregating the searches for: Amazon, </w:t>
      </w:r>
      <w:r w:rsidR="0028079D" w:rsidRPr="00B31DBF">
        <w:rPr>
          <w:rFonts w:asciiTheme="majorBidi" w:hAnsiTheme="majorBidi" w:cstheme="majorBidi"/>
        </w:rPr>
        <w:t>eBay</w:t>
      </w:r>
      <w:r w:rsidRPr="00B31DBF">
        <w:rPr>
          <w:rFonts w:asciiTheme="majorBidi" w:hAnsiTheme="majorBidi" w:cstheme="majorBidi"/>
        </w:rPr>
        <w:t>, Walmart and Costco will provide a sufficiently reliable picture of the online retail services which can then be utilised to predict the macro-economic indices</w:t>
      </w:r>
      <w:r w:rsidRPr="00B31DBF">
        <w:rPr>
          <w:rStyle w:val="FootnoteReference"/>
          <w:rFonts w:asciiTheme="majorBidi" w:hAnsiTheme="majorBidi" w:cstheme="majorBidi"/>
        </w:rPr>
        <w:footnoteReference w:id="2"/>
      </w:r>
      <w:r w:rsidRPr="00B31DBF">
        <w:rPr>
          <w:rFonts w:asciiTheme="majorBidi" w:hAnsiTheme="majorBidi" w:cstheme="majorBidi"/>
        </w:rPr>
        <w:t>.</w:t>
      </w:r>
      <w:commentRangeEnd w:id="0"/>
      <w:r w:rsidR="00F8689D">
        <w:rPr>
          <w:rStyle w:val="CommentReference"/>
        </w:rPr>
        <w:commentReference w:id="0"/>
      </w:r>
    </w:p>
    <w:p w14:paraId="1BF28048" w14:textId="16DD411A" w:rsidR="00814894" w:rsidRPr="00B31DBF" w:rsidRDefault="00BD26AF" w:rsidP="00BD26AF">
      <w:pPr>
        <w:pStyle w:val="Heading2"/>
        <w:numPr>
          <w:ilvl w:val="1"/>
          <w:numId w:val="2"/>
        </w:numPr>
        <w:rPr>
          <w:rFonts w:asciiTheme="majorBidi" w:hAnsiTheme="majorBidi"/>
          <w:color w:val="auto"/>
        </w:rPr>
      </w:pPr>
      <w:r w:rsidRPr="00B31DBF">
        <w:rPr>
          <w:rFonts w:asciiTheme="majorBidi" w:hAnsiTheme="majorBidi"/>
          <w:color w:val="auto"/>
        </w:rPr>
        <w:t>Background and Literature review</w:t>
      </w:r>
    </w:p>
    <w:p w14:paraId="37097F2B" w14:textId="657B6CD8" w:rsidR="00E45CC7" w:rsidRDefault="007F42AC" w:rsidP="009314D9">
      <w:pPr>
        <w:jc w:val="both"/>
        <w:rPr>
          <w:rFonts w:asciiTheme="majorBidi" w:hAnsiTheme="majorBidi" w:cstheme="majorBidi"/>
        </w:rPr>
      </w:pPr>
      <w:r w:rsidRPr="00B31DBF">
        <w:rPr>
          <w:rFonts w:asciiTheme="majorBidi" w:hAnsiTheme="majorBidi" w:cstheme="majorBidi"/>
        </w:rPr>
        <w:t xml:space="preserve">To date, numerous </w:t>
      </w:r>
      <w:r w:rsidR="002E070F" w:rsidRPr="00B31DBF">
        <w:rPr>
          <w:rFonts w:asciiTheme="majorBidi" w:hAnsiTheme="majorBidi" w:cstheme="majorBidi"/>
        </w:rPr>
        <w:t>researches</w:t>
      </w:r>
      <w:r w:rsidRPr="00B31DBF">
        <w:rPr>
          <w:rFonts w:asciiTheme="majorBidi" w:hAnsiTheme="majorBidi" w:cstheme="majorBidi"/>
        </w:rPr>
        <w:t xml:space="preserve"> has been carried out to evaluate the relevance of big data to economic context.</w:t>
      </w:r>
      <w:r w:rsidR="009314D9">
        <w:rPr>
          <w:rFonts w:asciiTheme="majorBidi" w:hAnsiTheme="majorBidi" w:cstheme="majorBidi"/>
        </w:rPr>
        <w:t xml:space="preserve"> </w:t>
      </w:r>
      <w:r w:rsidR="00CF7155" w:rsidRPr="00B31DBF">
        <w:rPr>
          <w:rFonts w:asciiTheme="majorBidi" w:hAnsiTheme="majorBidi" w:cstheme="majorBidi"/>
        </w:rPr>
        <w:t xml:space="preserve">Choi and Varian 2009 utilised Google Search Insights (GSI) data to predict metrics such as unemployment claims, automobile demand and vacation destinations. </w:t>
      </w:r>
      <w:proofErr w:type="gramStart"/>
      <w:r w:rsidR="00CF7155" w:rsidRPr="00B31DBF">
        <w:rPr>
          <w:rFonts w:asciiTheme="majorBidi" w:hAnsiTheme="majorBidi" w:cstheme="majorBidi"/>
        </w:rPr>
        <w:t>Similar to</w:t>
      </w:r>
      <w:proofErr w:type="gramEnd"/>
      <w:r w:rsidR="00CF7155" w:rsidRPr="00B31DBF">
        <w:rPr>
          <w:rFonts w:asciiTheme="majorBidi" w:hAnsiTheme="majorBidi" w:cstheme="majorBidi"/>
        </w:rPr>
        <w:t xml:space="preserve"> Real Disposable Personal Income, automobile demand can prove an economy’s growth through purchase of long-term asset</w:t>
      </w:r>
      <w:r w:rsidR="00E45CC7" w:rsidRPr="00B31DBF">
        <w:rPr>
          <w:rFonts w:asciiTheme="majorBidi" w:hAnsiTheme="majorBidi" w:cstheme="majorBidi"/>
        </w:rPr>
        <w:t>s</w:t>
      </w:r>
      <w:r w:rsidR="00CF7155" w:rsidRPr="00B31DBF">
        <w:rPr>
          <w:rFonts w:asciiTheme="majorBidi" w:hAnsiTheme="majorBidi" w:cstheme="majorBidi"/>
        </w:rPr>
        <w:t xml:space="preserve">. </w:t>
      </w:r>
      <w:r w:rsidR="00E45CC7" w:rsidRPr="00B31DBF">
        <w:rPr>
          <w:rFonts w:asciiTheme="majorBidi" w:hAnsiTheme="majorBidi" w:cstheme="majorBidi"/>
        </w:rPr>
        <w:t xml:space="preserve">However, this highly depends on the economic conditions such as interest rates which can cause tendency to invest, save or even make borrowing more difficult. In addition, car sales may not be a true reflection of growth in urban areas as more residents may choose public transport due to ease of transport rather than considering it a luxury. </w:t>
      </w:r>
      <w:r w:rsidR="00720F14">
        <w:rPr>
          <w:rFonts w:asciiTheme="majorBidi" w:hAnsiTheme="majorBidi" w:cstheme="majorBidi"/>
        </w:rPr>
        <w:t xml:space="preserve">All in all, the paper proved that </w:t>
      </w:r>
      <w:r w:rsidR="009340E0">
        <w:rPr>
          <w:rFonts w:asciiTheme="majorBidi" w:hAnsiTheme="majorBidi" w:cstheme="majorBidi"/>
        </w:rPr>
        <w:t xml:space="preserve">the in-sample season Auto-Regressive forecasts of the indices which included Google search data outperformed models that did not include the data by around 5 to 20%. </w:t>
      </w:r>
      <w:r w:rsidR="009314D9">
        <w:rPr>
          <w:rFonts w:asciiTheme="majorBidi" w:hAnsiTheme="majorBidi" w:cstheme="majorBidi"/>
        </w:rPr>
        <w:t>[]</w:t>
      </w:r>
    </w:p>
    <w:p w14:paraId="757F9352" w14:textId="11E9E755" w:rsidR="009340E0" w:rsidRPr="00B31DBF" w:rsidRDefault="009340E0" w:rsidP="00483F4F">
      <w:pPr>
        <w:jc w:val="both"/>
        <w:rPr>
          <w:rFonts w:asciiTheme="majorBidi" w:hAnsiTheme="majorBidi" w:cstheme="majorBidi"/>
        </w:rPr>
      </w:pPr>
      <w:r>
        <w:rPr>
          <w:rFonts w:asciiTheme="majorBidi" w:hAnsiTheme="majorBidi" w:cstheme="majorBidi"/>
        </w:rPr>
        <w:t>A paper published by the European Central Bank (</w:t>
      </w:r>
      <w:r w:rsidR="00873BF5">
        <w:rPr>
          <w:rFonts w:asciiTheme="majorBidi" w:hAnsiTheme="majorBidi" w:cstheme="majorBidi"/>
        </w:rPr>
        <w:t>Nymand-Andersen et. al. 2018</w:t>
      </w:r>
      <w:r>
        <w:rPr>
          <w:rFonts w:asciiTheme="majorBidi" w:hAnsiTheme="majorBidi" w:cstheme="majorBidi"/>
        </w:rPr>
        <w:t xml:space="preserve">), used an aggregate of car brands and dealerships to predict number of car sales in the euro area. Using a </w:t>
      </w:r>
      <w:r w:rsidR="009D14A2">
        <w:rPr>
          <w:rFonts w:asciiTheme="majorBidi" w:hAnsiTheme="majorBidi" w:cstheme="majorBidi"/>
        </w:rPr>
        <w:t>Vector autoregressive (</w:t>
      </w:r>
      <w:r>
        <w:rPr>
          <w:rFonts w:asciiTheme="majorBidi" w:hAnsiTheme="majorBidi" w:cstheme="majorBidi"/>
        </w:rPr>
        <w:t>VAR</w:t>
      </w:r>
      <w:r w:rsidR="009D14A2">
        <w:rPr>
          <w:rFonts w:asciiTheme="majorBidi" w:hAnsiTheme="majorBidi" w:cstheme="majorBidi"/>
        </w:rPr>
        <w:t>)</w:t>
      </w:r>
      <w:r>
        <w:rPr>
          <w:rFonts w:asciiTheme="majorBidi" w:hAnsiTheme="majorBidi" w:cstheme="majorBidi"/>
        </w:rPr>
        <w:t xml:space="preserve"> and </w:t>
      </w:r>
      <w:r w:rsidR="009D14A2">
        <w:rPr>
          <w:rFonts w:asciiTheme="majorBidi" w:hAnsiTheme="majorBidi" w:cstheme="majorBidi"/>
        </w:rPr>
        <w:t>Autoregressive Distributed Lag (</w:t>
      </w:r>
      <w:r>
        <w:rPr>
          <w:rFonts w:asciiTheme="majorBidi" w:hAnsiTheme="majorBidi" w:cstheme="majorBidi"/>
        </w:rPr>
        <w:t>ARDL</w:t>
      </w:r>
      <w:r w:rsidR="009D14A2">
        <w:rPr>
          <w:rFonts w:asciiTheme="majorBidi" w:hAnsiTheme="majorBidi" w:cstheme="majorBidi"/>
        </w:rPr>
        <w:t>)</w:t>
      </w:r>
      <w:r>
        <w:rPr>
          <w:rFonts w:asciiTheme="majorBidi" w:hAnsiTheme="majorBidi" w:cstheme="majorBidi"/>
        </w:rPr>
        <w:t xml:space="preserve"> models, the paper predicted the volume of car sales in both short and long term and proved a bi-directional relationship between the indicator and search volumes. The paper also proved that the Google Trends</w:t>
      </w:r>
      <w:r w:rsidR="009D14A2">
        <w:rPr>
          <w:rFonts w:asciiTheme="majorBidi" w:hAnsiTheme="majorBidi" w:cstheme="majorBidi"/>
        </w:rPr>
        <w:t xml:space="preserve"> data</w:t>
      </w:r>
      <w:r>
        <w:rPr>
          <w:rFonts w:asciiTheme="majorBidi" w:hAnsiTheme="majorBidi" w:cstheme="majorBidi"/>
        </w:rPr>
        <w:t xml:space="preserve">, concatenated with: euro area household disposable </w:t>
      </w:r>
      <w:r>
        <w:rPr>
          <w:rFonts w:asciiTheme="majorBidi" w:hAnsiTheme="majorBidi" w:cstheme="majorBidi"/>
        </w:rPr>
        <w:lastRenderedPageBreak/>
        <w:t xml:space="preserve">income, euro area industrial confidence indicator, </w:t>
      </w:r>
      <w:r w:rsidR="009D14A2">
        <w:rPr>
          <w:rFonts w:asciiTheme="majorBidi" w:hAnsiTheme="majorBidi" w:cstheme="majorBidi"/>
        </w:rPr>
        <w:t xml:space="preserve">euro area harmonised inflation rate for cars and euro area household savings reduces forecasting errors up 131% in comparison to a baseline model. </w:t>
      </w:r>
      <w:r w:rsidR="009314D9">
        <w:rPr>
          <w:rFonts w:asciiTheme="majorBidi" w:hAnsiTheme="majorBidi" w:cstheme="majorBidi"/>
        </w:rPr>
        <w:t>[]</w:t>
      </w:r>
      <w:r w:rsidR="009D14A2">
        <w:rPr>
          <w:rFonts w:asciiTheme="majorBidi" w:hAnsiTheme="majorBidi" w:cstheme="majorBidi"/>
        </w:rPr>
        <w:t xml:space="preserve"> </w:t>
      </w:r>
    </w:p>
    <w:p w14:paraId="18A5BDC1" w14:textId="7D971C72" w:rsidR="00CF7155" w:rsidRPr="00B31DBF" w:rsidRDefault="00483F4F" w:rsidP="007F42AC">
      <w:pPr>
        <w:jc w:val="both"/>
        <w:rPr>
          <w:rFonts w:asciiTheme="majorBidi" w:hAnsiTheme="majorBidi" w:cstheme="majorBidi"/>
        </w:rPr>
      </w:pPr>
      <w:r w:rsidRPr="00B31DBF">
        <w:rPr>
          <w:rFonts w:asciiTheme="majorBidi" w:hAnsiTheme="majorBidi" w:cstheme="majorBidi"/>
        </w:rPr>
        <w:t xml:space="preserve">Guzman (2011) used Google data as predictor of </w:t>
      </w:r>
      <w:commentRangeStart w:id="2"/>
      <w:r w:rsidRPr="00B31DBF">
        <w:rPr>
          <w:rFonts w:asciiTheme="majorBidi" w:hAnsiTheme="majorBidi" w:cstheme="majorBidi"/>
        </w:rPr>
        <w:t>inflation</w:t>
      </w:r>
      <w:commentRangeEnd w:id="2"/>
      <w:r w:rsidRPr="00B31DBF">
        <w:rPr>
          <w:rStyle w:val="CommentReference"/>
          <w:rFonts w:asciiTheme="majorBidi" w:hAnsiTheme="majorBidi" w:cstheme="majorBidi"/>
        </w:rPr>
        <w:commentReference w:id="2"/>
      </w:r>
      <w:r w:rsidRPr="00B31DBF">
        <w:rPr>
          <w:rFonts w:asciiTheme="majorBidi" w:hAnsiTheme="majorBidi" w:cstheme="majorBidi"/>
        </w:rPr>
        <w:t xml:space="preserve">. </w:t>
      </w:r>
      <w:r w:rsidR="006B31BE">
        <w:rPr>
          <w:rFonts w:asciiTheme="majorBidi" w:hAnsiTheme="majorBidi" w:cstheme="majorBidi"/>
        </w:rPr>
        <w:t xml:space="preserve">The paper was able to create an index based on Google search terms which predicted inflation up to 12 months. This was compared to survey based indicators which proved to be highly biased and costly and lagged in gathering of data. Therefore, the real time availability, cost and efficiency of the search term models proved to be a huge success in utilising big data in forecasting macro-economic indices. </w:t>
      </w:r>
    </w:p>
    <w:p w14:paraId="0804C9F3" w14:textId="1DE24373" w:rsidR="00483F4F" w:rsidRPr="00B31DBF" w:rsidRDefault="00483F4F" w:rsidP="007F42AC">
      <w:pPr>
        <w:jc w:val="both"/>
        <w:rPr>
          <w:rFonts w:asciiTheme="majorBidi" w:hAnsiTheme="majorBidi" w:cstheme="majorBidi"/>
        </w:rPr>
      </w:pPr>
      <w:proofErr w:type="spellStart"/>
      <w:r w:rsidRPr="00B31DBF">
        <w:rPr>
          <w:rFonts w:asciiTheme="majorBidi" w:hAnsiTheme="majorBidi" w:cstheme="majorBidi"/>
        </w:rPr>
        <w:t>Preis</w:t>
      </w:r>
      <w:proofErr w:type="spellEnd"/>
      <w:r w:rsidRPr="00B31DBF">
        <w:rPr>
          <w:rFonts w:asciiTheme="majorBidi" w:hAnsiTheme="majorBidi" w:cstheme="majorBidi"/>
        </w:rPr>
        <w:t xml:space="preserve"> et. al. (2010) examine the use of search data for measuring consumer </w:t>
      </w:r>
      <w:commentRangeStart w:id="3"/>
      <w:r w:rsidRPr="00B31DBF">
        <w:rPr>
          <w:rFonts w:asciiTheme="majorBidi" w:hAnsiTheme="majorBidi" w:cstheme="majorBidi"/>
        </w:rPr>
        <w:t>sentiment</w:t>
      </w:r>
      <w:commentRangeEnd w:id="3"/>
      <w:r w:rsidRPr="00B31DBF">
        <w:rPr>
          <w:rStyle w:val="CommentReference"/>
          <w:rFonts w:asciiTheme="majorBidi" w:hAnsiTheme="majorBidi" w:cstheme="majorBidi"/>
        </w:rPr>
        <w:commentReference w:id="3"/>
      </w:r>
      <w:r w:rsidRPr="00B31DBF">
        <w:rPr>
          <w:rFonts w:asciiTheme="majorBidi" w:hAnsiTheme="majorBidi" w:cstheme="majorBidi"/>
        </w:rPr>
        <w:t xml:space="preserve">. </w:t>
      </w:r>
    </w:p>
    <w:p w14:paraId="691FC5EA" w14:textId="5201710D" w:rsidR="003F1D25" w:rsidRPr="00B31DBF" w:rsidRDefault="00483F4F" w:rsidP="003F1D25">
      <w:pPr>
        <w:jc w:val="both"/>
        <w:rPr>
          <w:rFonts w:asciiTheme="majorBidi" w:hAnsiTheme="majorBidi" w:cstheme="majorBidi"/>
        </w:rPr>
      </w:pPr>
      <w:r w:rsidRPr="00B31DBF">
        <w:rPr>
          <w:rFonts w:asciiTheme="majorBidi" w:hAnsiTheme="majorBidi" w:cstheme="majorBidi"/>
        </w:rPr>
        <w:t xml:space="preserve">Schmidt and </w:t>
      </w:r>
      <w:proofErr w:type="spellStart"/>
      <w:r w:rsidRPr="00B31DBF">
        <w:rPr>
          <w:rFonts w:asciiTheme="majorBidi" w:hAnsiTheme="majorBidi" w:cstheme="majorBidi"/>
        </w:rPr>
        <w:t>Vosen</w:t>
      </w:r>
      <w:proofErr w:type="spellEnd"/>
      <w:r w:rsidRPr="00B31DBF">
        <w:rPr>
          <w:rFonts w:asciiTheme="majorBidi" w:hAnsiTheme="majorBidi" w:cstheme="majorBidi"/>
        </w:rPr>
        <w:t xml:space="preserve"> (2009) and Lindberg (2011) use retail sales and consumption metrics </w:t>
      </w:r>
      <w:proofErr w:type="gramStart"/>
      <w:r w:rsidRPr="00B31DBF">
        <w:rPr>
          <w:rFonts w:asciiTheme="majorBidi" w:hAnsiTheme="majorBidi" w:cstheme="majorBidi"/>
        </w:rPr>
        <w:t>through the use of</w:t>
      </w:r>
      <w:proofErr w:type="gramEnd"/>
      <w:r w:rsidRPr="00B31DBF">
        <w:rPr>
          <w:rFonts w:asciiTheme="majorBidi" w:hAnsiTheme="majorBidi" w:cstheme="majorBidi"/>
        </w:rPr>
        <w:t xml:space="preserve"> internet datasets.</w:t>
      </w:r>
      <w:r w:rsidR="003F1D25">
        <w:rPr>
          <w:rFonts w:asciiTheme="majorBidi" w:hAnsiTheme="majorBidi" w:cstheme="majorBidi"/>
        </w:rPr>
        <w:t xml:space="preserve"> The study by Schmidt and </w:t>
      </w:r>
      <w:proofErr w:type="spellStart"/>
      <w:r w:rsidR="003F1D25">
        <w:rPr>
          <w:rFonts w:asciiTheme="majorBidi" w:hAnsiTheme="majorBidi" w:cstheme="majorBidi"/>
        </w:rPr>
        <w:t>Vosen</w:t>
      </w:r>
      <w:proofErr w:type="spellEnd"/>
      <w:r w:rsidR="003F1D25">
        <w:rPr>
          <w:rFonts w:asciiTheme="majorBidi" w:hAnsiTheme="majorBidi" w:cstheme="majorBidi"/>
        </w:rPr>
        <w:t xml:space="preserve"> lacked category classifications and the search queries appear to have skewed the </w:t>
      </w:r>
      <w:proofErr w:type="gramStart"/>
      <w:r w:rsidR="003F1D25">
        <w:rPr>
          <w:rFonts w:asciiTheme="majorBidi" w:hAnsiTheme="majorBidi" w:cstheme="majorBidi"/>
        </w:rPr>
        <w:t>final results</w:t>
      </w:r>
      <w:proofErr w:type="gramEnd"/>
      <w:r w:rsidR="003F1D25">
        <w:rPr>
          <w:rFonts w:asciiTheme="majorBidi" w:hAnsiTheme="majorBidi" w:cstheme="majorBidi"/>
        </w:rPr>
        <w:t xml:space="preserve">. Despite this, the inclusion of search terms appeared to improve in-sample forecasting of the indices. Another limitation with this paper was the time series limitation as at the time, the data collected by Google, did not amass to a reliable statistical significance. The paper however, suggested that seasonal adjustment to the Google data would increase the accuracy of the year-on-year (YoY) growth perspectives. </w:t>
      </w:r>
      <w:r w:rsidR="009314D9">
        <w:rPr>
          <w:rFonts w:asciiTheme="majorBidi" w:hAnsiTheme="majorBidi" w:cstheme="majorBidi"/>
        </w:rPr>
        <w:t>[]</w:t>
      </w:r>
    </w:p>
    <w:p w14:paraId="2A24D398" w14:textId="1FA1D104" w:rsidR="002A5ECD" w:rsidRPr="00B31DBF" w:rsidRDefault="002A5ECD" w:rsidP="0033048B">
      <w:pPr>
        <w:pStyle w:val="Heading1"/>
        <w:numPr>
          <w:ilvl w:val="0"/>
          <w:numId w:val="2"/>
        </w:numPr>
        <w:rPr>
          <w:rFonts w:asciiTheme="majorBidi" w:hAnsiTheme="majorBidi"/>
          <w:color w:val="auto"/>
        </w:rPr>
      </w:pPr>
      <w:r w:rsidRPr="00B31DBF">
        <w:rPr>
          <w:rFonts w:asciiTheme="majorBidi" w:hAnsiTheme="majorBidi"/>
          <w:color w:val="auto"/>
        </w:rPr>
        <w:t>Data</w:t>
      </w:r>
      <w:r w:rsidR="007B0E42" w:rsidRPr="00B31DBF">
        <w:rPr>
          <w:rFonts w:asciiTheme="majorBidi" w:hAnsiTheme="majorBidi"/>
          <w:color w:val="auto"/>
        </w:rPr>
        <w:t xml:space="preserve"> reliability and assumptions</w:t>
      </w:r>
    </w:p>
    <w:p w14:paraId="0F259FB0" w14:textId="61A3E740" w:rsidR="002A5ECD" w:rsidRPr="00B31DBF" w:rsidRDefault="002A5ECD" w:rsidP="002A5ECD">
      <w:pPr>
        <w:jc w:val="both"/>
        <w:rPr>
          <w:rFonts w:asciiTheme="majorBidi" w:hAnsiTheme="majorBidi" w:cstheme="majorBidi"/>
        </w:rPr>
      </w:pPr>
      <w:r w:rsidRPr="00B31DBF">
        <w:rPr>
          <w:rFonts w:asciiTheme="majorBidi" w:hAnsiTheme="majorBidi" w:cstheme="majorBidi"/>
        </w:rPr>
        <w:t xml:space="preserve">The market under investigation was chosen as the US </w:t>
      </w:r>
      <w:r w:rsidR="00E04AB5" w:rsidRPr="00B31DBF">
        <w:rPr>
          <w:rFonts w:asciiTheme="majorBidi" w:hAnsiTheme="majorBidi" w:cstheme="majorBidi"/>
        </w:rPr>
        <w:t xml:space="preserve">mainly </w:t>
      </w:r>
      <w:r w:rsidRPr="00B31DBF">
        <w:rPr>
          <w:rFonts w:asciiTheme="majorBidi" w:hAnsiTheme="majorBidi" w:cstheme="majorBidi"/>
        </w:rPr>
        <w:t>due to the availability</w:t>
      </w:r>
      <w:r w:rsidR="00E04AB5" w:rsidRPr="00B31DBF">
        <w:rPr>
          <w:rFonts w:asciiTheme="majorBidi" w:hAnsiTheme="majorBidi" w:cstheme="majorBidi"/>
        </w:rPr>
        <w:t xml:space="preserve"> and accessibility</w:t>
      </w:r>
      <w:r w:rsidRPr="00B31DBF">
        <w:rPr>
          <w:rFonts w:asciiTheme="majorBidi" w:hAnsiTheme="majorBidi" w:cstheme="majorBidi"/>
        </w:rPr>
        <w:t xml:space="preserve"> of data. In addition</w:t>
      </w:r>
      <w:r w:rsidR="005A067A" w:rsidRPr="00B31DBF">
        <w:rPr>
          <w:rFonts w:asciiTheme="majorBidi" w:hAnsiTheme="majorBidi" w:cstheme="majorBidi"/>
        </w:rPr>
        <w:t>, the US is deemed to be one of the largest markets with implications on almost all globalised economies which signifies its importance. On the other hand,</w:t>
      </w:r>
      <w:r w:rsidRPr="00B31DBF">
        <w:rPr>
          <w:rFonts w:asciiTheme="majorBidi" w:hAnsiTheme="majorBidi" w:cstheme="majorBidi"/>
        </w:rPr>
        <w:t xml:space="preserve"> to this, the sources which provide the data such as Federal Reserve Economics Data (FRED), has stringent rule book (System of National Accounts, SNA) on the collection and processing of the data which maintains the consistency of data collection and processing. Under the SNA, the major restrictions within the data collection were listed as</w:t>
      </w:r>
      <w:r w:rsidR="004731CA" w:rsidRPr="00B31DBF">
        <w:rPr>
          <w:rFonts w:asciiTheme="majorBidi" w:hAnsiTheme="majorBidi" w:cstheme="majorBidi"/>
        </w:rPr>
        <w:t xml:space="preserve"> []</w:t>
      </w:r>
      <w:r w:rsidRPr="00B31DBF">
        <w:rPr>
          <w:rFonts w:asciiTheme="majorBidi" w:hAnsiTheme="majorBidi" w:cstheme="majorBidi"/>
        </w:rPr>
        <w:t xml:space="preserve">: </w:t>
      </w:r>
    </w:p>
    <w:p w14:paraId="7456BC0E" w14:textId="77777777" w:rsidR="002A5ECD" w:rsidRPr="00B31DBF" w:rsidRDefault="002A5ECD" w:rsidP="002A5ECD">
      <w:pPr>
        <w:pStyle w:val="ListParagraph"/>
        <w:numPr>
          <w:ilvl w:val="0"/>
          <w:numId w:val="1"/>
        </w:numPr>
        <w:jc w:val="both"/>
        <w:rPr>
          <w:rFonts w:asciiTheme="majorBidi" w:hAnsiTheme="majorBidi" w:cstheme="majorBidi"/>
        </w:rPr>
      </w:pPr>
      <w:r w:rsidRPr="00B31DBF">
        <w:rPr>
          <w:rFonts w:asciiTheme="majorBidi" w:hAnsiTheme="majorBidi" w:cstheme="majorBidi"/>
        </w:rPr>
        <w:t>Illegal activities: These cash flows will affect the subject under study; however, the data will not be available since they are conducted out of public sight.</w:t>
      </w:r>
    </w:p>
    <w:p w14:paraId="04F17F50" w14:textId="0D6CD2ED" w:rsidR="0033048B" w:rsidRPr="00B31DBF" w:rsidRDefault="002A5ECD" w:rsidP="00437CEA">
      <w:pPr>
        <w:pStyle w:val="ListParagraph"/>
        <w:numPr>
          <w:ilvl w:val="0"/>
          <w:numId w:val="1"/>
        </w:numPr>
        <w:jc w:val="both"/>
        <w:rPr>
          <w:rFonts w:asciiTheme="majorBidi" w:hAnsiTheme="majorBidi" w:cstheme="majorBidi"/>
        </w:rPr>
      </w:pPr>
      <w:r w:rsidRPr="00B31DBF">
        <w:rPr>
          <w:rFonts w:asciiTheme="majorBidi" w:hAnsiTheme="majorBidi" w:cstheme="majorBidi"/>
        </w:rPr>
        <w:t>Family member care and loans, do-it-yourself projects and housework cash flows. By nature, these activities are self-contained and if included would undermine the long standing analytical purposes of economic data.</w:t>
      </w:r>
    </w:p>
    <w:p w14:paraId="22E473B7" w14:textId="32C70CFC" w:rsidR="00437CEA" w:rsidRPr="00B31DBF" w:rsidRDefault="00F0489E" w:rsidP="00042E6E">
      <w:pPr>
        <w:jc w:val="both"/>
        <w:rPr>
          <w:rFonts w:asciiTheme="majorBidi" w:hAnsiTheme="majorBidi" w:cstheme="majorBidi"/>
        </w:rPr>
      </w:pPr>
      <w:r w:rsidRPr="00B31DBF">
        <w:rPr>
          <w:rFonts w:asciiTheme="majorBidi" w:hAnsiTheme="majorBidi" w:cstheme="majorBidi"/>
        </w:rPr>
        <w:t xml:space="preserve">In addition, since the Google Trends data is not adjusted (YoY/seasonally/monthly), the macro-economic indicators have also been selected without any adjustments to remove bias and errors. </w:t>
      </w:r>
    </w:p>
    <w:p w14:paraId="16D8778F" w14:textId="58C6B1D6" w:rsidR="002A5ECD" w:rsidRPr="00B31DBF" w:rsidRDefault="005A0ABE" w:rsidP="00853A7E">
      <w:pPr>
        <w:pStyle w:val="Heading2"/>
        <w:numPr>
          <w:ilvl w:val="1"/>
          <w:numId w:val="2"/>
        </w:numPr>
        <w:jc w:val="both"/>
        <w:rPr>
          <w:rFonts w:asciiTheme="majorBidi" w:hAnsiTheme="majorBidi"/>
          <w:color w:val="auto"/>
        </w:rPr>
      </w:pPr>
      <w:r w:rsidRPr="00B31DBF">
        <w:rPr>
          <w:rFonts w:asciiTheme="majorBidi" w:hAnsiTheme="majorBidi"/>
          <w:color w:val="auto"/>
        </w:rPr>
        <w:t>Real Disposable Personal Income</w:t>
      </w:r>
      <w:r w:rsidR="00803102" w:rsidRPr="00B31DBF">
        <w:rPr>
          <w:rFonts w:asciiTheme="majorBidi" w:hAnsiTheme="majorBidi"/>
          <w:color w:val="auto"/>
        </w:rPr>
        <w:t xml:space="preserve"> (RDPI)</w:t>
      </w:r>
    </w:p>
    <w:p w14:paraId="7389806D" w14:textId="6D291E09" w:rsidR="004731CA" w:rsidRPr="00B31DBF" w:rsidRDefault="00803102" w:rsidP="00803102">
      <w:pPr>
        <w:jc w:val="both"/>
        <w:rPr>
          <w:rFonts w:asciiTheme="majorBidi" w:hAnsiTheme="majorBidi" w:cstheme="majorBidi"/>
        </w:rPr>
      </w:pPr>
      <w:r w:rsidRPr="00B31DBF">
        <w:rPr>
          <w:rFonts w:asciiTheme="majorBidi" w:hAnsiTheme="majorBidi" w:cstheme="majorBidi"/>
        </w:rPr>
        <w:t xml:space="preserve">Personal income is defined as the income that persons receive in return for their provision of labour, land and capital plus transfer receipts, less contributions for government social insurance. Upon this definition, real disposable income would be the personal income plus benefits income, less direct taxes and government charges when inflation adjusted. </w:t>
      </w:r>
    </w:p>
    <w:p w14:paraId="5D722E3D" w14:textId="1381F88E" w:rsidR="00E456EC" w:rsidRPr="00B31DBF" w:rsidRDefault="00E456EC" w:rsidP="00E456EC">
      <w:pPr>
        <w:jc w:val="center"/>
        <w:rPr>
          <w:rFonts w:asciiTheme="majorBidi" w:hAnsiTheme="majorBidi" w:cstheme="majorBidi"/>
        </w:rPr>
      </w:pPr>
      <w:r w:rsidRPr="00B31DBF">
        <w:rPr>
          <w:rFonts w:asciiTheme="majorBidi" w:hAnsiTheme="majorBidi" w:cstheme="majorBidi"/>
          <w:noProof/>
        </w:rPr>
        <w:drawing>
          <wp:inline distT="0" distB="0" distL="0" distR="0" wp14:anchorId="7C292903" wp14:editId="69D87B80">
            <wp:extent cx="2810933" cy="2057400"/>
            <wp:effectExtent l="0" t="0" r="8890" b="0"/>
            <wp:docPr id="5" name="Chart 5">
              <a:extLst xmlns:a="http://schemas.openxmlformats.org/drawingml/2006/main">
                <a:ext uri="{FF2B5EF4-FFF2-40B4-BE49-F238E27FC236}">
                  <a16:creationId xmlns:a16="http://schemas.microsoft.com/office/drawing/2014/main" id="{7F8AA590-7117-4BAD-9D47-A26D39BABF4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415F54B5" w14:textId="1DDC3F7A" w:rsidR="001A7615" w:rsidRPr="00B31DBF" w:rsidRDefault="001A7615" w:rsidP="00803102">
      <w:pPr>
        <w:jc w:val="both"/>
        <w:rPr>
          <w:rFonts w:asciiTheme="majorBidi" w:hAnsiTheme="majorBidi" w:cstheme="majorBidi"/>
        </w:rPr>
      </w:pPr>
      <w:r w:rsidRPr="00B31DBF">
        <w:rPr>
          <w:rFonts w:asciiTheme="majorBidi" w:hAnsiTheme="majorBidi" w:cstheme="majorBidi"/>
        </w:rPr>
        <w:t xml:space="preserve">This metric helps </w:t>
      </w:r>
      <w:r w:rsidR="00E04AB5" w:rsidRPr="00B31DBF">
        <w:rPr>
          <w:rFonts w:asciiTheme="majorBidi" w:hAnsiTheme="majorBidi" w:cstheme="majorBidi"/>
        </w:rPr>
        <w:t xml:space="preserve">in predicting the consumption trends since with an increase in disposable income, household </w:t>
      </w:r>
      <w:r w:rsidR="00260152" w:rsidRPr="00B31DBF">
        <w:rPr>
          <w:rFonts w:asciiTheme="majorBidi" w:hAnsiTheme="majorBidi" w:cstheme="majorBidi"/>
        </w:rPr>
        <w:t xml:space="preserve">which allows for monetary policy planning and interest rate changes to control inflation </w:t>
      </w:r>
      <w:proofErr w:type="gramStart"/>
      <w:r w:rsidR="00260152" w:rsidRPr="00B31DBF">
        <w:rPr>
          <w:rFonts w:asciiTheme="majorBidi" w:hAnsiTheme="majorBidi" w:cstheme="majorBidi"/>
        </w:rPr>
        <w:t>in the near future</w:t>
      </w:r>
      <w:proofErr w:type="gramEnd"/>
      <w:r w:rsidR="00260152" w:rsidRPr="00B31DBF">
        <w:rPr>
          <w:rFonts w:asciiTheme="majorBidi" w:hAnsiTheme="majorBidi" w:cstheme="majorBidi"/>
        </w:rPr>
        <w:t xml:space="preserve">. </w:t>
      </w:r>
    </w:p>
    <w:p w14:paraId="1C6E3739" w14:textId="77777777" w:rsidR="00AA19AA" w:rsidRPr="00B31DBF" w:rsidRDefault="00AA19AA" w:rsidP="00AA19AA">
      <w:pPr>
        <w:pStyle w:val="Heading2"/>
        <w:numPr>
          <w:ilvl w:val="1"/>
          <w:numId w:val="2"/>
        </w:numPr>
        <w:rPr>
          <w:rFonts w:asciiTheme="majorBidi" w:hAnsiTheme="majorBidi"/>
          <w:color w:val="auto"/>
        </w:rPr>
      </w:pPr>
      <w:r w:rsidRPr="00B31DBF">
        <w:rPr>
          <w:rFonts w:asciiTheme="majorBidi" w:hAnsiTheme="majorBidi"/>
          <w:color w:val="auto"/>
        </w:rPr>
        <w:t>Consumer Price Index (CPI)</w:t>
      </w:r>
    </w:p>
    <w:p w14:paraId="27CD420C" w14:textId="2444990A" w:rsidR="00853A7E" w:rsidRPr="00B31DBF" w:rsidRDefault="00AA19AA" w:rsidP="00853A7E">
      <w:pPr>
        <w:jc w:val="both"/>
        <w:rPr>
          <w:rFonts w:asciiTheme="majorBidi" w:hAnsiTheme="majorBidi" w:cstheme="majorBidi"/>
        </w:rPr>
      </w:pPr>
      <w:r w:rsidRPr="00B31DBF">
        <w:rPr>
          <w:rFonts w:asciiTheme="majorBidi" w:hAnsiTheme="majorBidi" w:cstheme="majorBidi"/>
        </w:rPr>
        <w:t>Consumer Price Index is the calculated change in price of a pre-determined basket of goods.</w:t>
      </w:r>
      <w:r w:rsidR="00853A7E" w:rsidRPr="00B31DBF">
        <w:rPr>
          <w:rFonts w:asciiTheme="majorBidi" w:hAnsiTheme="majorBidi" w:cstheme="majorBidi"/>
        </w:rPr>
        <w:t xml:space="preserve"> The basket of goods comprises of hundreds of household essentials such as eggs, bread milk, etc, chosen and updated each year by the central bank. </w:t>
      </w:r>
      <w:r w:rsidR="00853A7E" w:rsidRPr="00B31DBF">
        <w:rPr>
          <w:rFonts w:asciiTheme="majorBidi" w:hAnsiTheme="majorBidi" w:cstheme="majorBidi"/>
        </w:rPr>
        <w:lastRenderedPageBreak/>
        <w:t xml:space="preserve">The change in price of the basket of goods is an indication of inflation. The aim of most governments with steady growth of the economy in mind is to maintain the level of inflation around 2% []. The metric also allows for the government to decide on legislature such as minimum wages and savings rate to ensure the economy is growing </w:t>
      </w:r>
      <w:proofErr w:type="gramStart"/>
      <w:r w:rsidR="00853A7E" w:rsidRPr="00B31DBF">
        <w:rPr>
          <w:rFonts w:asciiTheme="majorBidi" w:hAnsiTheme="majorBidi" w:cstheme="majorBidi"/>
        </w:rPr>
        <w:t>as a whole which</w:t>
      </w:r>
      <w:proofErr w:type="gramEnd"/>
      <w:r w:rsidR="00853A7E" w:rsidRPr="00B31DBF">
        <w:rPr>
          <w:rFonts w:asciiTheme="majorBidi" w:hAnsiTheme="majorBidi" w:cstheme="majorBidi"/>
        </w:rPr>
        <w:t xml:space="preserve"> makes CPI one of the most important indices. </w:t>
      </w:r>
    </w:p>
    <w:p w14:paraId="76AFDE82" w14:textId="403EEC14" w:rsidR="00E13E31" w:rsidRPr="00B31DBF" w:rsidRDefault="00E13E31" w:rsidP="00E13E31">
      <w:pPr>
        <w:jc w:val="both"/>
        <w:rPr>
          <w:rFonts w:asciiTheme="majorBidi" w:hAnsiTheme="majorBidi" w:cstheme="majorBidi"/>
        </w:rPr>
      </w:pPr>
      <w:r w:rsidRPr="00B31DBF">
        <w:rPr>
          <w:rFonts w:asciiTheme="majorBidi" w:hAnsiTheme="majorBidi" w:cstheme="majorBidi"/>
        </w:rPr>
        <w:t xml:space="preserve">Figure XXX shows the CPI </w:t>
      </w:r>
      <m:oMath>
        <m:r>
          <w:rPr>
            <w:rFonts w:ascii="Cambria Math" w:hAnsi="Cambria Math" w:cstheme="majorBidi"/>
          </w:rPr>
          <m:t>1982-1984=100</m:t>
        </m:r>
      </m:oMath>
      <w:r w:rsidRPr="00B31DBF">
        <w:rPr>
          <w:rFonts w:asciiTheme="majorBidi" w:eastAsiaTheme="minorEastAsia" w:hAnsiTheme="majorBidi" w:cstheme="majorBidi"/>
        </w:rPr>
        <w:t>, meaning that the CPI in 1982 was at 100 and any gains after that is represented in percentages. For example, CPI in January 2004 is 185</w:t>
      </w:r>
      <w:r w:rsidR="000E52F5" w:rsidRPr="00B31DBF">
        <w:rPr>
          <w:rFonts w:asciiTheme="majorBidi" w:eastAsiaTheme="minorEastAsia" w:hAnsiTheme="majorBidi" w:cstheme="majorBidi"/>
        </w:rPr>
        <w:t>.</w:t>
      </w:r>
      <w:r w:rsidRPr="00B31DBF">
        <w:rPr>
          <w:rFonts w:asciiTheme="majorBidi" w:eastAsiaTheme="minorEastAsia" w:hAnsiTheme="majorBidi" w:cstheme="majorBidi"/>
        </w:rPr>
        <w:t>2</w:t>
      </w:r>
      <w:r w:rsidR="000E52F5" w:rsidRPr="00B31DBF">
        <w:rPr>
          <w:rFonts w:asciiTheme="majorBidi" w:eastAsiaTheme="minorEastAsia" w:hAnsiTheme="majorBidi" w:cstheme="majorBidi"/>
        </w:rPr>
        <w:t>%</w:t>
      </w:r>
      <w:r w:rsidRPr="00B31DBF">
        <w:rPr>
          <w:rFonts w:asciiTheme="majorBidi" w:eastAsiaTheme="minorEastAsia" w:hAnsiTheme="majorBidi" w:cstheme="majorBidi"/>
        </w:rPr>
        <w:t xml:space="preserve"> meaning there was </w:t>
      </w:r>
      <w:r w:rsidR="00712E58" w:rsidRPr="00B31DBF">
        <w:rPr>
          <w:rFonts w:asciiTheme="majorBidi" w:eastAsiaTheme="minorEastAsia" w:hAnsiTheme="majorBidi" w:cstheme="majorBidi"/>
        </w:rPr>
        <w:t>an</w:t>
      </w:r>
      <w:r w:rsidRPr="00B31DBF">
        <w:rPr>
          <w:rFonts w:asciiTheme="majorBidi" w:eastAsiaTheme="minorEastAsia" w:hAnsiTheme="majorBidi" w:cstheme="majorBidi"/>
        </w:rPr>
        <w:t xml:space="preserve"> 85.2% increase in the price of the basket of goods since 1982. </w:t>
      </w:r>
    </w:p>
    <w:p w14:paraId="2E888ED2" w14:textId="3A8212C8" w:rsidR="002E070F" w:rsidRPr="00B31DBF" w:rsidRDefault="000E52F5" w:rsidP="00853A7E">
      <w:pPr>
        <w:jc w:val="both"/>
        <w:rPr>
          <w:rFonts w:asciiTheme="majorBidi" w:hAnsiTheme="majorBidi" w:cstheme="majorBidi"/>
        </w:rPr>
      </w:pPr>
      <w:r w:rsidRPr="00B31DBF">
        <w:rPr>
          <w:rFonts w:asciiTheme="majorBidi" w:hAnsiTheme="majorBidi" w:cstheme="majorBidi"/>
          <w:noProof/>
        </w:rPr>
        <w:drawing>
          <wp:inline distT="0" distB="0" distL="0" distR="0" wp14:anchorId="2B1755D4" wp14:editId="540C32A4">
            <wp:extent cx="2835275" cy="1701165"/>
            <wp:effectExtent l="0" t="0" r="3175" b="13335"/>
            <wp:docPr id="9" name="Chart 9">
              <a:extLst xmlns:a="http://schemas.openxmlformats.org/drawingml/2006/main">
                <a:ext uri="{FF2B5EF4-FFF2-40B4-BE49-F238E27FC236}">
                  <a16:creationId xmlns:a16="http://schemas.microsoft.com/office/drawing/2014/main" id="{DD1E1508-FA26-47E8-A11F-CBED6D3870B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56C5078F" w14:textId="27375F68" w:rsidR="00B24E1C" w:rsidRPr="00B31DBF" w:rsidRDefault="00B24E1C" w:rsidP="00B24E1C">
      <w:pPr>
        <w:jc w:val="both"/>
        <w:rPr>
          <w:rFonts w:asciiTheme="majorBidi" w:hAnsiTheme="majorBidi" w:cstheme="majorBidi"/>
        </w:rPr>
      </w:pPr>
      <w:r w:rsidRPr="00B31DBF">
        <w:rPr>
          <w:rFonts w:asciiTheme="majorBidi" w:hAnsiTheme="majorBidi" w:cstheme="majorBidi"/>
        </w:rPr>
        <w:t xml:space="preserve">The discrepancies in the basket of goods can be neglected since the variation would be reflected in all economic calculations. This is because CPI is used as a parameter for inflation rate which is reflected in the systematic risk of the market. Therefore, whilst calculating the Weighted Average Cost of Capital (WACC) in any financial and micro-economic context, the effects will be reflected and normalised. </w:t>
      </w:r>
    </w:p>
    <w:p w14:paraId="535895DF" w14:textId="0B0FC12F" w:rsidR="001237FB" w:rsidRPr="00B31DBF" w:rsidRDefault="003E248F" w:rsidP="001237FB">
      <w:pPr>
        <w:pStyle w:val="Heading2"/>
        <w:numPr>
          <w:ilvl w:val="1"/>
          <w:numId w:val="2"/>
        </w:numPr>
        <w:rPr>
          <w:rFonts w:asciiTheme="majorBidi" w:hAnsiTheme="majorBidi"/>
          <w:color w:val="auto"/>
        </w:rPr>
      </w:pPr>
      <w:r w:rsidRPr="00B31DBF">
        <w:rPr>
          <w:rFonts w:asciiTheme="majorBidi" w:hAnsiTheme="majorBidi"/>
          <w:color w:val="auto"/>
        </w:rPr>
        <w:t>Google Trends</w:t>
      </w:r>
    </w:p>
    <w:p w14:paraId="1AD2AE70" w14:textId="50F5A342" w:rsidR="00EA0B9B" w:rsidRPr="00B31DBF" w:rsidRDefault="00951571" w:rsidP="00310F6D">
      <w:pPr>
        <w:jc w:val="both"/>
        <w:rPr>
          <w:rFonts w:asciiTheme="majorBidi" w:hAnsiTheme="majorBidi" w:cstheme="majorBidi"/>
        </w:rPr>
      </w:pPr>
      <w:r w:rsidRPr="00B31DBF">
        <w:rPr>
          <w:rFonts w:asciiTheme="majorBidi" w:hAnsiTheme="majorBidi" w:cstheme="majorBidi"/>
        </w:rPr>
        <w:t>Google trends gathers data on any searched term on the Google search engine and provides granulated information categorised by region, time, category and data type</w:t>
      </w:r>
      <w:r w:rsidR="006D30C0" w:rsidRPr="00B31DBF">
        <w:rPr>
          <w:rFonts w:asciiTheme="majorBidi" w:hAnsiTheme="majorBidi" w:cstheme="majorBidi"/>
        </w:rPr>
        <w:t xml:space="preserve"> (such as YouTube videos, images, news search and Google shopping)</w:t>
      </w:r>
      <w:r w:rsidRPr="00B31DBF">
        <w:rPr>
          <w:rFonts w:asciiTheme="majorBidi" w:hAnsiTheme="majorBidi" w:cstheme="majorBidi"/>
        </w:rPr>
        <w:t>.</w:t>
      </w:r>
      <w:r w:rsidR="0042200C" w:rsidRPr="00B31DBF">
        <w:rPr>
          <w:rFonts w:asciiTheme="majorBidi" w:hAnsiTheme="majorBidi" w:cstheme="majorBidi"/>
        </w:rPr>
        <w:t xml:space="preserve"> There</w:t>
      </w:r>
      <w:r w:rsidR="00F0489E" w:rsidRPr="00B31DBF">
        <w:rPr>
          <w:rFonts w:asciiTheme="majorBidi" w:hAnsiTheme="majorBidi" w:cstheme="majorBidi"/>
        </w:rPr>
        <w:t xml:space="preserve"> are</w:t>
      </w:r>
      <w:r w:rsidR="0042200C" w:rsidRPr="00B31DBF">
        <w:rPr>
          <w:rFonts w:asciiTheme="majorBidi" w:hAnsiTheme="majorBidi" w:cstheme="majorBidi"/>
        </w:rPr>
        <w:t xml:space="preserve"> </w:t>
      </w:r>
      <w:r w:rsidR="00D90441" w:rsidRPr="00B31DBF">
        <w:rPr>
          <w:rFonts w:asciiTheme="majorBidi" w:hAnsiTheme="majorBidi" w:cstheme="majorBidi"/>
        </w:rPr>
        <w:t>30 categories on the top-level</w:t>
      </w:r>
      <w:r w:rsidR="006D30C0" w:rsidRPr="00B31DBF">
        <w:rPr>
          <w:rFonts w:asciiTheme="majorBidi" w:hAnsiTheme="majorBidi" w:cstheme="majorBidi"/>
        </w:rPr>
        <w:t xml:space="preserve"> </w:t>
      </w:r>
      <w:r w:rsidR="00310F6D" w:rsidRPr="00B31DBF">
        <w:rPr>
          <w:rFonts w:asciiTheme="majorBidi" w:hAnsiTheme="majorBidi" w:cstheme="majorBidi"/>
        </w:rPr>
        <w:t>and</w:t>
      </w:r>
      <w:r w:rsidR="00D90441" w:rsidRPr="00B31DBF">
        <w:rPr>
          <w:rFonts w:asciiTheme="majorBidi" w:hAnsiTheme="majorBidi" w:cstheme="majorBidi"/>
        </w:rPr>
        <w:t xml:space="preserve"> 250</w:t>
      </w:r>
      <w:r w:rsidR="00310F6D" w:rsidRPr="00B31DBF">
        <w:rPr>
          <w:rFonts w:asciiTheme="majorBidi" w:hAnsiTheme="majorBidi" w:cstheme="majorBidi"/>
        </w:rPr>
        <w:t xml:space="preserve"> </w:t>
      </w:r>
      <w:r w:rsidR="00D90441" w:rsidRPr="00B31DBF">
        <w:rPr>
          <w:rFonts w:asciiTheme="majorBidi" w:hAnsiTheme="majorBidi" w:cstheme="majorBidi"/>
        </w:rPr>
        <w:t>at the second level which uses a</w:t>
      </w:r>
      <w:r w:rsidR="00EA0B9B" w:rsidRPr="00B31DBF">
        <w:rPr>
          <w:rFonts w:asciiTheme="majorBidi" w:hAnsiTheme="majorBidi" w:cstheme="majorBidi"/>
        </w:rPr>
        <w:t>n</w:t>
      </w:r>
      <w:r w:rsidR="00D90441" w:rsidRPr="00B31DBF">
        <w:rPr>
          <w:rFonts w:asciiTheme="majorBidi" w:hAnsiTheme="majorBidi" w:cstheme="majorBidi"/>
        </w:rPr>
        <w:t xml:space="preserve"> Artificial Intelligence natural language processing engine.</w:t>
      </w:r>
      <w:r w:rsidR="00310F6D" w:rsidRPr="00B31DBF">
        <w:rPr>
          <w:rFonts w:asciiTheme="majorBidi" w:hAnsiTheme="majorBidi" w:cstheme="majorBidi"/>
        </w:rPr>
        <w:t xml:space="preserve"> </w:t>
      </w:r>
      <w:r w:rsidR="00470886" w:rsidRPr="00B31DBF">
        <w:rPr>
          <w:rFonts w:asciiTheme="majorBidi" w:hAnsiTheme="majorBidi" w:cstheme="majorBidi"/>
        </w:rPr>
        <w:t>T</w:t>
      </w:r>
      <w:r w:rsidR="006D30C0" w:rsidRPr="00B31DBF">
        <w:rPr>
          <w:rFonts w:asciiTheme="majorBidi" w:hAnsiTheme="majorBidi" w:cstheme="majorBidi"/>
        </w:rPr>
        <w:t>he</w:t>
      </w:r>
      <w:r w:rsidR="00470886" w:rsidRPr="00B31DBF">
        <w:rPr>
          <w:rFonts w:asciiTheme="majorBidi" w:hAnsiTheme="majorBidi" w:cstheme="majorBidi"/>
        </w:rPr>
        <w:t xml:space="preserve"> </w:t>
      </w:r>
      <w:r w:rsidR="006D30C0" w:rsidRPr="00B31DBF">
        <w:rPr>
          <w:rFonts w:asciiTheme="majorBidi" w:hAnsiTheme="majorBidi" w:cstheme="majorBidi"/>
        </w:rPr>
        <w:t xml:space="preserve">key words regarding “E-Commerce services” can be found under either </w:t>
      </w:r>
      <w:r w:rsidR="00310F6D" w:rsidRPr="00B31DBF">
        <w:rPr>
          <w:rFonts w:asciiTheme="majorBidi" w:hAnsiTheme="majorBidi" w:cstheme="majorBidi"/>
        </w:rPr>
        <w:t>“S</w:t>
      </w:r>
      <w:r w:rsidR="006D30C0" w:rsidRPr="00B31DBF">
        <w:rPr>
          <w:rFonts w:asciiTheme="majorBidi" w:hAnsiTheme="majorBidi" w:cstheme="majorBidi"/>
        </w:rPr>
        <w:t>hopping</w:t>
      </w:r>
      <w:r w:rsidR="00310F6D" w:rsidRPr="00B31DBF">
        <w:rPr>
          <w:rFonts w:asciiTheme="majorBidi" w:hAnsiTheme="majorBidi" w:cstheme="majorBidi"/>
        </w:rPr>
        <w:t>”</w:t>
      </w:r>
      <w:r w:rsidR="006D30C0" w:rsidRPr="00B31DBF">
        <w:rPr>
          <w:rFonts w:asciiTheme="majorBidi" w:hAnsiTheme="majorBidi" w:cstheme="majorBidi"/>
        </w:rPr>
        <w:t xml:space="preserve">, </w:t>
      </w:r>
      <w:r w:rsidR="00310F6D" w:rsidRPr="00B31DBF">
        <w:rPr>
          <w:rFonts w:asciiTheme="majorBidi" w:hAnsiTheme="majorBidi" w:cstheme="majorBidi"/>
        </w:rPr>
        <w:t>“B</w:t>
      </w:r>
      <w:r w:rsidR="006D30C0" w:rsidRPr="00B31DBF">
        <w:rPr>
          <w:rFonts w:asciiTheme="majorBidi" w:hAnsiTheme="majorBidi" w:cstheme="majorBidi"/>
        </w:rPr>
        <w:t xml:space="preserve">usiness and </w:t>
      </w:r>
      <w:r w:rsidR="00310F6D" w:rsidRPr="00B31DBF">
        <w:rPr>
          <w:rFonts w:asciiTheme="majorBidi" w:hAnsiTheme="majorBidi" w:cstheme="majorBidi"/>
        </w:rPr>
        <w:t>I</w:t>
      </w:r>
      <w:r w:rsidR="006D30C0" w:rsidRPr="00B31DBF">
        <w:rPr>
          <w:rFonts w:asciiTheme="majorBidi" w:hAnsiTheme="majorBidi" w:cstheme="majorBidi"/>
        </w:rPr>
        <w:t xml:space="preserve">ndustrial – </w:t>
      </w:r>
      <w:r w:rsidR="00310F6D" w:rsidRPr="00B31DBF">
        <w:rPr>
          <w:rFonts w:asciiTheme="majorBidi" w:hAnsiTheme="majorBidi" w:cstheme="majorBidi"/>
        </w:rPr>
        <w:t>B</w:t>
      </w:r>
      <w:r w:rsidR="006D30C0" w:rsidRPr="00B31DBF">
        <w:rPr>
          <w:rFonts w:asciiTheme="majorBidi" w:hAnsiTheme="majorBidi" w:cstheme="majorBidi"/>
        </w:rPr>
        <w:t xml:space="preserve">usiness </w:t>
      </w:r>
      <w:r w:rsidR="00310F6D" w:rsidRPr="00B31DBF">
        <w:rPr>
          <w:rFonts w:asciiTheme="majorBidi" w:hAnsiTheme="majorBidi" w:cstheme="majorBidi"/>
        </w:rPr>
        <w:t>S</w:t>
      </w:r>
      <w:r w:rsidR="006D30C0" w:rsidRPr="00B31DBF">
        <w:rPr>
          <w:rFonts w:asciiTheme="majorBidi" w:hAnsiTheme="majorBidi" w:cstheme="majorBidi"/>
        </w:rPr>
        <w:t>ervices</w:t>
      </w:r>
      <w:r w:rsidR="00310F6D" w:rsidRPr="00B31DBF">
        <w:rPr>
          <w:rFonts w:asciiTheme="majorBidi" w:hAnsiTheme="majorBidi" w:cstheme="majorBidi"/>
        </w:rPr>
        <w:t>”</w:t>
      </w:r>
      <w:r w:rsidR="006D30C0" w:rsidRPr="00B31DBF">
        <w:rPr>
          <w:rFonts w:asciiTheme="majorBidi" w:hAnsiTheme="majorBidi" w:cstheme="majorBidi"/>
        </w:rPr>
        <w:t xml:space="preserve"> and </w:t>
      </w:r>
      <w:r w:rsidR="00310F6D" w:rsidRPr="00B31DBF">
        <w:rPr>
          <w:rFonts w:asciiTheme="majorBidi" w:hAnsiTheme="majorBidi" w:cstheme="majorBidi"/>
        </w:rPr>
        <w:t>“</w:t>
      </w:r>
      <w:r w:rsidR="006D30C0" w:rsidRPr="00B31DBF">
        <w:rPr>
          <w:rFonts w:asciiTheme="majorBidi" w:hAnsiTheme="majorBidi" w:cstheme="majorBidi"/>
        </w:rPr>
        <w:t xml:space="preserve">Computers and </w:t>
      </w:r>
      <w:r w:rsidR="003B56F6" w:rsidRPr="00B31DBF">
        <w:rPr>
          <w:rFonts w:asciiTheme="majorBidi" w:hAnsiTheme="majorBidi" w:cstheme="majorBidi"/>
        </w:rPr>
        <w:t>E</w:t>
      </w:r>
      <w:r w:rsidR="006D30C0" w:rsidRPr="00B31DBF">
        <w:rPr>
          <w:rFonts w:asciiTheme="majorBidi" w:hAnsiTheme="majorBidi" w:cstheme="majorBidi"/>
        </w:rPr>
        <w:t>lectronics – Enterprise Technology</w:t>
      </w:r>
      <w:r w:rsidR="00310F6D" w:rsidRPr="00B31DBF">
        <w:rPr>
          <w:rFonts w:asciiTheme="majorBidi" w:hAnsiTheme="majorBidi" w:cstheme="majorBidi"/>
        </w:rPr>
        <w:t>”</w:t>
      </w:r>
      <w:r w:rsidR="006D30C0" w:rsidRPr="00B31DBF">
        <w:rPr>
          <w:rFonts w:asciiTheme="majorBidi" w:hAnsiTheme="majorBidi" w:cstheme="majorBidi"/>
        </w:rPr>
        <w:t xml:space="preserve">. It was decided that choosing the shopping subcategory, </w:t>
      </w:r>
      <w:r w:rsidR="006D30C0" w:rsidRPr="00B31DBF">
        <w:rPr>
          <w:rFonts w:asciiTheme="majorBidi" w:hAnsiTheme="majorBidi" w:cstheme="majorBidi"/>
        </w:rPr>
        <w:t>would include a</w:t>
      </w:r>
      <w:r w:rsidR="004F3687" w:rsidRPr="00B31DBF">
        <w:rPr>
          <w:rFonts w:asciiTheme="majorBidi" w:hAnsiTheme="majorBidi" w:cstheme="majorBidi"/>
        </w:rPr>
        <w:t xml:space="preserve"> wider </w:t>
      </w:r>
      <w:r w:rsidR="00310F6D" w:rsidRPr="00B31DBF">
        <w:rPr>
          <w:rFonts w:asciiTheme="majorBidi" w:hAnsiTheme="majorBidi" w:cstheme="majorBidi"/>
        </w:rPr>
        <w:t>retail domain instead</w:t>
      </w:r>
      <w:r w:rsidR="006D30C0" w:rsidRPr="00B31DBF">
        <w:rPr>
          <w:rFonts w:asciiTheme="majorBidi" w:hAnsiTheme="majorBidi" w:cstheme="majorBidi"/>
        </w:rPr>
        <w:t>.</w:t>
      </w:r>
      <w:r w:rsidR="00310F6D" w:rsidRPr="00B31DBF">
        <w:rPr>
          <w:rFonts w:asciiTheme="majorBidi" w:hAnsiTheme="majorBidi" w:cstheme="majorBidi"/>
        </w:rPr>
        <w:t xml:space="preserve"> This also removes the possibility of excluding relevant data due to mis-categorisation and granularization of the data</w:t>
      </w:r>
      <w:r w:rsidR="00EA0B9B" w:rsidRPr="00B31DBF">
        <w:rPr>
          <w:rFonts w:asciiTheme="majorBidi" w:hAnsiTheme="majorBidi" w:cstheme="majorBidi"/>
        </w:rPr>
        <w:t xml:space="preserve"> but also would focus the searches on retailers</w:t>
      </w:r>
      <w:r w:rsidR="00310F6D" w:rsidRPr="00B31DBF">
        <w:rPr>
          <w:rFonts w:asciiTheme="majorBidi" w:hAnsiTheme="majorBidi" w:cstheme="majorBidi"/>
        </w:rPr>
        <w:t>.</w:t>
      </w:r>
      <w:r w:rsidR="00EA0B9B" w:rsidRPr="00B31DBF">
        <w:rPr>
          <w:rFonts w:asciiTheme="majorBidi" w:hAnsiTheme="majorBidi" w:cstheme="majorBidi"/>
        </w:rPr>
        <w:t xml:space="preserve"> For example, “Amazon” can be found under “travel” and other irrelevant categorised and would therefore skew the correlations further in the study. </w:t>
      </w:r>
    </w:p>
    <w:p w14:paraId="132CCF12" w14:textId="250D52BA" w:rsidR="00951571" w:rsidRPr="00B31DBF" w:rsidRDefault="006D30C0" w:rsidP="00310F6D">
      <w:pPr>
        <w:jc w:val="both"/>
        <w:rPr>
          <w:rFonts w:asciiTheme="majorBidi" w:hAnsiTheme="majorBidi" w:cstheme="majorBidi"/>
        </w:rPr>
      </w:pPr>
      <w:r w:rsidRPr="00B31DBF">
        <w:rPr>
          <w:rFonts w:asciiTheme="majorBidi" w:hAnsiTheme="majorBidi" w:cstheme="majorBidi"/>
        </w:rPr>
        <w:t xml:space="preserve">In addition, the data type was selected as web search, since Google shopping is a relatively new launch by Google and is still under developed; hence most searches would be </w:t>
      </w:r>
      <w:r w:rsidR="00223E35" w:rsidRPr="00B31DBF">
        <w:rPr>
          <w:rFonts w:asciiTheme="majorBidi" w:hAnsiTheme="majorBidi" w:cstheme="majorBidi"/>
        </w:rPr>
        <w:t>to</w:t>
      </w:r>
      <w:r w:rsidRPr="00B31DBF">
        <w:rPr>
          <w:rFonts w:asciiTheme="majorBidi" w:hAnsiTheme="majorBidi" w:cstheme="majorBidi"/>
        </w:rPr>
        <w:t xml:space="preserve"> </w:t>
      </w:r>
      <w:r w:rsidR="00223E35" w:rsidRPr="00B31DBF">
        <w:rPr>
          <w:rFonts w:asciiTheme="majorBidi" w:hAnsiTheme="majorBidi" w:cstheme="majorBidi"/>
        </w:rPr>
        <w:t xml:space="preserve">redirect to </w:t>
      </w:r>
      <w:r w:rsidRPr="00B31DBF">
        <w:rPr>
          <w:rFonts w:asciiTheme="majorBidi" w:hAnsiTheme="majorBidi" w:cstheme="majorBidi"/>
        </w:rPr>
        <w:t>the</w:t>
      </w:r>
      <w:r w:rsidR="00223E35" w:rsidRPr="00B31DBF">
        <w:rPr>
          <w:rFonts w:asciiTheme="majorBidi" w:hAnsiTheme="majorBidi" w:cstheme="majorBidi"/>
        </w:rPr>
        <w:t xml:space="preserve"> retail</w:t>
      </w:r>
      <w:r w:rsidRPr="00B31DBF">
        <w:rPr>
          <w:rFonts w:asciiTheme="majorBidi" w:hAnsiTheme="majorBidi" w:cstheme="majorBidi"/>
        </w:rPr>
        <w:t xml:space="preserve"> websites</w:t>
      </w:r>
      <w:r w:rsidR="00223E35" w:rsidRPr="00B31DBF">
        <w:rPr>
          <w:rFonts w:asciiTheme="majorBidi" w:hAnsiTheme="majorBidi" w:cstheme="majorBidi"/>
        </w:rPr>
        <w:t>.</w:t>
      </w:r>
      <w:r w:rsidRPr="00B31DBF">
        <w:rPr>
          <w:rFonts w:asciiTheme="majorBidi" w:hAnsiTheme="majorBidi" w:cstheme="majorBidi"/>
        </w:rPr>
        <w:t xml:space="preserve"> </w:t>
      </w:r>
      <w:r w:rsidR="00223E35" w:rsidRPr="00B31DBF">
        <w:rPr>
          <w:rFonts w:asciiTheme="majorBidi" w:hAnsiTheme="majorBidi" w:cstheme="majorBidi"/>
        </w:rPr>
        <w:t>The time frame was chosen to include the greatest overlap between the macro-economic index and the Google trends data. This was from the beginning of trends data collection in January 2004 since all macro-economic indices date back to the 20</w:t>
      </w:r>
      <w:r w:rsidR="00223E35" w:rsidRPr="00B31DBF">
        <w:rPr>
          <w:rFonts w:asciiTheme="majorBidi" w:hAnsiTheme="majorBidi" w:cstheme="majorBidi"/>
          <w:vertAlign w:val="superscript"/>
        </w:rPr>
        <w:t>th</w:t>
      </w:r>
      <w:r w:rsidR="00223E35" w:rsidRPr="00B31DBF">
        <w:rPr>
          <w:rFonts w:asciiTheme="majorBidi" w:hAnsiTheme="majorBidi" w:cstheme="majorBidi"/>
        </w:rPr>
        <w:t xml:space="preserve"> century. </w:t>
      </w:r>
    </w:p>
    <w:p w14:paraId="231C0939" w14:textId="1957B664" w:rsidR="00223E35" w:rsidRPr="00B31DBF" w:rsidRDefault="00223E35" w:rsidP="006D30C0">
      <w:pPr>
        <w:jc w:val="both"/>
        <w:rPr>
          <w:rFonts w:asciiTheme="majorBidi" w:hAnsiTheme="majorBidi" w:cstheme="majorBidi"/>
        </w:rPr>
      </w:pPr>
      <w:r w:rsidRPr="00B31DBF">
        <w:rPr>
          <w:rFonts w:asciiTheme="majorBidi" w:hAnsiTheme="majorBidi" w:cstheme="majorBidi"/>
        </w:rPr>
        <w:t>The data is then presented as a percentage, normalised to the greatest number searched hits within the chosen time frame</w:t>
      </w:r>
      <w:r w:rsidR="00F0489E" w:rsidRPr="00B31DBF">
        <w:rPr>
          <w:rFonts w:asciiTheme="majorBidi" w:hAnsiTheme="majorBidi" w:cstheme="majorBidi"/>
        </w:rPr>
        <w:t xml:space="preserve"> within the geographical area chosen</w:t>
      </w:r>
      <w:r w:rsidR="001237FB" w:rsidRPr="00B31DBF">
        <w:rPr>
          <w:rFonts w:asciiTheme="majorBidi" w:hAnsiTheme="majorBidi" w:cstheme="majorBidi"/>
        </w:rPr>
        <w:t xml:space="preserve"> as seen in figure XXX.</w:t>
      </w:r>
    </w:p>
    <w:p w14:paraId="1BA44FB5" w14:textId="23B2AA2D" w:rsidR="001237FB" w:rsidRPr="00B31DBF" w:rsidRDefault="001237FB" w:rsidP="006D30C0">
      <w:pPr>
        <w:jc w:val="both"/>
        <w:rPr>
          <w:rFonts w:asciiTheme="majorBidi" w:hAnsiTheme="majorBidi" w:cstheme="majorBidi"/>
        </w:rPr>
      </w:pPr>
      <w:r w:rsidRPr="00B31DBF">
        <w:rPr>
          <w:rFonts w:asciiTheme="majorBidi" w:hAnsiTheme="majorBidi" w:cstheme="majorBidi"/>
          <w:noProof/>
        </w:rPr>
        <w:drawing>
          <wp:inline distT="0" distB="0" distL="0" distR="0" wp14:anchorId="18373A6B" wp14:editId="306B9DEE">
            <wp:extent cx="2920788" cy="1981200"/>
            <wp:effectExtent l="0" t="0" r="13335" b="0"/>
            <wp:docPr id="1" name="Chart 1">
              <a:extLst xmlns:a="http://schemas.openxmlformats.org/drawingml/2006/main">
                <a:ext uri="{FF2B5EF4-FFF2-40B4-BE49-F238E27FC236}">
                  <a16:creationId xmlns:a16="http://schemas.microsoft.com/office/drawing/2014/main" id="{63619C0E-E83C-4B89-8443-3785BF07619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6F24E184" w14:textId="322E5E2E" w:rsidR="00951571" w:rsidRPr="00B31DBF" w:rsidRDefault="00D1017D" w:rsidP="00951571">
      <w:pPr>
        <w:jc w:val="both"/>
        <w:rPr>
          <w:rFonts w:asciiTheme="majorBidi" w:hAnsiTheme="majorBidi" w:cstheme="majorBidi"/>
        </w:rPr>
      </w:pPr>
      <w:r w:rsidRPr="00B31DBF">
        <w:rPr>
          <w:rFonts w:asciiTheme="majorBidi" w:hAnsiTheme="majorBidi" w:cstheme="majorBidi"/>
        </w:rPr>
        <w:t xml:space="preserve">A </w:t>
      </w:r>
      <w:r w:rsidR="00B55C96" w:rsidRPr="00B31DBF">
        <w:rPr>
          <w:rFonts w:asciiTheme="majorBidi" w:hAnsiTheme="majorBidi" w:cstheme="majorBidi"/>
        </w:rPr>
        <w:t xml:space="preserve">major limitation with Google Trends data is the lack of </w:t>
      </w:r>
      <w:r w:rsidR="00D41995" w:rsidRPr="00B31DBF">
        <w:rPr>
          <w:rFonts w:asciiTheme="majorBidi" w:hAnsiTheme="majorBidi" w:cstheme="majorBidi"/>
        </w:rPr>
        <w:t>monthly web and mobile app traffic. For example, if the website is saved in browser cookies and redirects the search to the website before landing on google, the search term will not appear in in the Google trends data. In addition, in recent years, many e-commerce companies have developed mobile based platforms which is also excluded from the internet search terms. Therefore, in this study, the effects of the e-commerce on the economy is only limited to the highly searched companies on google</w:t>
      </w:r>
      <w:r w:rsidR="007B0E42" w:rsidRPr="00B31DBF">
        <w:rPr>
          <w:rFonts w:asciiTheme="majorBidi" w:hAnsiTheme="majorBidi" w:cstheme="majorBidi"/>
        </w:rPr>
        <w:t xml:space="preserve"> where in some cases may not result in a transaction</w:t>
      </w:r>
      <w:r w:rsidR="00D41995" w:rsidRPr="00B31DBF">
        <w:rPr>
          <w:rFonts w:asciiTheme="majorBidi" w:hAnsiTheme="majorBidi" w:cstheme="majorBidi"/>
        </w:rPr>
        <w:t xml:space="preserve">. </w:t>
      </w:r>
      <w:r w:rsidR="007B0E42" w:rsidRPr="00B31DBF">
        <w:rPr>
          <w:rFonts w:asciiTheme="majorBidi" w:hAnsiTheme="majorBidi" w:cstheme="majorBidi"/>
        </w:rPr>
        <w:t xml:space="preserve">However, this highly depends on the number of these anomalies and the limitation can be ignored if cross-correlation </w:t>
      </w:r>
      <w:r w:rsidR="007B0E42" w:rsidRPr="00B31DBF">
        <w:rPr>
          <w:rFonts w:asciiTheme="majorBidi" w:hAnsiTheme="majorBidi" w:cstheme="majorBidi"/>
        </w:rPr>
        <w:lastRenderedPageBreak/>
        <w:t xml:space="preserve">between the economic indicators can be found with the google search terms. </w:t>
      </w:r>
      <w:r w:rsidR="00223E35" w:rsidRPr="00B31DBF">
        <w:rPr>
          <w:rFonts w:asciiTheme="majorBidi" w:hAnsiTheme="majorBidi" w:cstheme="majorBidi"/>
        </w:rPr>
        <w:t xml:space="preserve">Also, it is possible that other websites include links to products on the retail website which would also go undetected since they are not being searched directly through Google. This also goes for product searches where the search results would provide links to the e-commerce website. Out of all anomalies, this is assumed to be the greatest, judging by human behaviour. </w:t>
      </w:r>
    </w:p>
    <w:p w14:paraId="299A71F8" w14:textId="6BB2755D" w:rsidR="007645DA" w:rsidRPr="00B31DBF" w:rsidRDefault="00D41995" w:rsidP="00223E35">
      <w:pPr>
        <w:jc w:val="both"/>
        <w:rPr>
          <w:rFonts w:asciiTheme="majorBidi" w:hAnsiTheme="majorBidi" w:cstheme="majorBidi"/>
        </w:rPr>
      </w:pPr>
      <w:proofErr w:type="gramStart"/>
      <w:r w:rsidRPr="00B31DBF">
        <w:rPr>
          <w:rFonts w:asciiTheme="majorBidi" w:hAnsiTheme="majorBidi" w:cstheme="majorBidi"/>
        </w:rPr>
        <w:t>This is why</w:t>
      </w:r>
      <w:proofErr w:type="gramEnd"/>
      <w:r w:rsidRPr="00B31DBF">
        <w:rPr>
          <w:rFonts w:asciiTheme="majorBidi" w:hAnsiTheme="majorBidi" w:cstheme="majorBidi"/>
        </w:rPr>
        <w:t xml:space="preserve">, the companies have been selected based on traffic volume and not by sales, since the availability of the data and accessibility to private website traffic is infeasible; in addition to the post processing and data cleansing required. </w:t>
      </w:r>
    </w:p>
    <w:p w14:paraId="467CAF6C" w14:textId="23EC71B1" w:rsidR="00FD5BE1" w:rsidRPr="00B31DBF" w:rsidRDefault="00206CBF" w:rsidP="00846586">
      <w:pPr>
        <w:pStyle w:val="Heading1"/>
        <w:numPr>
          <w:ilvl w:val="0"/>
          <w:numId w:val="2"/>
        </w:numPr>
        <w:rPr>
          <w:rFonts w:asciiTheme="majorBidi" w:hAnsiTheme="majorBidi"/>
          <w:color w:val="auto"/>
        </w:rPr>
      </w:pPr>
      <w:r w:rsidRPr="00B31DBF">
        <w:rPr>
          <w:rFonts w:asciiTheme="majorBidi" w:hAnsiTheme="majorBidi"/>
          <w:color w:val="auto"/>
        </w:rPr>
        <w:t>Preliminary work</w:t>
      </w:r>
    </w:p>
    <w:p w14:paraId="40D2473A" w14:textId="77777777" w:rsidR="009E2569" w:rsidRPr="00B31DBF" w:rsidRDefault="009E2569" w:rsidP="009E2569">
      <w:pPr>
        <w:rPr>
          <w:rFonts w:asciiTheme="majorBidi" w:hAnsiTheme="majorBidi" w:cstheme="majorBidi"/>
        </w:rPr>
      </w:pPr>
    </w:p>
    <w:p w14:paraId="3CA81871" w14:textId="20A2E308" w:rsidR="00FD5BE1" w:rsidRPr="00B31DBF" w:rsidRDefault="009E2569" w:rsidP="009E2569">
      <w:pPr>
        <w:pStyle w:val="Heading2"/>
        <w:numPr>
          <w:ilvl w:val="1"/>
          <w:numId w:val="2"/>
        </w:numPr>
        <w:rPr>
          <w:rFonts w:asciiTheme="majorBidi" w:hAnsiTheme="majorBidi"/>
          <w:color w:val="auto"/>
        </w:rPr>
      </w:pPr>
      <w:r w:rsidRPr="00B31DBF">
        <w:rPr>
          <w:rFonts w:asciiTheme="majorBidi" w:hAnsiTheme="majorBidi"/>
          <w:color w:val="auto"/>
        </w:rPr>
        <w:t>Data fitting</w:t>
      </w:r>
    </w:p>
    <w:p w14:paraId="1F23EFA6" w14:textId="77777777" w:rsidR="009E2569" w:rsidRPr="00B31DBF" w:rsidRDefault="009E2569" w:rsidP="00587C0F">
      <w:pPr>
        <w:jc w:val="both"/>
        <w:rPr>
          <w:rFonts w:asciiTheme="majorBidi" w:hAnsiTheme="majorBidi" w:cstheme="majorBidi"/>
        </w:rPr>
      </w:pPr>
    </w:p>
    <w:p w14:paraId="645D925D" w14:textId="540356C0" w:rsidR="009E2569" w:rsidRPr="00B31DBF" w:rsidRDefault="009E2569" w:rsidP="00587C0F">
      <w:pPr>
        <w:jc w:val="both"/>
        <w:rPr>
          <w:rFonts w:asciiTheme="majorBidi" w:hAnsiTheme="majorBidi" w:cstheme="majorBidi"/>
        </w:rPr>
      </w:pPr>
      <w:r w:rsidRPr="00B31DBF">
        <w:rPr>
          <w:rFonts w:asciiTheme="majorBidi" w:hAnsiTheme="majorBidi" w:cstheme="majorBidi"/>
        </w:rPr>
        <w:t>Why moving average and not AR or ARIMA?</w:t>
      </w:r>
    </w:p>
    <w:p w14:paraId="4A548960" w14:textId="13E57246" w:rsidR="00737AB5" w:rsidRPr="00B31DBF" w:rsidRDefault="00737AB5" w:rsidP="00587C0F">
      <w:pPr>
        <w:jc w:val="both"/>
        <w:rPr>
          <w:rFonts w:asciiTheme="majorBidi" w:hAnsiTheme="majorBidi" w:cstheme="majorBidi"/>
        </w:rPr>
      </w:pPr>
      <w:r w:rsidRPr="00B31DBF">
        <w:rPr>
          <w:rFonts w:asciiTheme="majorBidi" w:hAnsiTheme="majorBidi" w:cstheme="majorBidi"/>
        </w:rPr>
        <w:t xml:space="preserve">Justification of rolling window </w:t>
      </w:r>
      <w:r w:rsidR="00F027BD" w:rsidRPr="00B31DBF">
        <w:rPr>
          <w:rFonts w:asciiTheme="majorBidi" w:hAnsiTheme="majorBidi" w:cstheme="majorBidi"/>
        </w:rPr>
        <w:t>frame?</w:t>
      </w:r>
    </w:p>
    <w:p w14:paraId="36A621F9" w14:textId="0D8D382A" w:rsidR="009822C5" w:rsidRPr="00B31DBF" w:rsidRDefault="009E2569" w:rsidP="009E2569">
      <w:pPr>
        <w:pStyle w:val="Heading2"/>
        <w:numPr>
          <w:ilvl w:val="1"/>
          <w:numId w:val="2"/>
        </w:numPr>
        <w:rPr>
          <w:rFonts w:asciiTheme="majorBidi" w:hAnsiTheme="majorBidi"/>
          <w:color w:val="auto"/>
        </w:rPr>
      </w:pPr>
      <w:r w:rsidRPr="00B31DBF">
        <w:rPr>
          <w:rFonts w:asciiTheme="majorBidi" w:hAnsiTheme="majorBidi"/>
          <w:color w:val="auto"/>
        </w:rPr>
        <w:t>Autocorrelation</w:t>
      </w:r>
    </w:p>
    <w:p w14:paraId="437A866D" w14:textId="77777777" w:rsidR="00B31DBF" w:rsidRPr="00B31DBF" w:rsidRDefault="00B31DBF" w:rsidP="009E2569">
      <w:pPr>
        <w:rPr>
          <w:rFonts w:asciiTheme="majorBidi" w:hAnsiTheme="majorBidi" w:cstheme="majorBidi"/>
        </w:rPr>
      </w:pPr>
    </w:p>
    <w:p w14:paraId="6A282593" w14:textId="1E412022" w:rsidR="009E2569" w:rsidRPr="00B31DBF" w:rsidRDefault="00B31DBF" w:rsidP="009E2569">
      <w:pPr>
        <w:rPr>
          <w:rFonts w:asciiTheme="majorBidi" w:hAnsiTheme="majorBidi" w:cstheme="majorBidi"/>
        </w:rPr>
      </w:pPr>
      <w:r w:rsidRPr="00B31DBF">
        <w:rPr>
          <w:rFonts w:asciiTheme="majorBidi" w:hAnsiTheme="majorBidi" w:cstheme="majorBidi"/>
          <w:noProof/>
        </w:rPr>
        <w:drawing>
          <wp:inline distT="0" distB="0" distL="0" distR="0" wp14:anchorId="31E40672" wp14:editId="32C3D7F8">
            <wp:extent cx="2835275" cy="1954530"/>
            <wp:effectExtent l="0" t="0" r="3175"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35275" cy="1954530"/>
                    </a:xfrm>
                    <a:prstGeom prst="rect">
                      <a:avLst/>
                    </a:prstGeom>
                  </pic:spPr>
                </pic:pic>
              </a:graphicData>
            </a:graphic>
          </wp:inline>
        </w:drawing>
      </w:r>
    </w:p>
    <w:p w14:paraId="3D3FD7B6" w14:textId="08D920C5" w:rsidR="009E2569" w:rsidRPr="00B31DBF" w:rsidRDefault="00B31DBF" w:rsidP="009E2569">
      <w:pPr>
        <w:rPr>
          <w:rFonts w:asciiTheme="majorBidi" w:hAnsiTheme="majorBidi" w:cstheme="majorBidi"/>
        </w:rPr>
      </w:pPr>
      <w:r>
        <w:rPr>
          <w:rFonts w:asciiTheme="majorBidi" w:hAnsiTheme="majorBidi" w:cstheme="majorBidi"/>
        </w:rPr>
        <w:t xml:space="preserve">The confidence interval represented by a cone has a default value of 95%. </w:t>
      </w:r>
    </w:p>
    <w:p w14:paraId="1A3F5870" w14:textId="340D6199" w:rsidR="00EE3F4D" w:rsidRDefault="00EE3F4D" w:rsidP="00587C0F">
      <w:pPr>
        <w:jc w:val="both"/>
        <w:rPr>
          <w:rFonts w:asciiTheme="majorBidi" w:hAnsiTheme="majorBidi" w:cstheme="majorBidi"/>
        </w:rPr>
      </w:pPr>
      <w:r w:rsidRPr="00B31DBF">
        <w:rPr>
          <w:rFonts w:asciiTheme="majorBidi" w:hAnsiTheme="majorBidi" w:cstheme="majorBidi"/>
        </w:rPr>
        <w:t>A difficulty posed for future steps in the research is the size and number of data points available for the index. As mentioned previously, the monthly data can only be taken from the year XXX</w:t>
      </w:r>
      <w:r w:rsidR="00587C0F" w:rsidRPr="00B31DBF">
        <w:rPr>
          <w:rFonts w:asciiTheme="majorBidi" w:hAnsiTheme="majorBidi" w:cstheme="majorBidi"/>
        </w:rPr>
        <w:t xml:space="preserve"> (even though data is available from XXX)</w:t>
      </w:r>
      <w:r w:rsidRPr="00B31DBF">
        <w:rPr>
          <w:rFonts w:asciiTheme="majorBidi" w:hAnsiTheme="majorBidi" w:cstheme="majorBidi"/>
        </w:rPr>
        <w:t xml:space="preserve"> to comply with the Google Trends dataset. However, having </w:t>
      </w:r>
      <w:r w:rsidR="000B0C6A">
        <w:rPr>
          <w:rFonts w:asciiTheme="majorBidi" w:hAnsiTheme="majorBidi" w:cstheme="majorBidi"/>
        </w:rPr>
        <w:t>177</w:t>
      </w:r>
      <w:r w:rsidRPr="00B31DBF">
        <w:rPr>
          <w:rFonts w:asciiTheme="majorBidi" w:hAnsiTheme="majorBidi" w:cstheme="majorBidi"/>
        </w:rPr>
        <w:t xml:space="preserve"> datapoints to start with means that after XXX shifts in the lag boundary, the overlapping </w:t>
      </w:r>
      <w:r w:rsidR="00587C0F" w:rsidRPr="00B31DBF">
        <w:rPr>
          <w:rFonts w:asciiTheme="majorBidi" w:hAnsiTheme="majorBidi" w:cstheme="majorBidi"/>
        </w:rPr>
        <w:t xml:space="preserve">index and </w:t>
      </w:r>
      <w:r w:rsidR="00587C0F" w:rsidRPr="00B31DBF">
        <w:rPr>
          <w:rFonts w:asciiTheme="majorBidi" w:hAnsiTheme="majorBidi" w:cstheme="majorBidi"/>
        </w:rPr>
        <w:t xml:space="preserve">Google Trends data would be diminished to only XXX. This would seriously diminish the reliability of the assessment. </w:t>
      </w:r>
    </w:p>
    <w:p w14:paraId="00660626" w14:textId="650691EE" w:rsidR="00994BF8" w:rsidRDefault="00994BF8" w:rsidP="00587C0F">
      <w:pPr>
        <w:jc w:val="both"/>
        <w:rPr>
          <w:rFonts w:asciiTheme="majorBidi" w:hAnsiTheme="majorBidi" w:cstheme="majorBidi"/>
        </w:rPr>
      </w:pPr>
    </w:p>
    <w:p w14:paraId="49B63591" w14:textId="0677960C" w:rsidR="0040588F" w:rsidRPr="0040588F" w:rsidRDefault="00C41388" w:rsidP="0040588F">
      <w:pPr>
        <w:pStyle w:val="Heading2"/>
        <w:rPr>
          <w:rFonts w:asciiTheme="majorBidi" w:hAnsiTheme="majorBidi"/>
          <w:color w:val="auto"/>
        </w:rPr>
      </w:pPr>
      <w:r w:rsidRPr="0040588F">
        <w:rPr>
          <w:rFonts w:asciiTheme="majorBidi" w:hAnsiTheme="majorBidi"/>
          <w:color w:val="auto"/>
        </w:rPr>
        <w:t>Non-linear dependence</w:t>
      </w:r>
    </w:p>
    <w:p w14:paraId="48194528" w14:textId="7FB479EB" w:rsidR="00994BF8" w:rsidRDefault="00C41388" w:rsidP="00587C0F">
      <w:pPr>
        <w:jc w:val="both"/>
        <w:rPr>
          <w:rFonts w:asciiTheme="majorBidi" w:hAnsiTheme="majorBidi" w:cstheme="majorBidi"/>
        </w:rPr>
      </w:pPr>
      <w:r>
        <w:rPr>
          <w:rFonts w:asciiTheme="majorBidi" w:hAnsiTheme="majorBidi" w:cstheme="majorBidi"/>
        </w:rPr>
        <w:t xml:space="preserve">Financial markets have proven that asset prices move independently during bull markets, whereas in bear markets, all asset prices lose value together. </w:t>
      </w:r>
    </w:p>
    <w:p w14:paraId="151C3ED7" w14:textId="4DBF7249" w:rsidR="00DB1334" w:rsidRDefault="00C41388" w:rsidP="00DB1334">
      <w:pPr>
        <w:jc w:val="both"/>
        <w:rPr>
          <w:rFonts w:asciiTheme="majorBidi" w:eastAsiaTheme="minorEastAsia" w:hAnsiTheme="majorBidi" w:cstheme="majorBidi"/>
        </w:rPr>
      </w:pPr>
      <w:r>
        <w:rPr>
          <w:rFonts w:asciiTheme="majorBidi" w:hAnsiTheme="majorBidi" w:cstheme="majorBidi"/>
        </w:rPr>
        <w:t xml:space="preserve">Evaluating cross-correlation on non-linear multivariate datasets can have irregularities in the sense that the forecast may work in bull markets. For example, imagine a random variable </w:t>
      </w:r>
      <m:oMath>
        <m:r>
          <w:rPr>
            <w:rFonts w:ascii="Cambria Math" w:hAnsi="Cambria Math" w:cstheme="majorBidi"/>
          </w:rPr>
          <m:t>X</m:t>
        </m:r>
      </m:oMath>
      <w:r>
        <w:rPr>
          <w:rFonts w:asciiTheme="majorBidi" w:eastAsiaTheme="minorEastAsia" w:hAnsiTheme="majorBidi" w:cstheme="majorBidi"/>
        </w:rPr>
        <w:t xml:space="preserve">, uniformly distributed around zero, and a variable </w:t>
      </w:r>
      <m:oMath>
        <m:r>
          <w:rPr>
            <w:rFonts w:ascii="Cambria Math" w:eastAsiaTheme="minorEastAsia" w:hAnsi="Cambria Math" w:cstheme="majorBidi"/>
          </w:rPr>
          <m:t>Y=</m:t>
        </m:r>
        <m:sSup>
          <m:sSupPr>
            <m:ctrlPr>
              <w:rPr>
                <w:rFonts w:ascii="Cambria Math" w:eastAsiaTheme="minorEastAsia" w:hAnsi="Cambria Math" w:cstheme="majorBidi"/>
                <w:i/>
              </w:rPr>
            </m:ctrlPr>
          </m:sSupPr>
          <m:e>
            <m:r>
              <w:rPr>
                <w:rFonts w:ascii="Cambria Math" w:eastAsiaTheme="minorEastAsia" w:hAnsi="Cambria Math" w:cstheme="majorBidi"/>
              </w:rPr>
              <m:t>X</m:t>
            </m:r>
          </m:e>
          <m:sup>
            <m:r>
              <w:rPr>
                <w:rFonts w:ascii="Cambria Math" w:eastAsiaTheme="minorEastAsia" w:hAnsi="Cambria Math" w:cstheme="majorBidi"/>
              </w:rPr>
              <m:t>2</m:t>
            </m:r>
          </m:sup>
        </m:sSup>
      </m:oMath>
      <w:r>
        <w:rPr>
          <w:rFonts w:asciiTheme="majorBidi" w:eastAsiaTheme="minorEastAsia" w:hAnsiTheme="majorBidi" w:cstheme="majorBidi"/>
        </w:rPr>
        <w:t xml:space="preserve">. This clearly shows </w:t>
      </w:r>
      <m:oMath>
        <m:r>
          <w:rPr>
            <w:rFonts w:ascii="Cambria Math" w:eastAsiaTheme="minorEastAsia" w:hAnsi="Cambria Math" w:cstheme="majorBidi"/>
          </w:rPr>
          <m:t>Y</m:t>
        </m:r>
      </m:oMath>
      <w:r>
        <w:rPr>
          <w:rFonts w:asciiTheme="majorBidi" w:eastAsiaTheme="minorEastAsia" w:hAnsiTheme="majorBidi" w:cstheme="majorBidi"/>
        </w:rPr>
        <w:t xml:space="preserve">’s dependence on </w:t>
      </w:r>
      <m:oMath>
        <m:r>
          <w:rPr>
            <w:rFonts w:ascii="Cambria Math" w:eastAsiaTheme="minorEastAsia" w:hAnsi="Cambria Math" w:cstheme="majorBidi"/>
          </w:rPr>
          <m:t>X</m:t>
        </m:r>
      </m:oMath>
      <w:r>
        <w:rPr>
          <w:rFonts w:asciiTheme="majorBidi" w:eastAsiaTheme="minorEastAsia" w:hAnsiTheme="majorBidi" w:cstheme="majorBidi"/>
        </w:rPr>
        <w:t xml:space="preserve">; however, the correlation coefficient between them will be zero because it only detects linear dependencies between the two. This effect has rarely been spoken in previous papers written on the matter. </w:t>
      </w:r>
    </w:p>
    <w:p w14:paraId="768304A5" w14:textId="77777777" w:rsidR="00DB1334" w:rsidRDefault="00C41388" w:rsidP="00DB1334">
      <w:pPr>
        <w:jc w:val="both"/>
        <w:rPr>
          <w:rFonts w:asciiTheme="majorBidi" w:hAnsiTheme="majorBidi" w:cstheme="majorBidi"/>
        </w:rPr>
      </w:pPr>
      <w:r>
        <w:rPr>
          <w:rFonts w:asciiTheme="majorBidi" w:hAnsiTheme="majorBidi" w:cstheme="majorBidi"/>
        </w:rPr>
        <w:t xml:space="preserve">Although, looking at macro-economic indicators will mitigate this effect since indices such as CPI and RDPI are always upwards trending due to inflationary pressures and growth rates. However, in unstable and stagnant economies such as those in recession or deflation, forecasts </w:t>
      </w:r>
      <w:r w:rsidR="0040588F">
        <w:rPr>
          <w:rFonts w:asciiTheme="majorBidi" w:hAnsiTheme="majorBidi" w:cstheme="majorBidi"/>
        </w:rPr>
        <w:t>may</w:t>
      </w:r>
      <w:r>
        <w:rPr>
          <w:rFonts w:asciiTheme="majorBidi" w:hAnsiTheme="majorBidi" w:cstheme="majorBidi"/>
        </w:rPr>
        <w:t xml:space="preserve"> prove to m</w:t>
      </w:r>
      <w:r w:rsidR="0040588F">
        <w:rPr>
          <w:rFonts w:asciiTheme="majorBidi" w:hAnsiTheme="majorBidi" w:cstheme="majorBidi"/>
        </w:rPr>
        <w:t xml:space="preserve">isjudge the trends. In these cases, the linear correlation over-estimate dependencies in non-crisis periods and under-estimate correlations in crisis periods. </w:t>
      </w:r>
    </w:p>
    <w:p w14:paraId="135E2346" w14:textId="13BA8B69" w:rsidR="00C41388" w:rsidRDefault="00DB1334" w:rsidP="00DB1334">
      <w:pPr>
        <w:jc w:val="both"/>
        <w:rPr>
          <w:rFonts w:asciiTheme="majorBidi" w:hAnsiTheme="majorBidi" w:cstheme="majorBidi"/>
        </w:rPr>
      </w:pPr>
      <w:r>
        <w:rPr>
          <w:rFonts w:asciiTheme="majorBidi" w:hAnsiTheme="majorBidi" w:cstheme="majorBidi"/>
        </w:rPr>
        <w:t xml:space="preserve">In a financial </w:t>
      </w:r>
      <w:commentRangeStart w:id="4"/>
      <w:r>
        <w:rPr>
          <w:rFonts w:asciiTheme="majorBidi" w:hAnsiTheme="majorBidi" w:cstheme="majorBidi"/>
        </w:rPr>
        <w:t>context</w:t>
      </w:r>
      <w:commentRangeEnd w:id="4"/>
      <w:r>
        <w:rPr>
          <w:rStyle w:val="CommentReference"/>
        </w:rPr>
        <w:commentReference w:id="4"/>
      </w:r>
      <w:r>
        <w:rPr>
          <w:rFonts w:asciiTheme="majorBidi" w:hAnsiTheme="majorBidi" w:cstheme="majorBidi"/>
        </w:rPr>
        <w:t>, research by Ang et. al. (2001) and Patton (2002) showed that non-linear dependences demand a higher risk premium due to high correlation with bad market conditions.</w:t>
      </w:r>
    </w:p>
    <w:p w14:paraId="7D809F86" w14:textId="4A74CAD8" w:rsidR="00994BF8" w:rsidRDefault="00994BF8" w:rsidP="00587C0F">
      <w:pPr>
        <w:jc w:val="both"/>
        <w:rPr>
          <w:rFonts w:asciiTheme="majorBidi" w:hAnsiTheme="majorBidi" w:cstheme="majorBidi"/>
        </w:rPr>
      </w:pPr>
    </w:p>
    <w:p w14:paraId="7D96A159" w14:textId="16B8CE38" w:rsidR="00994BF8" w:rsidRDefault="00994BF8" w:rsidP="00587C0F">
      <w:pPr>
        <w:jc w:val="both"/>
        <w:rPr>
          <w:rFonts w:asciiTheme="majorBidi" w:hAnsiTheme="majorBidi" w:cstheme="majorBidi"/>
        </w:rPr>
      </w:pPr>
    </w:p>
    <w:p w14:paraId="4ACBE9A0" w14:textId="0BCE6A35" w:rsidR="00994BF8" w:rsidRDefault="00994BF8" w:rsidP="00587C0F">
      <w:pPr>
        <w:jc w:val="both"/>
        <w:rPr>
          <w:rFonts w:asciiTheme="majorBidi" w:hAnsiTheme="majorBidi" w:cstheme="majorBidi"/>
        </w:rPr>
      </w:pPr>
    </w:p>
    <w:p w14:paraId="08CD26E2" w14:textId="41596559" w:rsidR="00994BF8" w:rsidRDefault="00994BF8" w:rsidP="00587C0F">
      <w:pPr>
        <w:jc w:val="both"/>
        <w:rPr>
          <w:rFonts w:asciiTheme="majorBidi" w:hAnsiTheme="majorBidi" w:cstheme="majorBidi"/>
        </w:rPr>
      </w:pPr>
    </w:p>
    <w:p w14:paraId="1D91D87B" w14:textId="7F2AB5A8" w:rsidR="00994BF8" w:rsidRDefault="00994BF8" w:rsidP="00587C0F">
      <w:pPr>
        <w:jc w:val="both"/>
        <w:rPr>
          <w:rFonts w:asciiTheme="majorBidi" w:hAnsiTheme="majorBidi" w:cstheme="majorBidi"/>
        </w:rPr>
      </w:pPr>
    </w:p>
    <w:p w14:paraId="2487D91B" w14:textId="0AA0AA04" w:rsidR="00994BF8" w:rsidRDefault="00994BF8" w:rsidP="00587C0F">
      <w:pPr>
        <w:jc w:val="both"/>
        <w:rPr>
          <w:rFonts w:asciiTheme="majorBidi" w:hAnsiTheme="majorBidi" w:cstheme="majorBidi"/>
        </w:rPr>
      </w:pPr>
    </w:p>
    <w:p w14:paraId="50A720B0" w14:textId="369DD37C" w:rsidR="00994BF8" w:rsidRDefault="00994BF8" w:rsidP="00587C0F">
      <w:pPr>
        <w:jc w:val="both"/>
        <w:rPr>
          <w:rFonts w:asciiTheme="majorBidi" w:hAnsiTheme="majorBidi" w:cstheme="majorBidi"/>
        </w:rPr>
      </w:pPr>
    </w:p>
    <w:p w14:paraId="5FC703D4" w14:textId="70EAB64D" w:rsidR="00994BF8" w:rsidRDefault="00994BF8" w:rsidP="00587C0F">
      <w:pPr>
        <w:jc w:val="both"/>
        <w:rPr>
          <w:rFonts w:asciiTheme="majorBidi" w:hAnsiTheme="majorBidi" w:cstheme="majorBidi"/>
        </w:rPr>
      </w:pPr>
    </w:p>
    <w:p w14:paraId="7760A374" w14:textId="516B802B" w:rsidR="00994BF8" w:rsidRDefault="00994BF8" w:rsidP="00587C0F">
      <w:pPr>
        <w:jc w:val="both"/>
        <w:rPr>
          <w:rFonts w:asciiTheme="majorBidi" w:hAnsiTheme="majorBidi" w:cstheme="majorBidi"/>
        </w:rPr>
      </w:pPr>
    </w:p>
    <w:p w14:paraId="2420C22C" w14:textId="17C5CF94" w:rsidR="00994BF8" w:rsidRDefault="00994BF8" w:rsidP="00587C0F">
      <w:pPr>
        <w:jc w:val="both"/>
        <w:rPr>
          <w:rFonts w:asciiTheme="majorBidi" w:hAnsiTheme="majorBidi" w:cstheme="majorBidi"/>
        </w:rPr>
      </w:pPr>
    </w:p>
    <w:p w14:paraId="1AB92015" w14:textId="4B108BC3" w:rsidR="00994BF8" w:rsidRDefault="00994BF8" w:rsidP="00587C0F">
      <w:pPr>
        <w:jc w:val="both"/>
        <w:rPr>
          <w:rFonts w:asciiTheme="majorBidi" w:hAnsiTheme="majorBidi" w:cstheme="majorBidi"/>
        </w:rPr>
      </w:pPr>
    </w:p>
    <w:p w14:paraId="54CE9247" w14:textId="13CE90DA" w:rsidR="00994BF8" w:rsidRDefault="00994BF8" w:rsidP="00587C0F">
      <w:pPr>
        <w:jc w:val="both"/>
        <w:rPr>
          <w:rFonts w:asciiTheme="majorBidi" w:hAnsiTheme="majorBidi" w:cstheme="majorBidi"/>
        </w:rPr>
      </w:pPr>
    </w:p>
    <w:p w14:paraId="7697B39D" w14:textId="77777777" w:rsidR="00994BF8" w:rsidRPr="00B31DBF" w:rsidRDefault="00994BF8" w:rsidP="00587C0F">
      <w:pPr>
        <w:jc w:val="both"/>
        <w:rPr>
          <w:rFonts w:asciiTheme="majorBidi" w:hAnsiTheme="majorBidi" w:cstheme="majorBidi"/>
        </w:rPr>
      </w:pPr>
    </w:p>
    <w:p w14:paraId="7976C9AB" w14:textId="77777777" w:rsidR="00D41995" w:rsidRPr="00B31DBF" w:rsidRDefault="00D41995" w:rsidP="00EE3F4D">
      <w:pPr>
        <w:jc w:val="both"/>
        <w:rPr>
          <w:rFonts w:asciiTheme="majorBidi" w:hAnsiTheme="majorBidi" w:cstheme="majorBidi"/>
        </w:rPr>
      </w:pPr>
    </w:p>
    <w:p w14:paraId="67497277" w14:textId="34068706" w:rsidR="00D41995" w:rsidRPr="00B31DBF" w:rsidRDefault="00D41995" w:rsidP="00EE3F4D">
      <w:pPr>
        <w:jc w:val="both"/>
        <w:rPr>
          <w:rFonts w:asciiTheme="majorBidi" w:hAnsiTheme="majorBidi" w:cstheme="majorBidi"/>
        </w:rPr>
        <w:sectPr w:rsidR="00D41995" w:rsidRPr="00B31DBF" w:rsidSect="00B21C6A">
          <w:type w:val="continuous"/>
          <w:pgSz w:w="11906" w:h="16838"/>
          <w:pgMar w:top="1440" w:right="1133" w:bottom="1440" w:left="1134" w:header="708" w:footer="708" w:gutter="0"/>
          <w:cols w:num="2" w:space="708"/>
          <w:docGrid w:linePitch="360"/>
        </w:sectPr>
      </w:pPr>
    </w:p>
    <w:p w14:paraId="40A25310" w14:textId="2EEBB7E5" w:rsidR="004731CA" w:rsidRPr="00B31DBF" w:rsidRDefault="004731CA" w:rsidP="004731CA">
      <w:pPr>
        <w:pStyle w:val="Heading1"/>
        <w:rPr>
          <w:rFonts w:asciiTheme="majorBidi" w:hAnsiTheme="majorBidi"/>
          <w:color w:val="auto"/>
        </w:rPr>
      </w:pPr>
      <w:r w:rsidRPr="00B31DBF">
        <w:rPr>
          <w:rFonts w:asciiTheme="majorBidi" w:hAnsiTheme="majorBidi"/>
          <w:color w:val="auto"/>
        </w:rPr>
        <w:lastRenderedPageBreak/>
        <w:t>References</w:t>
      </w:r>
    </w:p>
    <w:p w14:paraId="23FAA835" w14:textId="74AD5355" w:rsidR="004731CA" w:rsidRPr="00B31DBF" w:rsidRDefault="004731CA" w:rsidP="004731CA">
      <w:pPr>
        <w:pStyle w:val="ListParagraph"/>
        <w:numPr>
          <w:ilvl w:val="0"/>
          <w:numId w:val="4"/>
        </w:numPr>
        <w:jc w:val="both"/>
        <w:rPr>
          <w:rFonts w:asciiTheme="majorBidi" w:hAnsiTheme="majorBidi" w:cstheme="majorBidi"/>
        </w:rPr>
      </w:pPr>
      <w:r w:rsidRPr="00B31DBF">
        <w:rPr>
          <w:rFonts w:asciiTheme="majorBidi" w:hAnsiTheme="majorBidi" w:cstheme="majorBidi"/>
        </w:rPr>
        <w:t xml:space="preserve">Bureau of Economic Analysis U.S. Department of </w:t>
      </w:r>
      <w:commentRangeStart w:id="5"/>
      <w:r w:rsidRPr="00B31DBF">
        <w:rPr>
          <w:rFonts w:asciiTheme="majorBidi" w:hAnsiTheme="majorBidi" w:cstheme="majorBidi"/>
        </w:rPr>
        <w:t>Commerce</w:t>
      </w:r>
      <w:commentRangeEnd w:id="5"/>
      <w:r w:rsidR="00207EFF" w:rsidRPr="00B31DBF">
        <w:rPr>
          <w:rStyle w:val="CommentReference"/>
          <w:rFonts w:asciiTheme="majorBidi" w:hAnsiTheme="majorBidi" w:cstheme="majorBidi"/>
        </w:rPr>
        <w:commentReference w:id="5"/>
      </w:r>
      <w:r w:rsidRPr="00B31DBF">
        <w:rPr>
          <w:rFonts w:asciiTheme="majorBidi" w:hAnsiTheme="majorBidi" w:cstheme="majorBidi"/>
        </w:rPr>
        <w:t>, 2017, National Income and Product Accounts handbook, Chapter-2, p.10-p.19</w:t>
      </w:r>
    </w:p>
    <w:p w14:paraId="5D4AA5AD" w14:textId="77777777" w:rsidR="004731CA" w:rsidRPr="00B31DBF" w:rsidRDefault="004731CA" w:rsidP="004731CA">
      <w:pPr>
        <w:pStyle w:val="ListParagraph"/>
        <w:numPr>
          <w:ilvl w:val="0"/>
          <w:numId w:val="4"/>
        </w:numPr>
        <w:jc w:val="both"/>
        <w:rPr>
          <w:rFonts w:asciiTheme="majorBidi" w:hAnsiTheme="majorBidi" w:cstheme="majorBidi"/>
        </w:rPr>
      </w:pPr>
      <w:r w:rsidRPr="00B31DBF">
        <w:rPr>
          <w:rFonts w:asciiTheme="majorBidi" w:hAnsiTheme="majorBidi" w:cstheme="majorBidi"/>
        </w:rPr>
        <w:t xml:space="preserve">U.S. Bureau of Economic Analysis, Real Disposable Personal Income [DSPIC96], retrieved from FRED, Federal Reserve Bank </w:t>
      </w:r>
      <w:commentRangeStart w:id="6"/>
      <w:r w:rsidRPr="00B31DBF">
        <w:rPr>
          <w:rFonts w:asciiTheme="majorBidi" w:hAnsiTheme="majorBidi" w:cstheme="majorBidi"/>
        </w:rPr>
        <w:t>of</w:t>
      </w:r>
      <w:commentRangeEnd w:id="6"/>
      <w:r w:rsidR="00207EFF" w:rsidRPr="00B31DBF">
        <w:rPr>
          <w:rStyle w:val="CommentReference"/>
          <w:rFonts w:asciiTheme="majorBidi" w:hAnsiTheme="majorBidi" w:cstheme="majorBidi"/>
        </w:rPr>
        <w:commentReference w:id="6"/>
      </w:r>
      <w:r w:rsidRPr="00B31DBF">
        <w:rPr>
          <w:rFonts w:asciiTheme="majorBidi" w:hAnsiTheme="majorBidi" w:cstheme="majorBidi"/>
        </w:rPr>
        <w:t xml:space="preserve"> St. Louis; https://fred.stlouisfed.org/series/DSPIC96, November 30, 2018.</w:t>
      </w:r>
    </w:p>
    <w:p w14:paraId="32415EA4" w14:textId="6657BEA8" w:rsidR="00951571" w:rsidRDefault="007B0E42" w:rsidP="00042E6E">
      <w:pPr>
        <w:pStyle w:val="ListParagraph"/>
        <w:numPr>
          <w:ilvl w:val="0"/>
          <w:numId w:val="4"/>
        </w:numPr>
        <w:jc w:val="both"/>
        <w:rPr>
          <w:rFonts w:asciiTheme="majorBidi" w:hAnsiTheme="majorBidi" w:cstheme="majorBidi"/>
        </w:rPr>
      </w:pPr>
      <w:r w:rsidRPr="00B31DBF">
        <w:rPr>
          <w:rFonts w:asciiTheme="majorBidi" w:hAnsiTheme="majorBidi" w:cstheme="majorBidi"/>
        </w:rPr>
        <w:t>Ainsworth, I., 2000. E-</w:t>
      </w:r>
      <w:commentRangeStart w:id="7"/>
      <w:r w:rsidRPr="00B31DBF">
        <w:rPr>
          <w:rFonts w:asciiTheme="majorBidi" w:hAnsiTheme="majorBidi" w:cstheme="majorBidi"/>
        </w:rPr>
        <w:t>commerce</w:t>
      </w:r>
      <w:commentRangeEnd w:id="7"/>
      <w:r w:rsidR="00042E6E" w:rsidRPr="00B31DBF">
        <w:rPr>
          <w:rStyle w:val="CommentReference"/>
          <w:rFonts w:asciiTheme="majorBidi" w:hAnsiTheme="majorBidi" w:cstheme="majorBidi"/>
        </w:rPr>
        <w:commentReference w:id="7"/>
      </w:r>
      <w:r w:rsidRPr="00B31DBF">
        <w:rPr>
          <w:rFonts w:asciiTheme="majorBidi" w:hAnsiTheme="majorBidi" w:cstheme="majorBidi"/>
        </w:rPr>
        <w:t>: the wave of the future. Canadian Investment Review, 13(1), p.12.</w:t>
      </w:r>
    </w:p>
    <w:p w14:paraId="4F3A1B7B" w14:textId="4F4BCB7F" w:rsidR="002756B3" w:rsidRPr="00B31DBF" w:rsidRDefault="002756B3" w:rsidP="00042E6E">
      <w:pPr>
        <w:pStyle w:val="ListParagraph"/>
        <w:numPr>
          <w:ilvl w:val="0"/>
          <w:numId w:val="4"/>
        </w:numPr>
        <w:jc w:val="both"/>
        <w:rPr>
          <w:rFonts w:asciiTheme="majorBidi" w:hAnsiTheme="majorBidi" w:cstheme="majorBidi"/>
        </w:rPr>
      </w:pPr>
      <w:r w:rsidRPr="002756B3">
        <w:rPr>
          <w:rFonts w:asciiTheme="majorBidi" w:hAnsiTheme="majorBidi" w:cstheme="majorBidi"/>
        </w:rPr>
        <w:t xml:space="preserve">Guzman, G., 2011. Internet search </w:t>
      </w:r>
      <w:proofErr w:type="spellStart"/>
      <w:r w:rsidRPr="002756B3">
        <w:rPr>
          <w:rFonts w:asciiTheme="majorBidi" w:hAnsiTheme="majorBidi" w:cstheme="majorBidi"/>
        </w:rPr>
        <w:t>behavior</w:t>
      </w:r>
      <w:proofErr w:type="spellEnd"/>
      <w:r w:rsidRPr="002756B3">
        <w:rPr>
          <w:rFonts w:asciiTheme="majorBidi" w:hAnsiTheme="majorBidi" w:cstheme="majorBidi"/>
        </w:rPr>
        <w:t xml:space="preserve"> as an economic forecasting tool: the case of inflation expectations. Journal of economic and social measurement, 36(3), pp.119–167.</w:t>
      </w:r>
    </w:p>
    <w:p w14:paraId="4C5F66A9" w14:textId="77D0B55B" w:rsidR="00042E6E" w:rsidRPr="00B31DBF" w:rsidRDefault="00BA039B" w:rsidP="00042E6E">
      <w:pPr>
        <w:pStyle w:val="ListParagraph"/>
        <w:numPr>
          <w:ilvl w:val="0"/>
          <w:numId w:val="4"/>
        </w:numPr>
        <w:jc w:val="both"/>
        <w:rPr>
          <w:rFonts w:asciiTheme="majorBidi" w:hAnsiTheme="majorBidi" w:cstheme="majorBidi"/>
        </w:rPr>
      </w:pPr>
      <w:hyperlink r:id="rId17" w:history="1">
        <w:r w:rsidR="00EA0B9B" w:rsidRPr="00B31DBF">
          <w:rPr>
            <w:rStyle w:val="Hyperlink"/>
            <w:rFonts w:asciiTheme="majorBidi" w:hAnsiTheme="majorBidi" w:cstheme="majorBidi"/>
          </w:rPr>
          <w:t>https://www.statista.com/statistics/324582/b2c-e-commerce-as-percentage-of-gdp-usa/</w:t>
        </w:r>
      </w:hyperlink>
    </w:p>
    <w:p w14:paraId="054F4D51" w14:textId="3CD3F77C" w:rsidR="00EA0B9B" w:rsidRPr="00B31DBF" w:rsidRDefault="00BA039B" w:rsidP="00042E6E">
      <w:pPr>
        <w:pStyle w:val="ListParagraph"/>
        <w:numPr>
          <w:ilvl w:val="0"/>
          <w:numId w:val="4"/>
        </w:numPr>
        <w:jc w:val="both"/>
        <w:rPr>
          <w:rFonts w:asciiTheme="majorBidi" w:hAnsiTheme="majorBidi" w:cstheme="majorBidi"/>
        </w:rPr>
      </w:pPr>
      <w:hyperlink r:id="rId18" w:history="1">
        <w:r w:rsidR="00EA0B9B" w:rsidRPr="00B31DBF">
          <w:rPr>
            <w:rStyle w:val="Hyperlink"/>
            <w:rFonts w:asciiTheme="majorBidi" w:hAnsiTheme="majorBidi" w:cstheme="majorBidi"/>
          </w:rPr>
          <w:t>https://www.businessinsider.com/biggest-online-shopping-sites-list-2018-4?r=US&amp;IR=T</w:t>
        </w:r>
      </w:hyperlink>
    </w:p>
    <w:p w14:paraId="2BF6E403" w14:textId="22432A7F" w:rsidR="00EA0B9B" w:rsidRPr="00B31DBF" w:rsidRDefault="00BA039B" w:rsidP="00042E6E">
      <w:pPr>
        <w:pStyle w:val="ListParagraph"/>
        <w:numPr>
          <w:ilvl w:val="0"/>
          <w:numId w:val="4"/>
        </w:numPr>
        <w:jc w:val="both"/>
        <w:rPr>
          <w:rFonts w:asciiTheme="majorBidi" w:hAnsiTheme="majorBidi" w:cstheme="majorBidi"/>
        </w:rPr>
      </w:pPr>
      <w:hyperlink r:id="rId19" w:history="1">
        <w:r w:rsidR="00846586" w:rsidRPr="00B31DBF">
          <w:rPr>
            <w:rStyle w:val="Hyperlink"/>
            <w:rFonts w:asciiTheme="majorBidi" w:hAnsiTheme="majorBidi" w:cstheme="majorBidi"/>
          </w:rPr>
          <w:t>https://www.emarketer.com/Chart/Top-10-US-Companies-Ranked-by-Retail-Ecommerce-Sales-Share-2018-of-US-retail-ecommerce-sales/220521</w:t>
        </w:r>
      </w:hyperlink>
    </w:p>
    <w:p w14:paraId="1FF9C246" w14:textId="77777777" w:rsidR="00846586" w:rsidRPr="00B31DBF" w:rsidRDefault="00846586" w:rsidP="00042E6E">
      <w:pPr>
        <w:pStyle w:val="ListParagraph"/>
        <w:numPr>
          <w:ilvl w:val="0"/>
          <w:numId w:val="4"/>
        </w:numPr>
        <w:jc w:val="both"/>
        <w:rPr>
          <w:rFonts w:asciiTheme="majorBidi" w:hAnsiTheme="majorBidi" w:cstheme="majorBidi"/>
        </w:rPr>
      </w:pPr>
    </w:p>
    <w:sectPr w:rsidR="00846586" w:rsidRPr="00B31DBF" w:rsidSect="004731CA">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Shervin Rad" w:date="2019-01-17T22:16:00Z" w:initials="SR">
    <w:p w14:paraId="64BE9304" w14:textId="77777777" w:rsidR="00F8689D" w:rsidRDefault="00F8689D">
      <w:pPr>
        <w:pStyle w:val="CommentText"/>
      </w:pPr>
      <w:r>
        <w:rPr>
          <w:rStyle w:val="CommentReference"/>
        </w:rPr>
        <w:annotationRef/>
      </w:r>
      <w:r>
        <w:t xml:space="preserve">So which ones will you choose? </w:t>
      </w:r>
    </w:p>
    <w:p w14:paraId="6ADE56C1" w14:textId="77777777" w:rsidR="00F8689D" w:rsidRDefault="00F8689D">
      <w:pPr>
        <w:pStyle w:val="CommentText"/>
      </w:pPr>
    </w:p>
    <w:p w14:paraId="34125D2E" w14:textId="77777777" w:rsidR="00F8689D" w:rsidRDefault="00F8689D">
      <w:pPr>
        <w:pStyle w:val="CommentText"/>
      </w:pPr>
      <w:r>
        <w:t xml:space="preserve">Am, eb, </w:t>
      </w:r>
      <w:proofErr w:type="spellStart"/>
      <w:r>
        <w:t>wal</w:t>
      </w:r>
      <w:proofErr w:type="spellEnd"/>
      <w:r>
        <w:t>, target, Costco all on SP500 (justify why sp500</w:t>
      </w:r>
    </w:p>
    <w:p w14:paraId="5D03F47C" w14:textId="5C6D37E7" w:rsidR="00F8689D" w:rsidRDefault="00F8689D">
      <w:pPr>
        <w:pStyle w:val="CommentText"/>
      </w:pPr>
      <w:r>
        <w:t xml:space="preserve">And </w:t>
      </w:r>
      <w:proofErr w:type="spellStart"/>
      <w:r>
        <w:t>theyre</w:t>
      </w:r>
      <w:proofErr w:type="spellEnd"/>
      <w:r>
        <w:t xml:space="preserve"> also all large sellers by rev</w:t>
      </w:r>
      <w:bookmarkStart w:id="1" w:name="_GoBack"/>
      <w:bookmarkEnd w:id="1"/>
    </w:p>
  </w:comment>
  <w:comment w:id="2" w:author="Shervin Rad" w:date="2019-01-14T00:33:00Z" w:initials="SR">
    <w:p w14:paraId="58DD567F" w14:textId="0754DE91" w:rsidR="00483F4F" w:rsidRDefault="00F863DF">
      <w:pPr>
        <w:pStyle w:val="CommentText"/>
      </w:pPr>
      <w:r>
        <w:t xml:space="preserve">What are you doing differently by looking at CPI with </w:t>
      </w:r>
      <w:proofErr w:type="gramStart"/>
      <w:r>
        <w:t>retail</w:t>
      </w:r>
      <w:proofErr w:type="gramEnd"/>
      <w:r>
        <w:t xml:space="preserve"> </w:t>
      </w:r>
    </w:p>
  </w:comment>
  <w:comment w:id="3" w:author="Shervin Rad" w:date="2019-01-14T00:36:00Z" w:initials="SR">
    <w:p w14:paraId="0C4260C8" w14:textId="036E6C68" w:rsidR="00483F4F" w:rsidRDefault="00483F4F">
      <w:pPr>
        <w:pStyle w:val="CommentText"/>
      </w:pPr>
      <w:r>
        <w:rPr>
          <w:rStyle w:val="CommentReference"/>
        </w:rPr>
        <w:annotationRef/>
      </w:r>
      <w:r>
        <w:t>We are now looking into managers sentiment on the production side. Why is this better?</w:t>
      </w:r>
    </w:p>
  </w:comment>
  <w:comment w:id="4" w:author="Shervin Rad" w:date="2019-01-16T00:20:00Z" w:initials="SR">
    <w:p w14:paraId="1B56356A" w14:textId="1513811F" w:rsidR="00DB1334" w:rsidRDefault="00DB1334">
      <w:pPr>
        <w:pStyle w:val="CommentText"/>
      </w:pPr>
      <w:r>
        <w:rPr>
          <w:rStyle w:val="CommentReference"/>
        </w:rPr>
        <w:annotationRef/>
      </w:r>
      <w:r>
        <w:t xml:space="preserve">Is this relevant to our paper? Maybe </w:t>
      </w:r>
      <w:proofErr w:type="spellStart"/>
      <w:r>
        <w:t>youre</w:t>
      </w:r>
      <w:proofErr w:type="spellEnd"/>
      <w:r>
        <w:t xml:space="preserve"> getting carried away</w:t>
      </w:r>
    </w:p>
  </w:comment>
  <w:comment w:id="5" w:author="Shervin Rad" w:date="2019-01-13T14:26:00Z" w:initials="SR">
    <w:p w14:paraId="5A605E01" w14:textId="7764B93E" w:rsidR="00FF0A7F" w:rsidRDefault="00FF0A7F">
      <w:pPr>
        <w:pStyle w:val="CommentText"/>
      </w:pPr>
      <w:r>
        <w:rPr>
          <w:rStyle w:val="CommentReference"/>
        </w:rPr>
        <w:annotationRef/>
      </w:r>
      <w:r>
        <w:t>SNA rulebook</w:t>
      </w:r>
    </w:p>
  </w:comment>
  <w:comment w:id="6" w:author="Shervin Rad" w:date="2019-01-13T14:26:00Z" w:initials="SR">
    <w:p w14:paraId="5BDF69EC" w14:textId="0D03805E" w:rsidR="00FF0A7F" w:rsidRDefault="00FF0A7F">
      <w:pPr>
        <w:pStyle w:val="CommentText"/>
      </w:pPr>
      <w:r>
        <w:rPr>
          <w:rStyle w:val="CommentReference"/>
        </w:rPr>
        <w:annotationRef/>
      </w:r>
      <w:r>
        <w:t>Where I got RDPI from</w:t>
      </w:r>
    </w:p>
  </w:comment>
  <w:comment w:id="7" w:author="Shervin Rad" w:date="2019-01-14T00:05:00Z" w:initials="SR">
    <w:p w14:paraId="29AB93FD" w14:textId="77777777" w:rsidR="00FF0A7F" w:rsidRDefault="00FF0A7F">
      <w:pPr>
        <w:pStyle w:val="CommentText"/>
      </w:pPr>
      <w:r>
        <w:rPr>
          <w:rStyle w:val="CommentReference"/>
        </w:rPr>
        <w:annotationRef/>
      </w:r>
      <w:r>
        <w:t xml:space="preserve">Justification of why I chose e-commerce </w:t>
      </w:r>
    </w:p>
    <w:p w14:paraId="02F22CB4" w14:textId="183E50B9" w:rsidR="00FF0A7F" w:rsidRDefault="00FF0A7F">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D03F47C" w15:done="0"/>
  <w15:commentEx w15:paraId="58DD567F" w15:done="0"/>
  <w15:commentEx w15:paraId="0C4260C8" w15:done="0"/>
  <w15:commentEx w15:paraId="1B56356A" w15:done="0"/>
  <w15:commentEx w15:paraId="5A605E01" w15:done="0"/>
  <w15:commentEx w15:paraId="5BDF69EC" w15:done="0"/>
  <w15:commentEx w15:paraId="02F22CB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D03F47C" w16cid:durableId="1FEB7D2D"/>
  <w16cid:commentId w16cid:paraId="58DD567F" w16cid:durableId="1FE6576D"/>
  <w16cid:commentId w16cid:paraId="0C4260C8" w16cid:durableId="1FE657F9"/>
  <w16cid:commentId w16cid:paraId="1B56356A" w16cid:durableId="1FE8F73D"/>
  <w16cid:commentId w16cid:paraId="5A605E01" w16cid:durableId="1FE5C91C"/>
  <w16cid:commentId w16cid:paraId="5BDF69EC" w16cid:durableId="1FE5C90B"/>
  <w16cid:commentId w16cid:paraId="02F22CB4" w16cid:durableId="1FE650C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81CA57" w14:textId="77777777" w:rsidR="00BA039B" w:rsidRDefault="00BA039B" w:rsidP="006268AB">
      <w:pPr>
        <w:spacing w:after="0" w:line="240" w:lineRule="auto"/>
      </w:pPr>
      <w:r>
        <w:separator/>
      </w:r>
    </w:p>
  </w:endnote>
  <w:endnote w:type="continuationSeparator" w:id="0">
    <w:p w14:paraId="212DB28B" w14:textId="77777777" w:rsidR="00BA039B" w:rsidRDefault="00BA039B" w:rsidP="006268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D52D1B" w14:textId="77777777" w:rsidR="00BA039B" w:rsidRDefault="00BA039B" w:rsidP="006268AB">
      <w:pPr>
        <w:spacing w:after="0" w:line="240" w:lineRule="auto"/>
      </w:pPr>
      <w:r>
        <w:separator/>
      </w:r>
    </w:p>
  </w:footnote>
  <w:footnote w:type="continuationSeparator" w:id="0">
    <w:p w14:paraId="18BF159D" w14:textId="77777777" w:rsidR="00BA039B" w:rsidRDefault="00BA039B" w:rsidP="006268AB">
      <w:pPr>
        <w:spacing w:after="0" w:line="240" w:lineRule="auto"/>
      </w:pPr>
      <w:r>
        <w:continuationSeparator/>
      </w:r>
    </w:p>
  </w:footnote>
  <w:footnote w:id="1">
    <w:p w14:paraId="0773C17E" w14:textId="72B9485A" w:rsidR="00FF0A7F" w:rsidRDefault="00FF0A7F" w:rsidP="00624137">
      <w:pPr>
        <w:pStyle w:val="FootnoteText"/>
        <w:jc w:val="both"/>
      </w:pPr>
      <w:r>
        <w:rPr>
          <w:rStyle w:val="FootnoteReference"/>
        </w:rPr>
        <w:footnoteRef/>
      </w:r>
      <w:r>
        <w:t xml:space="preserve"> The top 10 grossing retailers table excludes private companies, includes all internet transactions regardless of method of payment or fulfilment (standing order payments).</w:t>
      </w:r>
    </w:p>
  </w:footnote>
  <w:footnote w:id="2">
    <w:p w14:paraId="7ED2BA7D" w14:textId="14370E60" w:rsidR="00FF0A7F" w:rsidRDefault="00FF0A7F" w:rsidP="00846586">
      <w:pPr>
        <w:pStyle w:val="FootnoteText"/>
        <w:jc w:val="both"/>
      </w:pPr>
      <w:r>
        <w:rPr>
          <w:rStyle w:val="FootnoteReference"/>
        </w:rPr>
        <w:footnoteRef/>
      </w:r>
      <w:r>
        <w:t xml:space="preserve"> Note that the websites domain (.com) has been removed when selecting the search term as it does not represent the true searches made by users. </w:t>
      </w:r>
    </w:p>
    <w:p w14:paraId="1F2F400F" w14:textId="77777777" w:rsidR="00624137" w:rsidRDefault="00624137" w:rsidP="00EC285A">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098E13" w14:textId="7F1B6228" w:rsidR="00FF0A7F" w:rsidRDefault="00BA039B">
    <w:pPr>
      <w:pStyle w:val="Header"/>
    </w:pPr>
    <w:sdt>
      <w:sdtPr>
        <w:id w:val="1704979692"/>
        <w:placeholder>
          <w:docPart w:val="472C80C7204D4A00B7A17AE3BA9D087C"/>
        </w:placeholder>
        <w:temporary/>
        <w:showingPlcHdr/>
        <w15:appearance w15:val="hidden"/>
      </w:sdtPr>
      <w:sdtEndPr/>
      <w:sdtContent>
        <w:r w:rsidR="00FF0A7F">
          <w:t>[Type here]</w:t>
        </w:r>
      </w:sdtContent>
    </w:sdt>
    <w:r w:rsidR="00FF0A7F">
      <w:ptab w:relativeTo="margin" w:alignment="center" w:leader="none"/>
    </w:r>
    <w:sdt>
      <w:sdtPr>
        <w:id w:val="968859947"/>
        <w:placeholder>
          <w:docPart w:val="472C80C7204D4A00B7A17AE3BA9D087C"/>
        </w:placeholder>
        <w:temporary/>
        <w:showingPlcHdr/>
        <w15:appearance w15:val="hidden"/>
      </w:sdtPr>
      <w:sdtEndPr/>
      <w:sdtContent>
        <w:r w:rsidR="00FF0A7F">
          <w:t>[Type here]</w:t>
        </w:r>
      </w:sdtContent>
    </w:sdt>
    <w:r w:rsidR="00FF0A7F">
      <w:ptab w:relativeTo="margin" w:alignment="right" w:leader="none"/>
    </w:r>
    <w:sdt>
      <w:sdtPr>
        <w:id w:val="968859952"/>
        <w:placeholder>
          <w:docPart w:val="472C80C7204D4A00B7A17AE3BA9D087C"/>
        </w:placeholder>
        <w:temporary/>
        <w:showingPlcHdr/>
        <w15:appearance w15:val="hidden"/>
      </w:sdtPr>
      <w:sdtEndPr/>
      <w:sdtContent>
        <w:r w:rsidR="00FF0A7F">
          <w:t>[Type here]</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D932CF"/>
    <w:multiLevelType w:val="hybridMultilevel"/>
    <w:tmpl w:val="B5FC271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 w15:restartNumberingAfterBreak="0">
    <w:nsid w:val="3D3314A2"/>
    <w:multiLevelType w:val="hybridMultilevel"/>
    <w:tmpl w:val="0BDEB4E4"/>
    <w:lvl w:ilvl="0" w:tplc="08090001">
      <w:start w:val="1"/>
      <w:numFmt w:val="bullet"/>
      <w:lvlText w:val=""/>
      <w:lvlJc w:val="left"/>
      <w:pPr>
        <w:ind w:left="720" w:hanging="360"/>
      </w:pPr>
      <w:rPr>
        <w:rFonts w:ascii="Symbol" w:hAnsi="Symbol"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 w15:restartNumberingAfterBreak="0">
    <w:nsid w:val="55333F09"/>
    <w:multiLevelType w:val="multilevel"/>
    <w:tmpl w:val="83BC4B9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1"/>
  </w:num>
  <w:num w:numId="2">
    <w:abstractNumId w:val="2"/>
  </w:num>
  <w:num w:numId="3">
    <w:abstractNumId w:val="1"/>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hervin Rad">
    <w15:presenceInfo w15:providerId="Windows Live" w15:userId="b9399b0f08fa97c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08B"/>
    <w:rsid w:val="00002CBF"/>
    <w:rsid w:val="00042E6E"/>
    <w:rsid w:val="000B0C6A"/>
    <w:rsid w:val="000E52F5"/>
    <w:rsid w:val="00100E92"/>
    <w:rsid w:val="001237FB"/>
    <w:rsid w:val="00135098"/>
    <w:rsid w:val="00155F18"/>
    <w:rsid w:val="00161B43"/>
    <w:rsid w:val="00170B30"/>
    <w:rsid w:val="00192C53"/>
    <w:rsid w:val="001A7615"/>
    <w:rsid w:val="001B2716"/>
    <w:rsid w:val="001B4880"/>
    <w:rsid w:val="001C0DDA"/>
    <w:rsid w:val="001C22EB"/>
    <w:rsid w:val="001E1152"/>
    <w:rsid w:val="001E7AAC"/>
    <w:rsid w:val="00206CBF"/>
    <w:rsid w:val="00207EFF"/>
    <w:rsid w:val="00223E35"/>
    <w:rsid w:val="00224CC9"/>
    <w:rsid w:val="00260152"/>
    <w:rsid w:val="002756B3"/>
    <w:rsid w:val="0028079D"/>
    <w:rsid w:val="002A5ECD"/>
    <w:rsid w:val="002A7971"/>
    <w:rsid w:val="002C161E"/>
    <w:rsid w:val="002C72D4"/>
    <w:rsid w:val="002D36B9"/>
    <w:rsid w:val="002E070F"/>
    <w:rsid w:val="003029F2"/>
    <w:rsid w:val="00310F6D"/>
    <w:rsid w:val="003214AF"/>
    <w:rsid w:val="0033048B"/>
    <w:rsid w:val="003805FF"/>
    <w:rsid w:val="0038321C"/>
    <w:rsid w:val="003A0DB7"/>
    <w:rsid w:val="003B56F6"/>
    <w:rsid w:val="003B6F2C"/>
    <w:rsid w:val="003E248F"/>
    <w:rsid w:val="003F1D25"/>
    <w:rsid w:val="0040588F"/>
    <w:rsid w:val="00407902"/>
    <w:rsid w:val="0042200C"/>
    <w:rsid w:val="00437CEA"/>
    <w:rsid w:val="00441F52"/>
    <w:rsid w:val="00463EDF"/>
    <w:rsid w:val="00470886"/>
    <w:rsid w:val="004731CA"/>
    <w:rsid w:val="00483F4F"/>
    <w:rsid w:val="004F3687"/>
    <w:rsid w:val="005069CD"/>
    <w:rsid w:val="005402F3"/>
    <w:rsid w:val="00541DC4"/>
    <w:rsid w:val="0057708B"/>
    <w:rsid w:val="00587C0F"/>
    <w:rsid w:val="005A067A"/>
    <w:rsid w:val="005A0ABE"/>
    <w:rsid w:val="005C3FCD"/>
    <w:rsid w:val="005D0952"/>
    <w:rsid w:val="0062346B"/>
    <w:rsid w:val="00624137"/>
    <w:rsid w:val="006268AB"/>
    <w:rsid w:val="006530F7"/>
    <w:rsid w:val="00653FF3"/>
    <w:rsid w:val="006557F7"/>
    <w:rsid w:val="00695955"/>
    <w:rsid w:val="006B31BE"/>
    <w:rsid w:val="006D30C0"/>
    <w:rsid w:val="006D4A35"/>
    <w:rsid w:val="00712E58"/>
    <w:rsid w:val="00713A49"/>
    <w:rsid w:val="00716555"/>
    <w:rsid w:val="00720F14"/>
    <w:rsid w:val="00727C1A"/>
    <w:rsid w:val="00730F33"/>
    <w:rsid w:val="00737AB5"/>
    <w:rsid w:val="007645DA"/>
    <w:rsid w:val="007A3A1E"/>
    <w:rsid w:val="007B0E42"/>
    <w:rsid w:val="007F42AC"/>
    <w:rsid w:val="00803102"/>
    <w:rsid w:val="00814894"/>
    <w:rsid w:val="0082627E"/>
    <w:rsid w:val="008340B0"/>
    <w:rsid w:val="00846586"/>
    <w:rsid w:val="00853A7E"/>
    <w:rsid w:val="00854BA0"/>
    <w:rsid w:val="00873BF5"/>
    <w:rsid w:val="008750C3"/>
    <w:rsid w:val="008930E9"/>
    <w:rsid w:val="008C407C"/>
    <w:rsid w:val="00915231"/>
    <w:rsid w:val="009314D9"/>
    <w:rsid w:val="009340E0"/>
    <w:rsid w:val="00951571"/>
    <w:rsid w:val="009822C5"/>
    <w:rsid w:val="009840DA"/>
    <w:rsid w:val="00994BF8"/>
    <w:rsid w:val="009A3379"/>
    <w:rsid w:val="009C5F28"/>
    <w:rsid w:val="009C79FC"/>
    <w:rsid w:val="009D14A2"/>
    <w:rsid w:val="009E2569"/>
    <w:rsid w:val="009F352B"/>
    <w:rsid w:val="009F7FF8"/>
    <w:rsid w:val="00A4487F"/>
    <w:rsid w:val="00AA19AA"/>
    <w:rsid w:val="00AC32F3"/>
    <w:rsid w:val="00AF5818"/>
    <w:rsid w:val="00B12400"/>
    <w:rsid w:val="00B21C6A"/>
    <w:rsid w:val="00B24E1C"/>
    <w:rsid w:val="00B31DBF"/>
    <w:rsid w:val="00B55C96"/>
    <w:rsid w:val="00BA039B"/>
    <w:rsid w:val="00BD26AF"/>
    <w:rsid w:val="00C10B92"/>
    <w:rsid w:val="00C41388"/>
    <w:rsid w:val="00C46300"/>
    <w:rsid w:val="00C52891"/>
    <w:rsid w:val="00C813EA"/>
    <w:rsid w:val="00C95BD4"/>
    <w:rsid w:val="00CF7155"/>
    <w:rsid w:val="00CF7773"/>
    <w:rsid w:val="00D1017D"/>
    <w:rsid w:val="00D12BBD"/>
    <w:rsid w:val="00D14566"/>
    <w:rsid w:val="00D41995"/>
    <w:rsid w:val="00D90441"/>
    <w:rsid w:val="00DB1334"/>
    <w:rsid w:val="00DB495B"/>
    <w:rsid w:val="00DB5935"/>
    <w:rsid w:val="00E04AB5"/>
    <w:rsid w:val="00E05DAD"/>
    <w:rsid w:val="00E13E31"/>
    <w:rsid w:val="00E40261"/>
    <w:rsid w:val="00E456EC"/>
    <w:rsid w:val="00E45CC7"/>
    <w:rsid w:val="00E60CED"/>
    <w:rsid w:val="00EA0663"/>
    <w:rsid w:val="00EA0B9B"/>
    <w:rsid w:val="00EC285A"/>
    <w:rsid w:val="00EE3F4D"/>
    <w:rsid w:val="00F027BD"/>
    <w:rsid w:val="00F0489E"/>
    <w:rsid w:val="00F2217C"/>
    <w:rsid w:val="00F23906"/>
    <w:rsid w:val="00F4176F"/>
    <w:rsid w:val="00F863DF"/>
    <w:rsid w:val="00F8689D"/>
    <w:rsid w:val="00FA7939"/>
    <w:rsid w:val="00FD5BE1"/>
    <w:rsid w:val="00FD77DA"/>
    <w:rsid w:val="00FF0A7F"/>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B2838"/>
  <w15:chartTrackingRefBased/>
  <w15:docId w15:val="{D4799E38-74BC-4103-AED3-835EB86DD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68A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A5EC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268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6268AB"/>
  </w:style>
  <w:style w:type="paragraph" w:styleId="Footer">
    <w:name w:val="footer"/>
    <w:basedOn w:val="Normal"/>
    <w:link w:val="FooterChar"/>
    <w:uiPriority w:val="99"/>
    <w:unhideWhenUsed/>
    <w:rsid w:val="006268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6268AB"/>
  </w:style>
  <w:style w:type="character" w:customStyle="1" w:styleId="Heading1Char">
    <w:name w:val="Heading 1 Char"/>
    <w:basedOn w:val="DefaultParagraphFont"/>
    <w:link w:val="Heading1"/>
    <w:uiPriority w:val="9"/>
    <w:rsid w:val="006268AB"/>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uiPriority w:val="99"/>
    <w:semiHidden/>
    <w:unhideWhenUsed/>
    <w:rsid w:val="00FD77DA"/>
    <w:rPr>
      <w:sz w:val="16"/>
      <w:szCs w:val="16"/>
    </w:rPr>
  </w:style>
  <w:style w:type="paragraph" w:styleId="CommentText">
    <w:name w:val="annotation text"/>
    <w:basedOn w:val="Normal"/>
    <w:link w:val="CommentTextChar"/>
    <w:uiPriority w:val="99"/>
    <w:semiHidden/>
    <w:unhideWhenUsed/>
    <w:rsid w:val="00FD77DA"/>
    <w:pPr>
      <w:spacing w:line="240" w:lineRule="auto"/>
    </w:pPr>
    <w:rPr>
      <w:sz w:val="20"/>
      <w:szCs w:val="20"/>
    </w:rPr>
  </w:style>
  <w:style w:type="character" w:customStyle="1" w:styleId="CommentTextChar">
    <w:name w:val="Comment Text Char"/>
    <w:basedOn w:val="DefaultParagraphFont"/>
    <w:link w:val="CommentText"/>
    <w:uiPriority w:val="99"/>
    <w:semiHidden/>
    <w:rsid w:val="00FD77DA"/>
    <w:rPr>
      <w:sz w:val="20"/>
      <w:szCs w:val="20"/>
    </w:rPr>
  </w:style>
  <w:style w:type="paragraph" w:styleId="CommentSubject">
    <w:name w:val="annotation subject"/>
    <w:basedOn w:val="CommentText"/>
    <w:next w:val="CommentText"/>
    <w:link w:val="CommentSubjectChar"/>
    <w:uiPriority w:val="99"/>
    <w:semiHidden/>
    <w:unhideWhenUsed/>
    <w:rsid w:val="00FD77DA"/>
    <w:rPr>
      <w:b/>
      <w:bCs/>
    </w:rPr>
  </w:style>
  <w:style w:type="character" w:customStyle="1" w:styleId="CommentSubjectChar">
    <w:name w:val="Comment Subject Char"/>
    <w:basedOn w:val="CommentTextChar"/>
    <w:link w:val="CommentSubject"/>
    <w:uiPriority w:val="99"/>
    <w:semiHidden/>
    <w:rsid w:val="00FD77DA"/>
    <w:rPr>
      <w:b/>
      <w:bCs/>
      <w:sz w:val="20"/>
      <w:szCs w:val="20"/>
    </w:rPr>
  </w:style>
  <w:style w:type="paragraph" w:styleId="BalloonText">
    <w:name w:val="Balloon Text"/>
    <w:basedOn w:val="Normal"/>
    <w:link w:val="BalloonTextChar"/>
    <w:uiPriority w:val="99"/>
    <w:semiHidden/>
    <w:unhideWhenUsed/>
    <w:rsid w:val="00FD77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D77DA"/>
    <w:rPr>
      <w:rFonts w:ascii="Segoe UI" w:hAnsi="Segoe UI" w:cs="Segoe UI"/>
      <w:sz w:val="18"/>
      <w:szCs w:val="18"/>
    </w:rPr>
  </w:style>
  <w:style w:type="character" w:customStyle="1" w:styleId="Heading2Char">
    <w:name w:val="Heading 2 Char"/>
    <w:basedOn w:val="DefaultParagraphFont"/>
    <w:link w:val="Heading2"/>
    <w:uiPriority w:val="9"/>
    <w:rsid w:val="002A5ECD"/>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A5ECD"/>
    <w:pPr>
      <w:spacing w:line="256" w:lineRule="auto"/>
      <w:ind w:left="720"/>
      <w:contextualSpacing/>
    </w:pPr>
  </w:style>
  <w:style w:type="paragraph" w:styleId="FootnoteText">
    <w:name w:val="footnote text"/>
    <w:basedOn w:val="Normal"/>
    <w:link w:val="FootnoteTextChar"/>
    <w:uiPriority w:val="99"/>
    <w:semiHidden/>
    <w:unhideWhenUsed/>
    <w:rsid w:val="0095157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51571"/>
    <w:rPr>
      <w:sz w:val="20"/>
      <w:szCs w:val="20"/>
    </w:rPr>
  </w:style>
  <w:style w:type="character" w:styleId="FootnoteReference">
    <w:name w:val="footnote reference"/>
    <w:basedOn w:val="DefaultParagraphFont"/>
    <w:uiPriority w:val="99"/>
    <w:semiHidden/>
    <w:unhideWhenUsed/>
    <w:rsid w:val="00951571"/>
    <w:rPr>
      <w:vertAlign w:val="superscript"/>
    </w:rPr>
  </w:style>
  <w:style w:type="character" w:styleId="PlaceholderText">
    <w:name w:val="Placeholder Text"/>
    <w:basedOn w:val="DefaultParagraphFont"/>
    <w:uiPriority w:val="99"/>
    <w:semiHidden/>
    <w:rsid w:val="00E13E31"/>
    <w:rPr>
      <w:color w:val="808080"/>
    </w:rPr>
  </w:style>
  <w:style w:type="character" w:styleId="Hyperlink">
    <w:name w:val="Hyperlink"/>
    <w:basedOn w:val="DefaultParagraphFont"/>
    <w:uiPriority w:val="99"/>
    <w:unhideWhenUsed/>
    <w:rsid w:val="00EA0B9B"/>
    <w:rPr>
      <w:color w:val="0563C1" w:themeColor="hyperlink"/>
      <w:u w:val="single"/>
    </w:rPr>
  </w:style>
  <w:style w:type="character" w:styleId="UnresolvedMention">
    <w:name w:val="Unresolved Mention"/>
    <w:basedOn w:val="DefaultParagraphFont"/>
    <w:uiPriority w:val="99"/>
    <w:semiHidden/>
    <w:unhideWhenUsed/>
    <w:rsid w:val="00EA0B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7970336">
      <w:bodyDiv w:val="1"/>
      <w:marLeft w:val="0"/>
      <w:marRight w:val="0"/>
      <w:marTop w:val="0"/>
      <w:marBottom w:val="0"/>
      <w:divBdr>
        <w:top w:val="none" w:sz="0" w:space="0" w:color="auto"/>
        <w:left w:val="none" w:sz="0" w:space="0" w:color="auto"/>
        <w:bottom w:val="none" w:sz="0" w:space="0" w:color="auto"/>
        <w:right w:val="none" w:sz="0" w:space="0" w:color="auto"/>
      </w:divBdr>
    </w:div>
    <w:div w:id="566644836">
      <w:bodyDiv w:val="1"/>
      <w:marLeft w:val="0"/>
      <w:marRight w:val="0"/>
      <w:marTop w:val="0"/>
      <w:marBottom w:val="0"/>
      <w:divBdr>
        <w:top w:val="none" w:sz="0" w:space="0" w:color="auto"/>
        <w:left w:val="none" w:sz="0" w:space="0" w:color="auto"/>
        <w:bottom w:val="none" w:sz="0" w:space="0" w:color="auto"/>
        <w:right w:val="none" w:sz="0" w:space="0" w:color="auto"/>
      </w:divBdr>
    </w:div>
    <w:div w:id="1299917156">
      <w:bodyDiv w:val="1"/>
      <w:marLeft w:val="0"/>
      <w:marRight w:val="0"/>
      <w:marTop w:val="0"/>
      <w:marBottom w:val="0"/>
      <w:divBdr>
        <w:top w:val="none" w:sz="0" w:space="0" w:color="auto"/>
        <w:left w:val="none" w:sz="0" w:space="0" w:color="auto"/>
        <w:bottom w:val="none" w:sz="0" w:space="0" w:color="auto"/>
        <w:right w:val="none" w:sz="0" w:space="0" w:color="auto"/>
      </w:divBdr>
    </w:div>
    <w:div w:id="1673486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chart" Target="charts/chart1.xml"/><Relationship Id="rId18" Type="http://schemas.openxmlformats.org/officeDocument/2006/relationships/hyperlink" Target="https://www.businessinsider.com/biggest-online-shopping-sites-list-2018-4?r=US&amp;IR=T" TargetMode="External"/><Relationship Id="rId3" Type="http://schemas.openxmlformats.org/officeDocument/2006/relationships/settings" Target="settings.xml"/><Relationship Id="rId21" Type="http://schemas.microsoft.com/office/2011/relationships/people" Target="people.xml"/><Relationship Id="rId7" Type="http://schemas.openxmlformats.org/officeDocument/2006/relationships/header" Target="header1.xml"/><Relationship Id="rId12" Type="http://schemas.microsoft.com/office/2016/09/relationships/commentsIds" Target="commentsIds.xml"/><Relationship Id="rId17" Type="http://schemas.openxmlformats.org/officeDocument/2006/relationships/hyperlink" Target="https://www.statista.com/statistics/324582/b2c-e-commerce-as-percentage-of-gdp-usa/" TargetMode="Externa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commentsExtended" Target="commentsExtended.xml"/><Relationship Id="rId5" Type="http://schemas.openxmlformats.org/officeDocument/2006/relationships/footnotes" Target="footnotes.xml"/><Relationship Id="rId15" Type="http://schemas.openxmlformats.org/officeDocument/2006/relationships/chart" Target="charts/chart3.xml"/><Relationship Id="rId23" Type="http://schemas.openxmlformats.org/officeDocument/2006/relationships/theme" Target="theme/theme1.xml"/><Relationship Id="rId10" Type="http://schemas.openxmlformats.org/officeDocument/2006/relationships/comments" Target="comments.xml"/><Relationship Id="rId19" Type="http://schemas.openxmlformats.org/officeDocument/2006/relationships/hyperlink" Target="https://www.emarketer.com/Chart/Top-10-US-Companies-Ranked-by-Retail-Ecommerce-Sales-Share-2018-of-US-retail-ecommerce-sales/220521" TargetMode="External"/><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chart" Target="charts/chart2.xml"/><Relationship Id="rId22" Type="http://schemas.openxmlformats.org/officeDocument/2006/relationships/glossaryDocument" Target="glossary/document.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sherv\OneDrive\Documents\GitHub\Python%20-%20Projects\Research%20Project\Data\RealDisposableIncome-2004-1_Present-Mon-US(Grab-30-11-18).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sherv\Desktop\SeriesReport-20190113183624_425bad.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UCL%20ChmEng%20Mstr\Year%204\Research%20Project\Misc\Top5-aggregate.csv"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'RealDisposableIncome-2004-1_Pre'!$B$1</c:f>
              <c:strCache>
                <c:ptCount val="1"/>
                <c:pt idx="0">
                  <c:v>DSPIC96</c:v>
                </c:pt>
              </c:strCache>
            </c:strRef>
          </c:tx>
          <c:spPr>
            <a:ln w="28575" cap="rnd">
              <a:solidFill>
                <a:schemeClr val="accent1"/>
              </a:solidFill>
              <a:round/>
            </a:ln>
            <a:effectLst/>
          </c:spPr>
          <c:marker>
            <c:symbol val="none"/>
          </c:marker>
          <c:cat>
            <c:numRef>
              <c:f>'RealDisposableIncome-2004-1_Pre'!$A$2:$A$178</c:f>
              <c:numCache>
                <c:formatCode>m/d/yyyy</c:formatCode>
                <c:ptCount val="177"/>
                <c:pt idx="0">
                  <c:v>37987</c:v>
                </c:pt>
                <c:pt idx="1">
                  <c:v>38018</c:v>
                </c:pt>
                <c:pt idx="2">
                  <c:v>38047</c:v>
                </c:pt>
                <c:pt idx="3">
                  <c:v>38078</c:v>
                </c:pt>
                <c:pt idx="4">
                  <c:v>38108</c:v>
                </c:pt>
                <c:pt idx="5">
                  <c:v>38139</c:v>
                </c:pt>
                <c:pt idx="6">
                  <c:v>38169</c:v>
                </c:pt>
                <c:pt idx="7">
                  <c:v>38200</c:v>
                </c:pt>
                <c:pt idx="8">
                  <c:v>38231</c:v>
                </c:pt>
                <c:pt idx="9">
                  <c:v>38261</c:v>
                </c:pt>
                <c:pt idx="10">
                  <c:v>38292</c:v>
                </c:pt>
                <c:pt idx="11">
                  <c:v>38322</c:v>
                </c:pt>
                <c:pt idx="12">
                  <c:v>38353</c:v>
                </c:pt>
                <c:pt idx="13">
                  <c:v>38384</c:v>
                </c:pt>
                <c:pt idx="14">
                  <c:v>38412</c:v>
                </c:pt>
                <c:pt idx="15">
                  <c:v>38443</c:v>
                </c:pt>
                <c:pt idx="16">
                  <c:v>38473</c:v>
                </c:pt>
                <c:pt idx="17">
                  <c:v>38504</c:v>
                </c:pt>
                <c:pt idx="18">
                  <c:v>38534</c:v>
                </c:pt>
                <c:pt idx="19">
                  <c:v>38565</c:v>
                </c:pt>
                <c:pt idx="20">
                  <c:v>38596</c:v>
                </c:pt>
                <c:pt idx="21">
                  <c:v>38626</c:v>
                </c:pt>
                <c:pt idx="22">
                  <c:v>38657</c:v>
                </c:pt>
                <c:pt idx="23">
                  <c:v>38687</c:v>
                </c:pt>
                <c:pt idx="24">
                  <c:v>38718</c:v>
                </c:pt>
                <c:pt idx="25">
                  <c:v>38749</c:v>
                </c:pt>
                <c:pt idx="26">
                  <c:v>38777</c:v>
                </c:pt>
                <c:pt idx="27">
                  <c:v>38808</c:v>
                </c:pt>
                <c:pt idx="28">
                  <c:v>38838</c:v>
                </c:pt>
                <c:pt idx="29">
                  <c:v>38869</c:v>
                </c:pt>
                <c:pt idx="30">
                  <c:v>38899</c:v>
                </c:pt>
                <c:pt idx="31">
                  <c:v>38930</c:v>
                </c:pt>
                <c:pt idx="32">
                  <c:v>38961</c:v>
                </c:pt>
                <c:pt idx="33">
                  <c:v>38991</c:v>
                </c:pt>
                <c:pt idx="34">
                  <c:v>39022</c:v>
                </c:pt>
                <c:pt idx="35">
                  <c:v>39052</c:v>
                </c:pt>
                <c:pt idx="36">
                  <c:v>39083</c:v>
                </c:pt>
                <c:pt idx="37">
                  <c:v>39114</c:v>
                </c:pt>
                <c:pt idx="38">
                  <c:v>39142</c:v>
                </c:pt>
                <c:pt idx="39">
                  <c:v>39173</c:v>
                </c:pt>
                <c:pt idx="40">
                  <c:v>39203</c:v>
                </c:pt>
                <c:pt idx="41">
                  <c:v>39234</c:v>
                </c:pt>
                <c:pt idx="42">
                  <c:v>39264</c:v>
                </c:pt>
                <c:pt idx="43">
                  <c:v>39295</c:v>
                </c:pt>
                <c:pt idx="44">
                  <c:v>39326</c:v>
                </c:pt>
                <c:pt idx="45">
                  <c:v>39356</c:v>
                </c:pt>
                <c:pt idx="46">
                  <c:v>39387</c:v>
                </c:pt>
                <c:pt idx="47">
                  <c:v>39417</c:v>
                </c:pt>
                <c:pt idx="48">
                  <c:v>39448</c:v>
                </c:pt>
                <c:pt idx="49">
                  <c:v>39479</c:v>
                </c:pt>
                <c:pt idx="50">
                  <c:v>39508</c:v>
                </c:pt>
                <c:pt idx="51">
                  <c:v>39539</c:v>
                </c:pt>
                <c:pt idx="52">
                  <c:v>39569</c:v>
                </c:pt>
                <c:pt idx="53">
                  <c:v>39600</c:v>
                </c:pt>
                <c:pt idx="54">
                  <c:v>39630</c:v>
                </c:pt>
                <c:pt idx="55">
                  <c:v>39661</c:v>
                </c:pt>
                <c:pt idx="56">
                  <c:v>39692</c:v>
                </c:pt>
                <c:pt idx="57">
                  <c:v>39722</c:v>
                </c:pt>
                <c:pt idx="58">
                  <c:v>39753</c:v>
                </c:pt>
                <c:pt idx="59">
                  <c:v>39783</c:v>
                </c:pt>
                <c:pt idx="60">
                  <c:v>39814</c:v>
                </c:pt>
                <c:pt idx="61">
                  <c:v>39845</c:v>
                </c:pt>
                <c:pt idx="62">
                  <c:v>39873</c:v>
                </c:pt>
                <c:pt idx="63">
                  <c:v>39904</c:v>
                </c:pt>
                <c:pt idx="64">
                  <c:v>39934</c:v>
                </c:pt>
                <c:pt idx="65">
                  <c:v>39965</c:v>
                </c:pt>
                <c:pt idx="66">
                  <c:v>39995</c:v>
                </c:pt>
                <c:pt idx="67">
                  <c:v>40026</c:v>
                </c:pt>
                <c:pt idx="68">
                  <c:v>40057</c:v>
                </c:pt>
                <c:pt idx="69">
                  <c:v>40087</c:v>
                </c:pt>
                <c:pt idx="70">
                  <c:v>40118</c:v>
                </c:pt>
                <c:pt idx="71">
                  <c:v>40148</c:v>
                </c:pt>
                <c:pt idx="72">
                  <c:v>40179</c:v>
                </c:pt>
                <c:pt idx="73">
                  <c:v>40210</c:v>
                </c:pt>
                <c:pt idx="74">
                  <c:v>40238</c:v>
                </c:pt>
                <c:pt idx="75">
                  <c:v>40269</c:v>
                </c:pt>
                <c:pt idx="76">
                  <c:v>40299</c:v>
                </c:pt>
                <c:pt idx="77">
                  <c:v>40330</c:v>
                </c:pt>
                <c:pt idx="78">
                  <c:v>40360</c:v>
                </c:pt>
                <c:pt idx="79">
                  <c:v>40391</c:v>
                </c:pt>
                <c:pt idx="80">
                  <c:v>40422</c:v>
                </c:pt>
                <c:pt idx="81">
                  <c:v>40452</c:v>
                </c:pt>
                <c:pt idx="82">
                  <c:v>40483</c:v>
                </c:pt>
                <c:pt idx="83">
                  <c:v>40513</c:v>
                </c:pt>
                <c:pt idx="84">
                  <c:v>40544</c:v>
                </c:pt>
                <c:pt idx="85">
                  <c:v>40575</c:v>
                </c:pt>
                <c:pt idx="86">
                  <c:v>40603</c:v>
                </c:pt>
                <c:pt idx="87">
                  <c:v>40634</c:v>
                </c:pt>
                <c:pt idx="88">
                  <c:v>40664</c:v>
                </c:pt>
                <c:pt idx="89">
                  <c:v>40695</c:v>
                </c:pt>
                <c:pt idx="90">
                  <c:v>40725</c:v>
                </c:pt>
                <c:pt idx="91">
                  <c:v>40756</c:v>
                </c:pt>
                <c:pt idx="92">
                  <c:v>40787</c:v>
                </c:pt>
                <c:pt idx="93">
                  <c:v>40817</c:v>
                </c:pt>
                <c:pt idx="94">
                  <c:v>40848</c:v>
                </c:pt>
                <c:pt idx="95">
                  <c:v>40878</c:v>
                </c:pt>
                <c:pt idx="96">
                  <c:v>40909</c:v>
                </c:pt>
                <c:pt idx="97">
                  <c:v>40940</c:v>
                </c:pt>
                <c:pt idx="98">
                  <c:v>40969</c:v>
                </c:pt>
                <c:pt idx="99">
                  <c:v>41000</c:v>
                </c:pt>
                <c:pt idx="100">
                  <c:v>41030</c:v>
                </c:pt>
                <c:pt idx="101">
                  <c:v>41061</c:v>
                </c:pt>
                <c:pt idx="102">
                  <c:v>41091</c:v>
                </c:pt>
                <c:pt idx="103">
                  <c:v>41122</c:v>
                </c:pt>
                <c:pt idx="104">
                  <c:v>41153</c:v>
                </c:pt>
                <c:pt idx="105">
                  <c:v>41183</c:v>
                </c:pt>
                <c:pt idx="106">
                  <c:v>41214</c:v>
                </c:pt>
                <c:pt idx="107">
                  <c:v>41244</c:v>
                </c:pt>
                <c:pt idx="108">
                  <c:v>41275</c:v>
                </c:pt>
                <c:pt idx="109">
                  <c:v>41306</c:v>
                </c:pt>
                <c:pt idx="110">
                  <c:v>41334</c:v>
                </c:pt>
                <c:pt idx="111">
                  <c:v>41365</c:v>
                </c:pt>
                <c:pt idx="112">
                  <c:v>41395</c:v>
                </c:pt>
                <c:pt idx="113">
                  <c:v>41426</c:v>
                </c:pt>
                <c:pt idx="114">
                  <c:v>41456</c:v>
                </c:pt>
                <c:pt idx="115">
                  <c:v>41487</c:v>
                </c:pt>
                <c:pt idx="116">
                  <c:v>41518</c:v>
                </c:pt>
                <c:pt idx="117">
                  <c:v>41548</c:v>
                </c:pt>
                <c:pt idx="118">
                  <c:v>41579</c:v>
                </c:pt>
                <c:pt idx="119">
                  <c:v>41609</c:v>
                </c:pt>
                <c:pt idx="120">
                  <c:v>41640</c:v>
                </c:pt>
                <c:pt idx="121">
                  <c:v>41671</c:v>
                </c:pt>
                <c:pt idx="122">
                  <c:v>41699</c:v>
                </c:pt>
                <c:pt idx="123">
                  <c:v>41730</c:v>
                </c:pt>
                <c:pt idx="124">
                  <c:v>41760</c:v>
                </c:pt>
                <c:pt idx="125">
                  <c:v>41791</c:v>
                </c:pt>
                <c:pt idx="126">
                  <c:v>41821</c:v>
                </c:pt>
                <c:pt idx="127">
                  <c:v>41852</c:v>
                </c:pt>
                <c:pt idx="128">
                  <c:v>41883</c:v>
                </c:pt>
                <c:pt idx="129">
                  <c:v>41913</c:v>
                </c:pt>
                <c:pt idx="130">
                  <c:v>41944</c:v>
                </c:pt>
                <c:pt idx="131">
                  <c:v>41974</c:v>
                </c:pt>
                <c:pt idx="132">
                  <c:v>42005</c:v>
                </c:pt>
                <c:pt idx="133">
                  <c:v>42036</c:v>
                </c:pt>
                <c:pt idx="134">
                  <c:v>42064</c:v>
                </c:pt>
                <c:pt idx="135">
                  <c:v>42095</c:v>
                </c:pt>
                <c:pt idx="136">
                  <c:v>42125</c:v>
                </c:pt>
                <c:pt idx="137">
                  <c:v>42156</c:v>
                </c:pt>
                <c:pt idx="138">
                  <c:v>42186</c:v>
                </c:pt>
                <c:pt idx="139">
                  <c:v>42217</c:v>
                </c:pt>
                <c:pt idx="140">
                  <c:v>42248</c:v>
                </c:pt>
                <c:pt idx="141">
                  <c:v>42278</c:v>
                </c:pt>
                <c:pt idx="142">
                  <c:v>42309</c:v>
                </c:pt>
                <c:pt idx="143">
                  <c:v>42339</c:v>
                </c:pt>
                <c:pt idx="144">
                  <c:v>42370</c:v>
                </c:pt>
                <c:pt idx="145">
                  <c:v>42401</c:v>
                </c:pt>
                <c:pt idx="146">
                  <c:v>42430</c:v>
                </c:pt>
                <c:pt idx="147">
                  <c:v>42461</c:v>
                </c:pt>
                <c:pt idx="148">
                  <c:v>42491</c:v>
                </c:pt>
                <c:pt idx="149">
                  <c:v>42522</c:v>
                </c:pt>
                <c:pt idx="150">
                  <c:v>42552</c:v>
                </c:pt>
                <c:pt idx="151">
                  <c:v>42583</c:v>
                </c:pt>
                <c:pt idx="152">
                  <c:v>42614</c:v>
                </c:pt>
                <c:pt idx="153">
                  <c:v>42644</c:v>
                </c:pt>
                <c:pt idx="154">
                  <c:v>42675</c:v>
                </c:pt>
                <c:pt idx="155">
                  <c:v>42705</c:v>
                </c:pt>
                <c:pt idx="156">
                  <c:v>42736</c:v>
                </c:pt>
                <c:pt idx="157">
                  <c:v>42767</c:v>
                </c:pt>
                <c:pt idx="158">
                  <c:v>42795</c:v>
                </c:pt>
                <c:pt idx="159">
                  <c:v>42826</c:v>
                </c:pt>
                <c:pt idx="160">
                  <c:v>42856</c:v>
                </c:pt>
                <c:pt idx="161">
                  <c:v>42887</c:v>
                </c:pt>
                <c:pt idx="162">
                  <c:v>42917</c:v>
                </c:pt>
                <c:pt idx="163">
                  <c:v>42948</c:v>
                </c:pt>
                <c:pt idx="164">
                  <c:v>42979</c:v>
                </c:pt>
                <c:pt idx="165">
                  <c:v>43009</c:v>
                </c:pt>
                <c:pt idx="166">
                  <c:v>43040</c:v>
                </c:pt>
                <c:pt idx="167">
                  <c:v>43070</c:v>
                </c:pt>
                <c:pt idx="168">
                  <c:v>43101</c:v>
                </c:pt>
                <c:pt idx="169">
                  <c:v>43132</c:v>
                </c:pt>
                <c:pt idx="170">
                  <c:v>43160</c:v>
                </c:pt>
                <c:pt idx="171">
                  <c:v>43191</c:v>
                </c:pt>
                <c:pt idx="172">
                  <c:v>43221</c:v>
                </c:pt>
                <c:pt idx="173">
                  <c:v>43252</c:v>
                </c:pt>
                <c:pt idx="174">
                  <c:v>43282</c:v>
                </c:pt>
                <c:pt idx="175">
                  <c:v>43313</c:v>
                </c:pt>
                <c:pt idx="176">
                  <c:v>43344</c:v>
                </c:pt>
              </c:numCache>
            </c:numRef>
          </c:cat>
          <c:val>
            <c:numRef>
              <c:f>'RealDisposableIncome-2004-1_Pre'!$B$2:$B$178</c:f>
              <c:numCache>
                <c:formatCode>General</c:formatCode>
                <c:ptCount val="177"/>
                <c:pt idx="0">
                  <c:v>10461</c:v>
                </c:pt>
                <c:pt idx="1">
                  <c:v>10479.200000000001</c:v>
                </c:pt>
                <c:pt idx="2">
                  <c:v>10522.1</c:v>
                </c:pt>
                <c:pt idx="3">
                  <c:v>10566.2</c:v>
                </c:pt>
                <c:pt idx="4">
                  <c:v>10623.7</c:v>
                </c:pt>
                <c:pt idx="5">
                  <c:v>10632.7</c:v>
                </c:pt>
                <c:pt idx="6">
                  <c:v>10654.4</c:v>
                </c:pt>
                <c:pt idx="7">
                  <c:v>10685.5</c:v>
                </c:pt>
                <c:pt idx="8">
                  <c:v>10690.7</c:v>
                </c:pt>
                <c:pt idx="9">
                  <c:v>10697.8</c:v>
                </c:pt>
                <c:pt idx="10">
                  <c:v>10670.2</c:v>
                </c:pt>
                <c:pt idx="11">
                  <c:v>11066.7</c:v>
                </c:pt>
                <c:pt idx="12">
                  <c:v>10669.4</c:v>
                </c:pt>
                <c:pt idx="13">
                  <c:v>10673.8</c:v>
                </c:pt>
                <c:pt idx="14">
                  <c:v>10711.8</c:v>
                </c:pt>
                <c:pt idx="15">
                  <c:v>10745.9</c:v>
                </c:pt>
                <c:pt idx="16">
                  <c:v>10795</c:v>
                </c:pt>
                <c:pt idx="17">
                  <c:v>10818.5</c:v>
                </c:pt>
                <c:pt idx="18">
                  <c:v>10821.3</c:v>
                </c:pt>
                <c:pt idx="19">
                  <c:v>10835.1</c:v>
                </c:pt>
                <c:pt idx="20">
                  <c:v>10798.2</c:v>
                </c:pt>
                <c:pt idx="21">
                  <c:v>10877.4</c:v>
                </c:pt>
                <c:pt idx="22">
                  <c:v>10967.9</c:v>
                </c:pt>
                <c:pt idx="23">
                  <c:v>11025.5</c:v>
                </c:pt>
                <c:pt idx="24">
                  <c:v>11137</c:v>
                </c:pt>
                <c:pt idx="25">
                  <c:v>11176.3</c:v>
                </c:pt>
                <c:pt idx="26">
                  <c:v>11196.8</c:v>
                </c:pt>
                <c:pt idx="27">
                  <c:v>11191.5</c:v>
                </c:pt>
                <c:pt idx="28">
                  <c:v>11186.7</c:v>
                </c:pt>
                <c:pt idx="29">
                  <c:v>11214</c:v>
                </c:pt>
                <c:pt idx="30">
                  <c:v>11204.8</c:v>
                </c:pt>
                <c:pt idx="31">
                  <c:v>11201.5</c:v>
                </c:pt>
                <c:pt idx="32">
                  <c:v>11272.7</c:v>
                </c:pt>
                <c:pt idx="33">
                  <c:v>11330.6</c:v>
                </c:pt>
                <c:pt idx="34">
                  <c:v>11374.6</c:v>
                </c:pt>
                <c:pt idx="35">
                  <c:v>11418.3</c:v>
                </c:pt>
                <c:pt idx="36">
                  <c:v>11429.1</c:v>
                </c:pt>
                <c:pt idx="37">
                  <c:v>11472.6</c:v>
                </c:pt>
                <c:pt idx="38">
                  <c:v>11512.3</c:v>
                </c:pt>
                <c:pt idx="39">
                  <c:v>11511.4</c:v>
                </c:pt>
                <c:pt idx="40">
                  <c:v>11504.4</c:v>
                </c:pt>
                <c:pt idx="41">
                  <c:v>11486.6</c:v>
                </c:pt>
                <c:pt idx="42">
                  <c:v>11496.2</c:v>
                </c:pt>
                <c:pt idx="43">
                  <c:v>11504.7</c:v>
                </c:pt>
                <c:pt idx="44">
                  <c:v>11532.1</c:v>
                </c:pt>
                <c:pt idx="45">
                  <c:v>11513.9</c:v>
                </c:pt>
                <c:pt idx="46">
                  <c:v>11500.4</c:v>
                </c:pt>
                <c:pt idx="47">
                  <c:v>11542.1</c:v>
                </c:pt>
                <c:pt idx="48">
                  <c:v>11553.7</c:v>
                </c:pt>
                <c:pt idx="49">
                  <c:v>11551.7</c:v>
                </c:pt>
                <c:pt idx="50">
                  <c:v>11547</c:v>
                </c:pt>
                <c:pt idx="51">
                  <c:v>11500.7</c:v>
                </c:pt>
                <c:pt idx="52">
                  <c:v>12051.9</c:v>
                </c:pt>
                <c:pt idx="53">
                  <c:v>11733</c:v>
                </c:pt>
                <c:pt idx="54">
                  <c:v>11548.3</c:v>
                </c:pt>
                <c:pt idx="55">
                  <c:v>11482.4</c:v>
                </c:pt>
                <c:pt idx="56">
                  <c:v>11514.3</c:v>
                </c:pt>
                <c:pt idx="57">
                  <c:v>11576.8</c:v>
                </c:pt>
                <c:pt idx="58">
                  <c:v>11664.4</c:v>
                </c:pt>
                <c:pt idx="59">
                  <c:v>11605.8</c:v>
                </c:pt>
                <c:pt idx="60">
                  <c:v>11646.8</c:v>
                </c:pt>
                <c:pt idx="61">
                  <c:v>11526.6</c:v>
                </c:pt>
                <c:pt idx="62">
                  <c:v>11523.2</c:v>
                </c:pt>
                <c:pt idx="63">
                  <c:v>11626.7</c:v>
                </c:pt>
                <c:pt idx="64">
                  <c:v>11819.2</c:v>
                </c:pt>
                <c:pt idx="65">
                  <c:v>11624</c:v>
                </c:pt>
                <c:pt idx="66">
                  <c:v>11570.1</c:v>
                </c:pt>
                <c:pt idx="67">
                  <c:v>11540.6</c:v>
                </c:pt>
                <c:pt idx="68">
                  <c:v>11562.2</c:v>
                </c:pt>
                <c:pt idx="69">
                  <c:v>11512.6</c:v>
                </c:pt>
                <c:pt idx="70">
                  <c:v>11544.2</c:v>
                </c:pt>
                <c:pt idx="71">
                  <c:v>11607.5</c:v>
                </c:pt>
                <c:pt idx="72">
                  <c:v>11608.6</c:v>
                </c:pt>
                <c:pt idx="73">
                  <c:v>11606.4</c:v>
                </c:pt>
                <c:pt idx="74">
                  <c:v>11644.3</c:v>
                </c:pt>
                <c:pt idx="75">
                  <c:v>11741.3</c:v>
                </c:pt>
                <c:pt idx="76">
                  <c:v>11835.7</c:v>
                </c:pt>
                <c:pt idx="77">
                  <c:v>11856.6</c:v>
                </c:pt>
                <c:pt idx="78">
                  <c:v>11876.2</c:v>
                </c:pt>
                <c:pt idx="79">
                  <c:v>11910.7</c:v>
                </c:pt>
                <c:pt idx="80">
                  <c:v>11899</c:v>
                </c:pt>
                <c:pt idx="81">
                  <c:v>11916.3</c:v>
                </c:pt>
                <c:pt idx="82">
                  <c:v>11942.6</c:v>
                </c:pt>
                <c:pt idx="83">
                  <c:v>12026.9</c:v>
                </c:pt>
                <c:pt idx="84">
                  <c:v>12076.4</c:v>
                </c:pt>
                <c:pt idx="85">
                  <c:v>12106.2</c:v>
                </c:pt>
                <c:pt idx="86">
                  <c:v>12069.3</c:v>
                </c:pt>
                <c:pt idx="87">
                  <c:v>12047</c:v>
                </c:pt>
                <c:pt idx="88">
                  <c:v>12034.6</c:v>
                </c:pt>
                <c:pt idx="89">
                  <c:v>12091</c:v>
                </c:pt>
                <c:pt idx="90">
                  <c:v>12126.4</c:v>
                </c:pt>
                <c:pt idx="91">
                  <c:v>12113.1</c:v>
                </c:pt>
                <c:pt idx="92">
                  <c:v>12091.2</c:v>
                </c:pt>
                <c:pt idx="93">
                  <c:v>12112.8</c:v>
                </c:pt>
                <c:pt idx="94">
                  <c:v>12110.5</c:v>
                </c:pt>
                <c:pt idx="95">
                  <c:v>12220.2</c:v>
                </c:pt>
                <c:pt idx="96">
                  <c:v>12311</c:v>
                </c:pt>
                <c:pt idx="97">
                  <c:v>12385.4</c:v>
                </c:pt>
                <c:pt idx="98">
                  <c:v>12429.3</c:v>
                </c:pt>
                <c:pt idx="99">
                  <c:v>12477.1</c:v>
                </c:pt>
                <c:pt idx="100">
                  <c:v>12487.5</c:v>
                </c:pt>
                <c:pt idx="101">
                  <c:v>12498.7</c:v>
                </c:pt>
                <c:pt idx="102">
                  <c:v>12410.1</c:v>
                </c:pt>
                <c:pt idx="103">
                  <c:v>12362.6</c:v>
                </c:pt>
                <c:pt idx="104">
                  <c:v>12422.5</c:v>
                </c:pt>
                <c:pt idx="105">
                  <c:v>12516.4</c:v>
                </c:pt>
                <c:pt idx="106">
                  <c:v>12693.1</c:v>
                </c:pt>
                <c:pt idx="107">
                  <c:v>13016.3</c:v>
                </c:pt>
                <c:pt idx="108">
                  <c:v>12266.8</c:v>
                </c:pt>
                <c:pt idx="109">
                  <c:v>12205.2</c:v>
                </c:pt>
                <c:pt idx="110">
                  <c:v>12223.9</c:v>
                </c:pt>
                <c:pt idx="111">
                  <c:v>12271.9</c:v>
                </c:pt>
                <c:pt idx="112">
                  <c:v>12342.2</c:v>
                </c:pt>
                <c:pt idx="113">
                  <c:v>12355</c:v>
                </c:pt>
                <c:pt idx="114">
                  <c:v>12341.5</c:v>
                </c:pt>
                <c:pt idx="115">
                  <c:v>12368.7</c:v>
                </c:pt>
                <c:pt idx="116">
                  <c:v>12418.7</c:v>
                </c:pt>
                <c:pt idx="117">
                  <c:v>12386</c:v>
                </c:pt>
                <c:pt idx="118">
                  <c:v>12425.3</c:v>
                </c:pt>
                <c:pt idx="119">
                  <c:v>12464.3</c:v>
                </c:pt>
                <c:pt idx="120">
                  <c:v>12532</c:v>
                </c:pt>
                <c:pt idx="121">
                  <c:v>12618</c:v>
                </c:pt>
                <c:pt idx="122">
                  <c:v>12693.3</c:v>
                </c:pt>
                <c:pt idx="123">
                  <c:v>12725.5</c:v>
                </c:pt>
                <c:pt idx="124">
                  <c:v>12760.6</c:v>
                </c:pt>
                <c:pt idx="125">
                  <c:v>12811.7</c:v>
                </c:pt>
                <c:pt idx="126">
                  <c:v>12854.8</c:v>
                </c:pt>
                <c:pt idx="127">
                  <c:v>12915.5</c:v>
                </c:pt>
                <c:pt idx="128">
                  <c:v>12950.4</c:v>
                </c:pt>
                <c:pt idx="129">
                  <c:v>13001.2</c:v>
                </c:pt>
                <c:pt idx="130">
                  <c:v>13055.5</c:v>
                </c:pt>
                <c:pt idx="131">
                  <c:v>13138.9</c:v>
                </c:pt>
                <c:pt idx="132">
                  <c:v>13205.4</c:v>
                </c:pt>
                <c:pt idx="133">
                  <c:v>13251.2</c:v>
                </c:pt>
                <c:pt idx="134">
                  <c:v>13223.3</c:v>
                </c:pt>
                <c:pt idx="135">
                  <c:v>13286.9</c:v>
                </c:pt>
                <c:pt idx="136">
                  <c:v>13331.7</c:v>
                </c:pt>
                <c:pt idx="137">
                  <c:v>13364.8</c:v>
                </c:pt>
                <c:pt idx="138">
                  <c:v>13404.2</c:v>
                </c:pt>
                <c:pt idx="139">
                  <c:v>13446.6</c:v>
                </c:pt>
                <c:pt idx="140">
                  <c:v>13470.3</c:v>
                </c:pt>
                <c:pt idx="141">
                  <c:v>13475.7</c:v>
                </c:pt>
                <c:pt idx="142">
                  <c:v>13447.7</c:v>
                </c:pt>
                <c:pt idx="143">
                  <c:v>13490.7</c:v>
                </c:pt>
                <c:pt idx="144">
                  <c:v>13546.5</c:v>
                </c:pt>
                <c:pt idx="145">
                  <c:v>13561.7</c:v>
                </c:pt>
                <c:pt idx="146">
                  <c:v>13578.5</c:v>
                </c:pt>
                <c:pt idx="147">
                  <c:v>13551.9</c:v>
                </c:pt>
                <c:pt idx="148">
                  <c:v>13538.2</c:v>
                </c:pt>
                <c:pt idx="149">
                  <c:v>13534.4</c:v>
                </c:pt>
                <c:pt idx="150">
                  <c:v>13571.6</c:v>
                </c:pt>
                <c:pt idx="151">
                  <c:v>13583.4</c:v>
                </c:pt>
                <c:pt idx="152">
                  <c:v>13623.7</c:v>
                </c:pt>
                <c:pt idx="153">
                  <c:v>13654.5</c:v>
                </c:pt>
                <c:pt idx="154">
                  <c:v>13688.5</c:v>
                </c:pt>
                <c:pt idx="155">
                  <c:v>13713.1</c:v>
                </c:pt>
                <c:pt idx="156">
                  <c:v>13772.9</c:v>
                </c:pt>
                <c:pt idx="157">
                  <c:v>13832.9</c:v>
                </c:pt>
                <c:pt idx="158">
                  <c:v>13900.3</c:v>
                </c:pt>
                <c:pt idx="159">
                  <c:v>13875.3</c:v>
                </c:pt>
                <c:pt idx="160">
                  <c:v>13932.5</c:v>
                </c:pt>
                <c:pt idx="161">
                  <c:v>13921.6</c:v>
                </c:pt>
                <c:pt idx="162">
                  <c:v>13961.7</c:v>
                </c:pt>
                <c:pt idx="163">
                  <c:v>13987.9</c:v>
                </c:pt>
                <c:pt idx="164">
                  <c:v>14009.2</c:v>
                </c:pt>
                <c:pt idx="165">
                  <c:v>14046.8</c:v>
                </c:pt>
                <c:pt idx="166">
                  <c:v>14060.8</c:v>
                </c:pt>
                <c:pt idx="167">
                  <c:v>14090.2</c:v>
                </c:pt>
                <c:pt idx="168">
                  <c:v>14185.7</c:v>
                </c:pt>
                <c:pt idx="169">
                  <c:v>14212.5</c:v>
                </c:pt>
                <c:pt idx="170">
                  <c:v>14261.3</c:v>
                </c:pt>
                <c:pt idx="171">
                  <c:v>14259.7</c:v>
                </c:pt>
                <c:pt idx="172">
                  <c:v>14274.3</c:v>
                </c:pt>
                <c:pt idx="173">
                  <c:v>14312</c:v>
                </c:pt>
                <c:pt idx="174">
                  <c:v>14336.4</c:v>
                </c:pt>
                <c:pt idx="175">
                  <c:v>14374</c:v>
                </c:pt>
                <c:pt idx="176">
                  <c:v>14385.7</c:v>
                </c:pt>
              </c:numCache>
            </c:numRef>
          </c:val>
          <c:smooth val="0"/>
          <c:extLst>
            <c:ext xmlns:c16="http://schemas.microsoft.com/office/drawing/2014/chart" uri="{C3380CC4-5D6E-409C-BE32-E72D297353CC}">
              <c16:uniqueId val="{00000000-5C3D-4B7D-ACA2-192FD44A6B6B}"/>
            </c:ext>
          </c:extLst>
        </c:ser>
        <c:dLbls>
          <c:showLegendKey val="0"/>
          <c:showVal val="0"/>
          <c:showCatName val="0"/>
          <c:showSerName val="0"/>
          <c:showPercent val="0"/>
          <c:showBubbleSize val="0"/>
        </c:dLbls>
        <c:smooth val="0"/>
        <c:axId val="163973832"/>
        <c:axId val="600343976"/>
      </c:lineChart>
      <c:dateAx>
        <c:axId val="163973832"/>
        <c:scaling>
          <c:orientation val="minMax"/>
        </c:scaling>
        <c:delete val="0"/>
        <c:axPos val="b"/>
        <c:numFmt formatCode="m/d/yy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0343976"/>
        <c:crosses val="autoZero"/>
        <c:auto val="1"/>
        <c:lblOffset val="100"/>
        <c:baseTimeUnit val="months"/>
      </c:dateAx>
      <c:valAx>
        <c:axId val="600343976"/>
        <c:scaling>
          <c:orientation val="minMax"/>
          <c:min val="10000"/>
        </c:scaling>
        <c:delete val="0"/>
        <c:axPos val="l"/>
        <c:majorGridlines>
          <c:spPr>
            <a:ln w="9525" cap="flat" cmpd="sng" algn="ctr">
              <a:solidFill>
                <a:schemeClr val="tx1">
                  <a:lumMod val="15000"/>
                  <a:lumOff val="85000"/>
                </a:schemeClr>
              </a:solidFill>
              <a:round/>
            </a:ln>
            <a:effectLst/>
          </c:spPr>
        </c:majorGridlines>
        <c:numFmt formatCode="[$USD]\ #,##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3973832"/>
        <c:crosses val="autoZero"/>
        <c:crossBetween val="between"/>
        <c:majorUnit val="1000"/>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spPr>
            <a:ln w="28575" cap="rnd">
              <a:solidFill>
                <a:schemeClr val="accent1"/>
              </a:solidFill>
              <a:round/>
            </a:ln>
            <a:effectLst/>
          </c:spPr>
          <c:marker>
            <c:symbol val="none"/>
          </c:marker>
          <c:cat>
            <c:numRef>
              <c:f>Sheet1!$E$15:$E$194</c:f>
              <c:numCache>
                <c:formatCode>mmm\-yy</c:formatCode>
                <c:ptCount val="180"/>
                <c:pt idx="0">
                  <c:v>37987</c:v>
                </c:pt>
                <c:pt idx="1">
                  <c:v>38018</c:v>
                </c:pt>
                <c:pt idx="2">
                  <c:v>38047</c:v>
                </c:pt>
                <c:pt idx="3">
                  <c:v>38078</c:v>
                </c:pt>
                <c:pt idx="4">
                  <c:v>38108</c:v>
                </c:pt>
                <c:pt idx="5">
                  <c:v>38139</c:v>
                </c:pt>
                <c:pt idx="6">
                  <c:v>38169</c:v>
                </c:pt>
                <c:pt idx="7">
                  <c:v>38200</c:v>
                </c:pt>
                <c:pt idx="8">
                  <c:v>38231</c:v>
                </c:pt>
                <c:pt idx="9">
                  <c:v>38261</c:v>
                </c:pt>
                <c:pt idx="10">
                  <c:v>38292</c:v>
                </c:pt>
                <c:pt idx="11">
                  <c:v>38322</c:v>
                </c:pt>
                <c:pt idx="12">
                  <c:v>38353</c:v>
                </c:pt>
                <c:pt idx="13">
                  <c:v>38384</c:v>
                </c:pt>
                <c:pt idx="14">
                  <c:v>38412</c:v>
                </c:pt>
                <c:pt idx="15">
                  <c:v>38443</c:v>
                </c:pt>
                <c:pt idx="16">
                  <c:v>38473</c:v>
                </c:pt>
                <c:pt idx="17">
                  <c:v>38504</c:v>
                </c:pt>
                <c:pt idx="18">
                  <c:v>38534</c:v>
                </c:pt>
                <c:pt idx="19">
                  <c:v>38565</c:v>
                </c:pt>
                <c:pt idx="20">
                  <c:v>38596</c:v>
                </c:pt>
                <c:pt idx="21">
                  <c:v>38626</c:v>
                </c:pt>
                <c:pt idx="22">
                  <c:v>38657</c:v>
                </c:pt>
                <c:pt idx="23">
                  <c:v>38687</c:v>
                </c:pt>
                <c:pt idx="24">
                  <c:v>38718</c:v>
                </c:pt>
                <c:pt idx="25">
                  <c:v>38749</c:v>
                </c:pt>
                <c:pt idx="26">
                  <c:v>38777</c:v>
                </c:pt>
                <c:pt idx="27">
                  <c:v>38808</c:v>
                </c:pt>
                <c:pt idx="28">
                  <c:v>38838</c:v>
                </c:pt>
                <c:pt idx="29">
                  <c:v>38869</c:v>
                </c:pt>
                <c:pt idx="30">
                  <c:v>38899</c:v>
                </c:pt>
                <c:pt idx="31">
                  <c:v>38930</c:v>
                </c:pt>
                <c:pt idx="32">
                  <c:v>38961</c:v>
                </c:pt>
                <c:pt idx="33">
                  <c:v>38991</c:v>
                </c:pt>
                <c:pt idx="34">
                  <c:v>39022</c:v>
                </c:pt>
                <c:pt idx="35">
                  <c:v>39052</c:v>
                </c:pt>
                <c:pt idx="36">
                  <c:v>39083</c:v>
                </c:pt>
                <c:pt idx="37">
                  <c:v>39114</c:v>
                </c:pt>
                <c:pt idx="38">
                  <c:v>39142</c:v>
                </c:pt>
                <c:pt idx="39">
                  <c:v>39173</c:v>
                </c:pt>
                <c:pt idx="40">
                  <c:v>39203</c:v>
                </c:pt>
                <c:pt idx="41">
                  <c:v>39234</c:v>
                </c:pt>
                <c:pt idx="42">
                  <c:v>39264</c:v>
                </c:pt>
                <c:pt idx="43">
                  <c:v>39295</c:v>
                </c:pt>
                <c:pt idx="44">
                  <c:v>39326</c:v>
                </c:pt>
                <c:pt idx="45">
                  <c:v>39356</c:v>
                </c:pt>
                <c:pt idx="46">
                  <c:v>39387</c:v>
                </c:pt>
                <c:pt idx="47">
                  <c:v>39417</c:v>
                </c:pt>
                <c:pt idx="48">
                  <c:v>39448</c:v>
                </c:pt>
                <c:pt idx="49">
                  <c:v>39479</c:v>
                </c:pt>
                <c:pt idx="50">
                  <c:v>39508</c:v>
                </c:pt>
                <c:pt idx="51">
                  <c:v>39539</c:v>
                </c:pt>
                <c:pt idx="52">
                  <c:v>39569</c:v>
                </c:pt>
                <c:pt idx="53">
                  <c:v>39600</c:v>
                </c:pt>
                <c:pt idx="54">
                  <c:v>39630</c:v>
                </c:pt>
                <c:pt idx="55">
                  <c:v>39661</c:v>
                </c:pt>
                <c:pt idx="56">
                  <c:v>39692</c:v>
                </c:pt>
                <c:pt idx="57">
                  <c:v>39722</c:v>
                </c:pt>
                <c:pt idx="58">
                  <c:v>39753</c:v>
                </c:pt>
                <c:pt idx="59">
                  <c:v>39783</c:v>
                </c:pt>
                <c:pt idx="60">
                  <c:v>39814</c:v>
                </c:pt>
                <c:pt idx="61">
                  <c:v>39845</c:v>
                </c:pt>
                <c:pt idx="62">
                  <c:v>39873</c:v>
                </c:pt>
                <c:pt idx="63">
                  <c:v>39904</c:v>
                </c:pt>
                <c:pt idx="64">
                  <c:v>39934</c:v>
                </c:pt>
                <c:pt idx="65">
                  <c:v>39965</c:v>
                </c:pt>
                <c:pt idx="66">
                  <c:v>39995</c:v>
                </c:pt>
                <c:pt idx="67">
                  <c:v>40026</c:v>
                </c:pt>
                <c:pt idx="68">
                  <c:v>40057</c:v>
                </c:pt>
                <c:pt idx="69">
                  <c:v>40087</c:v>
                </c:pt>
                <c:pt idx="70">
                  <c:v>40118</c:v>
                </c:pt>
                <c:pt idx="71">
                  <c:v>40148</c:v>
                </c:pt>
                <c:pt idx="72">
                  <c:v>40179</c:v>
                </c:pt>
                <c:pt idx="73">
                  <c:v>40210</c:v>
                </c:pt>
                <c:pt idx="74">
                  <c:v>40238</c:v>
                </c:pt>
                <c:pt idx="75">
                  <c:v>40269</c:v>
                </c:pt>
                <c:pt idx="76">
                  <c:v>40299</c:v>
                </c:pt>
                <c:pt idx="77">
                  <c:v>40330</c:v>
                </c:pt>
                <c:pt idx="78">
                  <c:v>40360</c:v>
                </c:pt>
                <c:pt idx="79">
                  <c:v>40391</c:v>
                </c:pt>
                <c:pt idx="80">
                  <c:v>40422</c:v>
                </c:pt>
                <c:pt idx="81">
                  <c:v>40452</c:v>
                </c:pt>
                <c:pt idx="82">
                  <c:v>40483</c:v>
                </c:pt>
                <c:pt idx="83">
                  <c:v>40513</c:v>
                </c:pt>
                <c:pt idx="84">
                  <c:v>40544</c:v>
                </c:pt>
                <c:pt idx="85">
                  <c:v>40575</c:v>
                </c:pt>
                <c:pt idx="86">
                  <c:v>40603</c:v>
                </c:pt>
                <c:pt idx="87">
                  <c:v>40634</c:v>
                </c:pt>
                <c:pt idx="88">
                  <c:v>40664</c:v>
                </c:pt>
                <c:pt idx="89">
                  <c:v>40695</c:v>
                </c:pt>
                <c:pt idx="90">
                  <c:v>40725</c:v>
                </c:pt>
                <c:pt idx="91">
                  <c:v>40756</c:v>
                </c:pt>
                <c:pt idx="92">
                  <c:v>40787</c:v>
                </c:pt>
                <c:pt idx="93">
                  <c:v>40817</c:v>
                </c:pt>
                <c:pt idx="94">
                  <c:v>40848</c:v>
                </c:pt>
                <c:pt idx="95">
                  <c:v>40878</c:v>
                </c:pt>
                <c:pt idx="96">
                  <c:v>40909</c:v>
                </c:pt>
                <c:pt idx="97">
                  <c:v>40940</c:v>
                </c:pt>
                <c:pt idx="98">
                  <c:v>40969</c:v>
                </c:pt>
                <c:pt idx="99">
                  <c:v>41000</c:v>
                </c:pt>
                <c:pt idx="100">
                  <c:v>41030</c:v>
                </c:pt>
                <c:pt idx="101">
                  <c:v>41061</c:v>
                </c:pt>
                <c:pt idx="102">
                  <c:v>41091</c:v>
                </c:pt>
                <c:pt idx="103">
                  <c:v>41122</c:v>
                </c:pt>
                <c:pt idx="104">
                  <c:v>41153</c:v>
                </c:pt>
                <c:pt idx="105">
                  <c:v>41183</c:v>
                </c:pt>
                <c:pt idx="106">
                  <c:v>41214</c:v>
                </c:pt>
                <c:pt idx="107">
                  <c:v>41244</c:v>
                </c:pt>
                <c:pt idx="108">
                  <c:v>41275</c:v>
                </c:pt>
                <c:pt idx="109">
                  <c:v>41306</c:v>
                </c:pt>
                <c:pt idx="110">
                  <c:v>41334</c:v>
                </c:pt>
                <c:pt idx="111">
                  <c:v>41365</c:v>
                </c:pt>
                <c:pt idx="112">
                  <c:v>41395</c:v>
                </c:pt>
                <c:pt idx="113">
                  <c:v>41426</c:v>
                </c:pt>
                <c:pt idx="114">
                  <c:v>41456</c:v>
                </c:pt>
                <c:pt idx="115">
                  <c:v>41487</c:v>
                </c:pt>
                <c:pt idx="116">
                  <c:v>41518</c:v>
                </c:pt>
                <c:pt idx="117">
                  <c:v>41548</c:v>
                </c:pt>
                <c:pt idx="118">
                  <c:v>41579</c:v>
                </c:pt>
                <c:pt idx="119">
                  <c:v>41609</c:v>
                </c:pt>
                <c:pt idx="120">
                  <c:v>41640</c:v>
                </c:pt>
                <c:pt idx="121">
                  <c:v>41671</c:v>
                </c:pt>
                <c:pt idx="122">
                  <c:v>41699</c:v>
                </c:pt>
                <c:pt idx="123">
                  <c:v>41730</c:v>
                </c:pt>
                <c:pt idx="124">
                  <c:v>41760</c:v>
                </c:pt>
                <c:pt idx="125">
                  <c:v>41791</c:v>
                </c:pt>
                <c:pt idx="126">
                  <c:v>41821</c:v>
                </c:pt>
                <c:pt idx="127">
                  <c:v>41852</c:v>
                </c:pt>
                <c:pt idx="128">
                  <c:v>41883</c:v>
                </c:pt>
                <c:pt idx="129">
                  <c:v>41913</c:v>
                </c:pt>
                <c:pt idx="130">
                  <c:v>41944</c:v>
                </c:pt>
                <c:pt idx="131">
                  <c:v>41974</c:v>
                </c:pt>
                <c:pt idx="132">
                  <c:v>42005</c:v>
                </c:pt>
                <c:pt idx="133">
                  <c:v>42036</c:v>
                </c:pt>
                <c:pt idx="134">
                  <c:v>42064</c:v>
                </c:pt>
                <c:pt idx="135">
                  <c:v>42095</c:v>
                </c:pt>
                <c:pt idx="136">
                  <c:v>42125</c:v>
                </c:pt>
                <c:pt idx="137">
                  <c:v>42156</c:v>
                </c:pt>
                <c:pt idx="138">
                  <c:v>42186</c:v>
                </c:pt>
                <c:pt idx="139">
                  <c:v>42217</c:v>
                </c:pt>
                <c:pt idx="140">
                  <c:v>42248</c:v>
                </c:pt>
                <c:pt idx="141">
                  <c:v>42278</c:v>
                </c:pt>
                <c:pt idx="142">
                  <c:v>42309</c:v>
                </c:pt>
                <c:pt idx="143">
                  <c:v>42339</c:v>
                </c:pt>
                <c:pt idx="144">
                  <c:v>42370</c:v>
                </c:pt>
                <c:pt idx="145">
                  <c:v>42401</c:v>
                </c:pt>
                <c:pt idx="146">
                  <c:v>42430</c:v>
                </c:pt>
                <c:pt idx="147">
                  <c:v>42461</c:v>
                </c:pt>
                <c:pt idx="148">
                  <c:v>42491</c:v>
                </c:pt>
                <c:pt idx="149">
                  <c:v>42522</c:v>
                </c:pt>
                <c:pt idx="150">
                  <c:v>42552</c:v>
                </c:pt>
                <c:pt idx="151">
                  <c:v>42583</c:v>
                </c:pt>
                <c:pt idx="152">
                  <c:v>42614</c:v>
                </c:pt>
                <c:pt idx="153">
                  <c:v>42644</c:v>
                </c:pt>
                <c:pt idx="154">
                  <c:v>42675</c:v>
                </c:pt>
                <c:pt idx="155">
                  <c:v>42705</c:v>
                </c:pt>
                <c:pt idx="156">
                  <c:v>42736</c:v>
                </c:pt>
                <c:pt idx="157">
                  <c:v>42767</c:v>
                </c:pt>
                <c:pt idx="158">
                  <c:v>42795</c:v>
                </c:pt>
                <c:pt idx="159">
                  <c:v>42826</c:v>
                </c:pt>
                <c:pt idx="160">
                  <c:v>42856</c:v>
                </c:pt>
                <c:pt idx="161">
                  <c:v>42887</c:v>
                </c:pt>
                <c:pt idx="162">
                  <c:v>42917</c:v>
                </c:pt>
                <c:pt idx="163">
                  <c:v>42948</c:v>
                </c:pt>
                <c:pt idx="164">
                  <c:v>42979</c:v>
                </c:pt>
                <c:pt idx="165">
                  <c:v>43009</c:v>
                </c:pt>
                <c:pt idx="166">
                  <c:v>43040</c:v>
                </c:pt>
                <c:pt idx="167">
                  <c:v>43070</c:v>
                </c:pt>
                <c:pt idx="168">
                  <c:v>43101</c:v>
                </c:pt>
                <c:pt idx="169">
                  <c:v>43132</c:v>
                </c:pt>
                <c:pt idx="170">
                  <c:v>43160</c:v>
                </c:pt>
                <c:pt idx="171">
                  <c:v>43191</c:v>
                </c:pt>
                <c:pt idx="172">
                  <c:v>43221</c:v>
                </c:pt>
                <c:pt idx="173">
                  <c:v>43252</c:v>
                </c:pt>
                <c:pt idx="174">
                  <c:v>43282</c:v>
                </c:pt>
                <c:pt idx="175">
                  <c:v>43313</c:v>
                </c:pt>
                <c:pt idx="176">
                  <c:v>43344</c:v>
                </c:pt>
                <c:pt idx="177">
                  <c:v>43374</c:v>
                </c:pt>
                <c:pt idx="178">
                  <c:v>43405</c:v>
                </c:pt>
                <c:pt idx="179">
                  <c:v>43435</c:v>
                </c:pt>
              </c:numCache>
            </c:numRef>
          </c:cat>
          <c:val>
            <c:numRef>
              <c:f>Sheet1!$F$15:$F$194</c:f>
              <c:numCache>
                <c:formatCode>General</c:formatCode>
                <c:ptCount val="180"/>
                <c:pt idx="0">
                  <c:v>1.8519999999999999</c:v>
                </c:pt>
                <c:pt idx="1">
                  <c:v>1.8619999999999999</c:v>
                </c:pt>
                <c:pt idx="2">
                  <c:v>1.8740000000000001</c:v>
                </c:pt>
                <c:pt idx="3">
                  <c:v>1.88</c:v>
                </c:pt>
                <c:pt idx="4">
                  <c:v>1.891</c:v>
                </c:pt>
                <c:pt idx="5">
                  <c:v>1.8969999999999998</c:v>
                </c:pt>
                <c:pt idx="6">
                  <c:v>1.8940000000000001</c:v>
                </c:pt>
                <c:pt idx="7">
                  <c:v>1.895</c:v>
                </c:pt>
                <c:pt idx="8">
                  <c:v>1.899</c:v>
                </c:pt>
                <c:pt idx="9">
                  <c:v>1.909</c:v>
                </c:pt>
                <c:pt idx="10">
                  <c:v>1.91</c:v>
                </c:pt>
                <c:pt idx="11">
                  <c:v>1.903</c:v>
                </c:pt>
                <c:pt idx="12">
                  <c:v>1.9069999999999998</c:v>
                </c:pt>
                <c:pt idx="13">
                  <c:v>1.9180000000000001</c:v>
                </c:pt>
                <c:pt idx="14">
                  <c:v>1.9330000000000001</c:v>
                </c:pt>
                <c:pt idx="15">
                  <c:v>1.946</c:v>
                </c:pt>
                <c:pt idx="16">
                  <c:v>1.944</c:v>
                </c:pt>
                <c:pt idx="17">
                  <c:v>1.9450000000000001</c:v>
                </c:pt>
                <c:pt idx="18">
                  <c:v>1.954</c:v>
                </c:pt>
                <c:pt idx="19">
                  <c:v>1.964</c:v>
                </c:pt>
                <c:pt idx="20">
                  <c:v>1.9880000000000002</c:v>
                </c:pt>
                <c:pt idx="21">
                  <c:v>1.992</c:v>
                </c:pt>
                <c:pt idx="22">
                  <c:v>1.976</c:v>
                </c:pt>
                <c:pt idx="23">
                  <c:v>1.9680000000000002</c:v>
                </c:pt>
                <c:pt idx="24">
                  <c:v>1.9830000000000001</c:v>
                </c:pt>
                <c:pt idx="25">
                  <c:v>1.9869999999999999</c:v>
                </c:pt>
                <c:pt idx="26">
                  <c:v>1.9980000000000002</c:v>
                </c:pt>
                <c:pt idx="27">
                  <c:v>2.0150000000000001</c:v>
                </c:pt>
                <c:pt idx="28">
                  <c:v>2.0249999999999999</c:v>
                </c:pt>
                <c:pt idx="29">
                  <c:v>2.0289999999999999</c:v>
                </c:pt>
                <c:pt idx="30">
                  <c:v>2.0350000000000001</c:v>
                </c:pt>
                <c:pt idx="31">
                  <c:v>2.0390000000000001</c:v>
                </c:pt>
                <c:pt idx="32">
                  <c:v>2.0289999999999999</c:v>
                </c:pt>
                <c:pt idx="33">
                  <c:v>2.0180000000000002</c:v>
                </c:pt>
                <c:pt idx="34">
                  <c:v>2.0150000000000001</c:v>
                </c:pt>
                <c:pt idx="35">
                  <c:v>2.0180000000000002</c:v>
                </c:pt>
                <c:pt idx="36">
                  <c:v>2.0241600000000002</c:v>
                </c:pt>
                <c:pt idx="37">
                  <c:v>2.0349900000000001</c:v>
                </c:pt>
                <c:pt idx="38">
                  <c:v>2.0535200000000002</c:v>
                </c:pt>
                <c:pt idx="39">
                  <c:v>2.0668600000000001</c:v>
                </c:pt>
                <c:pt idx="40">
                  <c:v>2.0794900000000003</c:v>
                </c:pt>
                <c:pt idx="41">
                  <c:v>2.08352</c:v>
                </c:pt>
                <c:pt idx="42">
                  <c:v>2.0829900000000001</c:v>
                </c:pt>
                <c:pt idx="43">
                  <c:v>2.07917</c:v>
                </c:pt>
                <c:pt idx="44">
                  <c:v>2.0849000000000002</c:v>
                </c:pt>
                <c:pt idx="45">
                  <c:v>2.0893600000000001</c:v>
                </c:pt>
                <c:pt idx="46">
                  <c:v>2.1017700000000001</c:v>
                </c:pt>
                <c:pt idx="47">
                  <c:v>2.1003600000000002</c:v>
                </c:pt>
                <c:pt idx="48">
                  <c:v>2.1108000000000002</c:v>
                </c:pt>
                <c:pt idx="49">
                  <c:v>2.11693</c:v>
                </c:pt>
                <c:pt idx="50">
                  <c:v>2.1352799999999998</c:v>
                </c:pt>
                <c:pt idx="51">
                  <c:v>2.1482299999999999</c:v>
                </c:pt>
                <c:pt idx="52">
                  <c:v>2.1663200000000002</c:v>
                </c:pt>
                <c:pt idx="53">
                  <c:v>2.1881499999999998</c:v>
                </c:pt>
                <c:pt idx="54">
                  <c:v>2.19964</c:v>
                </c:pt>
                <c:pt idx="55">
                  <c:v>2.1908600000000003</c:v>
                </c:pt>
                <c:pt idx="56">
                  <c:v>2.1878299999999999</c:v>
                </c:pt>
                <c:pt idx="57">
                  <c:v>2.1657299999999999</c:v>
                </c:pt>
                <c:pt idx="58">
                  <c:v>2.12425</c:v>
                </c:pt>
                <c:pt idx="59">
                  <c:v>2.1022799999999999</c:v>
                </c:pt>
                <c:pt idx="60">
                  <c:v>2.1114299999999999</c:v>
                </c:pt>
                <c:pt idx="61">
                  <c:v>2.1219300000000003</c:v>
                </c:pt>
                <c:pt idx="62">
                  <c:v>2.1270899999999999</c:v>
                </c:pt>
                <c:pt idx="63">
                  <c:v>2.1324000000000001</c:v>
                </c:pt>
                <c:pt idx="64">
                  <c:v>2.13856</c:v>
                </c:pt>
                <c:pt idx="65">
                  <c:v>2.15693</c:v>
                </c:pt>
                <c:pt idx="66">
                  <c:v>2.1535099999999998</c:v>
                </c:pt>
                <c:pt idx="67">
                  <c:v>2.1583399999999999</c:v>
                </c:pt>
                <c:pt idx="68">
                  <c:v>2.1596899999999999</c:v>
                </c:pt>
                <c:pt idx="69">
                  <c:v>2.1617699999999997</c:v>
                </c:pt>
                <c:pt idx="70">
                  <c:v>2.1633</c:v>
                </c:pt>
                <c:pt idx="71">
                  <c:v>2.1594899999999999</c:v>
                </c:pt>
                <c:pt idx="72">
                  <c:v>2.1668700000000003</c:v>
                </c:pt>
                <c:pt idx="73">
                  <c:v>2.1674100000000003</c:v>
                </c:pt>
                <c:pt idx="74">
                  <c:v>2.17631</c:v>
                </c:pt>
                <c:pt idx="75">
                  <c:v>2.1800899999999999</c:v>
                </c:pt>
                <c:pt idx="76">
                  <c:v>2.1817799999999998</c:v>
                </c:pt>
                <c:pt idx="77">
                  <c:v>2.1796500000000001</c:v>
                </c:pt>
                <c:pt idx="78">
                  <c:v>2.18011</c:v>
                </c:pt>
                <c:pt idx="79">
                  <c:v>2.1831200000000002</c:v>
                </c:pt>
                <c:pt idx="80">
                  <c:v>2.1843900000000001</c:v>
                </c:pt>
                <c:pt idx="81">
                  <c:v>2.1871100000000001</c:v>
                </c:pt>
                <c:pt idx="82">
                  <c:v>2.1880299999999999</c:v>
                </c:pt>
                <c:pt idx="83">
                  <c:v>2.1917900000000001</c:v>
                </c:pt>
                <c:pt idx="84">
                  <c:v>2.2022300000000001</c:v>
                </c:pt>
                <c:pt idx="85">
                  <c:v>2.2130899999999998</c:v>
                </c:pt>
                <c:pt idx="86">
                  <c:v>2.2346699999999999</c:v>
                </c:pt>
                <c:pt idx="87">
                  <c:v>2.2490600000000001</c:v>
                </c:pt>
                <c:pt idx="88">
                  <c:v>2.2596400000000001</c:v>
                </c:pt>
                <c:pt idx="89">
                  <c:v>2.2572200000000002</c:v>
                </c:pt>
                <c:pt idx="90">
                  <c:v>2.25922</c:v>
                </c:pt>
                <c:pt idx="91">
                  <c:v>2.26545</c:v>
                </c:pt>
                <c:pt idx="92">
                  <c:v>2.2688900000000003</c:v>
                </c:pt>
                <c:pt idx="93">
                  <c:v>2.2642099999999998</c:v>
                </c:pt>
                <c:pt idx="94">
                  <c:v>2.2622999999999998</c:v>
                </c:pt>
                <c:pt idx="95">
                  <c:v>2.2567200000000001</c:v>
                </c:pt>
                <c:pt idx="96">
                  <c:v>2.2666499999999998</c:v>
                </c:pt>
                <c:pt idx="97">
                  <c:v>2.2766299999999999</c:v>
                </c:pt>
                <c:pt idx="98">
                  <c:v>2.29392</c:v>
                </c:pt>
                <c:pt idx="99">
                  <c:v>2.3008500000000001</c:v>
                </c:pt>
                <c:pt idx="100">
                  <c:v>2.2981500000000001</c:v>
                </c:pt>
                <c:pt idx="101">
                  <c:v>2.2947800000000003</c:v>
                </c:pt>
                <c:pt idx="102">
                  <c:v>2.2910400000000002</c:v>
                </c:pt>
                <c:pt idx="103">
                  <c:v>2.3037899999999998</c:v>
                </c:pt>
                <c:pt idx="104">
                  <c:v>2.3140700000000001</c:v>
                </c:pt>
                <c:pt idx="105">
                  <c:v>2.3131699999999999</c:v>
                </c:pt>
                <c:pt idx="106">
                  <c:v>2.3022100000000001</c:v>
                </c:pt>
                <c:pt idx="107">
                  <c:v>2.2960099999999999</c:v>
                </c:pt>
                <c:pt idx="108">
                  <c:v>2.3028</c:v>
                </c:pt>
                <c:pt idx="109">
                  <c:v>2.3216600000000001</c:v>
                </c:pt>
                <c:pt idx="110">
                  <c:v>2.3277299999999999</c:v>
                </c:pt>
                <c:pt idx="111">
                  <c:v>2.32531</c:v>
                </c:pt>
                <c:pt idx="112">
                  <c:v>2.32945</c:v>
                </c:pt>
                <c:pt idx="113">
                  <c:v>2.3350399999999998</c:v>
                </c:pt>
                <c:pt idx="114">
                  <c:v>2.33596</c:v>
                </c:pt>
                <c:pt idx="115">
                  <c:v>2.3387700000000002</c:v>
                </c:pt>
                <c:pt idx="116">
                  <c:v>2.3414899999999998</c:v>
                </c:pt>
                <c:pt idx="117">
                  <c:v>2.3354599999999999</c:v>
                </c:pt>
                <c:pt idx="118">
                  <c:v>2.3306899999999997</c:v>
                </c:pt>
                <c:pt idx="119">
                  <c:v>2.3304900000000002</c:v>
                </c:pt>
                <c:pt idx="120">
                  <c:v>2.3391600000000001</c:v>
                </c:pt>
                <c:pt idx="121">
                  <c:v>2.34781</c:v>
                </c:pt>
                <c:pt idx="122">
                  <c:v>2.36293</c:v>
                </c:pt>
                <c:pt idx="123">
                  <c:v>2.3707199999999999</c:v>
                </c:pt>
                <c:pt idx="124">
                  <c:v>2.379</c:v>
                </c:pt>
                <c:pt idx="125">
                  <c:v>2.3834299999999997</c:v>
                </c:pt>
                <c:pt idx="126">
                  <c:v>2.3824999999999998</c:v>
                </c:pt>
                <c:pt idx="127">
                  <c:v>2.37852</c:v>
                </c:pt>
                <c:pt idx="128">
                  <c:v>2.3803100000000001</c:v>
                </c:pt>
                <c:pt idx="129">
                  <c:v>2.3743300000000001</c:v>
                </c:pt>
                <c:pt idx="130">
                  <c:v>2.36151</c:v>
                </c:pt>
                <c:pt idx="131">
                  <c:v>2.3481200000000002</c:v>
                </c:pt>
                <c:pt idx="132">
                  <c:v>2.3370699999999998</c:v>
                </c:pt>
                <c:pt idx="133">
                  <c:v>2.3472200000000001</c:v>
                </c:pt>
                <c:pt idx="134">
                  <c:v>2.3611900000000001</c:v>
                </c:pt>
                <c:pt idx="135">
                  <c:v>2.36599</c:v>
                </c:pt>
                <c:pt idx="136">
                  <c:v>2.37805</c:v>
                </c:pt>
                <c:pt idx="137">
                  <c:v>2.3863799999999999</c:v>
                </c:pt>
                <c:pt idx="138">
                  <c:v>2.3865400000000001</c:v>
                </c:pt>
                <c:pt idx="139">
                  <c:v>2.3831600000000002</c:v>
                </c:pt>
                <c:pt idx="140">
                  <c:v>2.3794499999999998</c:v>
                </c:pt>
                <c:pt idx="141">
                  <c:v>2.3783799999999999</c:v>
                </c:pt>
                <c:pt idx="142">
                  <c:v>2.3733599999999999</c:v>
                </c:pt>
                <c:pt idx="143">
                  <c:v>2.3652500000000001</c:v>
                </c:pt>
                <c:pt idx="144">
                  <c:v>2.3691599999999999</c:v>
                </c:pt>
                <c:pt idx="145">
                  <c:v>2.3711099999999998</c:v>
                </c:pt>
                <c:pt idx="146">
                  <c:v>2.3813200000000001</c:v>
                </c:pt>
                <c:pt idx="147">
                  <c:v>2.3926099999999999</c:v>
                </c:pt>
                <c:pt idx="148">
                  <c:v>2.4022900000000003</c:v>
                </c:pt>
                <c:pt idx="149">
                  <c:v>2.41018</c:v>
                </c:pt>
                <c:pt idx="150">
                  <c:v>2.4062799999999998</c:v>
                </c:pt>
                <c:pt idx="151">
                  <c:v>2.40849</c:v>
                </c:pt>
                <c:pt idx="152">
                  <c:v>2.4142799999999998</c:v>
                </c:pt>
                <c:pt idx="153">
                  <c:v>2.4172899999999999</c:v>
                </c:pt>
                <c:pt idx="154">
                  <c:v>2.4135300000000002</c:v>
                </c:pt>
                <c:pt idx="155">
                  <c:v>2.41432</c:v>
                </c:pt>
                <c:pt idx="156">
                  <c:v>2.4283899999999998</c:v>
                </c:pt>
                <c:pt idx="157">
                  <c:v>2.4360300000000001</c:v>
                </c:pt>
                <c:pt idx="158">
                  <c:v>2.4380099999999998</c:v>
                </c:pt>
                <c:pt idx="159">
                  <c:v>2.4452400000000001</c:v>
                </c:pt>
                <c:pt idx="160">
                  <c:v>2.44733</c:v>
                </c:pt>
                <c:pt idx="161">
                  <c:v>2.4495500000000003</c:v>
                </c:pt>
                <c:pt idx="162">
                  <c:v>2.4478599999999999</c:v>
                </c:pt>
                <c:pt idx="163">
                  <c:v>2.45519</c:v>
                </c:pt>
                <c:pt idx="164">
                  <c:v>2.4681899999999999</c:v>
                </c:pt>
                <c:pt idx="165">
                  <c:v>2.4666300000000003</c:v>
                </c:pt>
                <c:pt idx="166">
                  <c:v>2.4666900000000003</c:v>
                </c:pt>
                <c:pt idx="167">
                  <c:v>2.4652400000000001</c:v>
                </c:pt>
                <c:pt idx="168">
                  <c:v>2.4786699999999997</c:v>
                </c:pt>
                <c:pt idx="169">
                  <c:v>2.4899100000000001</c:v>
                </c:pt>
                <c:pt idx="170">
                  <c:v>2.4955400000000001</c:v>
                </c:pt>
                <c:pt idx="171">
                  <c:v>2.5054599999999998</c:v>
                </c:pt>
                <c:pt idx="172">
                  <c:v>2.5158800000000001</c:v>
                </c:pt>
                <c:pt idx="173">
                  <c:v>2.5198900000000002</c:v>
                </c:pt>
                <c:pt idx="174">
                  <c:v>2.52006</c:v>
                </c:pt>
                <c:pt idx="175">
                  <c:v>2.5214599999999998</c:v>
                </c:pt>
                <c:pt idx="176">
                  <c:v>2.5243899999999999</c:v>
                </c:pt>
                <c:pt idx="177">
                  <c:v>2.5288499999999998</c:v>
                </c:pt>
                <c:pt idx="178">
                  <c:v>2.5203800000000003</c:v>
                </c:pt>
                <c:pt idx="179">
                  <c:v>2.51233</c:v>
                </c:pt>
              </c:numCache>
            </c:numRef>
          </c:val>
          <c:smooth val="0"/>
          <c:extLst>
            <c:ext xmlns:c16="http://schemas.microsoft.com/office/drawing/2014/chart" uri="{C3380CC4-5D6E-409C-BE32-E72D297353CC}">
              <c16:uniqueId val="{00000000-B2D6-4793-BDF1-B1BC2E03F263}"/>
            </c:ext>
          </c:extLst>
        </c:ser>
        <c:dLbls>
          <c:showLegendKey val="0"/>
          <c:showVal val="0"/>
          <c:showCatName val="0"/>
          <c:showSerName val="0"/>
          <c:showPercent val="0"/>
          <c:showBubbleSize val="0"/>
        </c:dLbls>
        <c:smooth val="0"/>
        <c:axId val="522369384"/>
        <c:axId val="522359544"/>
      </c:lineChart>
      <c:dateAx>
        <c:axId val="522369384"/>
        <c:scaling>
          <c:orientation val="minMax"/>
        </c:scaling>
        <c:delete val="0"/>
        <c:axPos val="b"/>
        <c:numFmt formatCode="mmm\-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2359544"/>
        <c:crosses val="autoZero"/>
        <c:auto val="1"/>
        <c:lblOffset val="100"/>
        <c:baseTimeUnit val="months"/>
      </c:dateAx>
      <c:valAx>
        <c:axId val="522359544"/>
        <c:scaling>
          <c:orientation val="minMax"/>
          <c:min val="1.7000000000000002"/>
        </c:scaling>
        <c:delete val="0"/>
        <c:axPos val="l"/>
        <c:majorGridlines>
          <c:spPr>
            <a:ln w="9525" cap="flat" cmpd="sng" algn="ctr">
              <a:solidFill>
                <a:schemeClr val="tx1">
                  <a:lumMod val="15000"/>
                  <a:lumOff val="85000"/>
                </a:schemeClr>
              </a:solidFill>
              <a:round/>
            </a:ln>
            <a:effectLst/>
          </c:spPr>
        </c:majorGridlines>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236938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'Top5-aggregate'!$B$3</c:f>
              <c:strCache>
                <c:ptCount val="1"/>
                <c:pt idx="0">
                  <c:v>amazon + ebay + walmart + etsy + target: (United States)</c:v>
                </c:pt>
              </c:strCache>
            </c:strRef>
          </c:tx>
          <c:spPr>
            <a:ln w="28575" cap="rnd">
              <a:solidFill>
                <a:schemeClr val="accent1"/>
              </a:solidFill>
              <a:round/>
            </a:ln>
            <a:effectLst/>
          </c:spPr>
          <c:marker>
            <c:symbol val="none"/>
          </c:marker>
          <c:cat>
            <c:strRef>
              <c:f>'Top5-aggregate'!$A$4:$A$184</c:f>
              <c:strCache>
                <c:ptCount val="181"/>
                <c:pt idx="0">
                  <c:v>2004-01</c:v>
                </c:pt>
                <c:pt idx="1">
                  <c:v>2004-02</c:v>
                </c:pt>
                <c:pt idx="2">
                  <c:v>2004-03</c:v>
                </c:pt>
                <c:pt idx="3">
                  <c:v>2004-04</c:v>
                </c:pt>
                <c:pt idx="4">
                  <c:v>2004-05</c:v>
                </c:pt>
                <c:pt idx="5">
                  <c:v>2004-06</c:v>
                </c:pt>
                <c:pt idx="6">
                  <c:v>2004-07</c:v>
                </c:pt>
                <c:pt idx="7">
                  <c:v>2004-08</c:v>
                </c:pt>
                <c:pt idx="8">
                  <c:v>2004-09</c:v>
                </c:pt>
                <c:pt idx="9">
                  <c:v>2004-10</c:v>
                </c:pt>
                <c:pt idx="10">
                  <c:v>2004-11</c:v>
                </c:pt>
                <c:pt idx="11">
                  <c:v>2004-12</c:v>
                </c:pt>
                <c:pt idx="12">
                  <c:v>2005-01</c:v>
                </c:pt>
                <c:pt idx="13">
                  <c:v>2005-02</c:v>
                </c:pt>
                <c:pt idx="14">
                  <c:v>2005-03</c:v>
                </c:pt>
                <c:pt idx="15">
                  <c:v>2005-04</c:v>
                </c:pt>
                <c:pt idx="16">
                  <c:v>2005-05</c:v>
                </c:pt>
                <c:pt idx="17">
                  <c:v>2005-06</c:v>
                </c:pt>
                <c:pt idx="18">
                  <c:v>2005-07</c:v>
                </c:pt>
                <c:pt idx="19">
                  <c:v>2005-08</c:v>
                </c:pt>
                <c:pt idx="20">
                  <c:v>2005-09</c:v>
                </c:pt>
                <c:pt idx="21">
                  <c:v>2005-10</c:v>
                </c:pt>
                <c:pt idx="22">
                  <c:v>2005-11</c:v>
                </c:pt>
                <c:pt idx="23">
                  <c:v>2005-12</c:v>
                </c:pt>
                <c:pt idx="24">
                  <c:v>2006-01</c:v>
                </c:pt>
                <c:pt idx="25">
                  <c:v>2006-02</c:v>
                </c:pt>
                <c:pt idx="26">
                  <c:v>2006-03</c:v>
                </c:pt>
                <c:pt idx="27">
                  <c:v>2006-04</c:v>
                </c:pt>
                <c:pt idx="28">
                  <c:v>2006-05</c:v>
                </c:pt>
                <c:pt idx="29">
                  <c:v>2006-06</c:v>
                </c:pt>
                <c:pt idx="30">
                  <c:v>2006-07</c:v>
                </c:pt>
                <c:pt idx="31">
                  <c:v>2006-08</c:v>
                </c:pt>
                <c:pt idx="32">
                  <c:v>2006-09</c:v>
                </c:pt>
                <c:pt idx="33">
                  <c:v>2006-10</c:v>
                </c:pt>
                <c:pt idx="34">
                  <c:v>2006-11</c:v>
                </c:pt>
                <c:pt idx="35">
                  <c:v>2006-12</c:v>
                </c:pt>
                <c:pt idx="36">
                  <c:v>2007-01</c:v>
                </c:pt>
                <c:pt idx="37">
                  <c:v>2007-02</c:v>
                </c:pt>
                <c:pt idx="38">
                  <c:v>2007-03</c:v>
                </c:pt>
                <c:pt idx="39">
                  <c:v>2007-04</c:v>
                </c:pt>
                <c:pt idx="40">
                  <c:v>2007-05</c:v>
                </c:pt>
                <c:pt idx="41">
                  <c:v>2007-06</c:v>
                </c:pt>
                <c:pt idx="42">
                  <c:v>2007-07</c:v>
                </c:pt>
                <c:pt idx="43">
                  <c:v>2007-08</c:v>
                </c:pt>
                <c:pt idx="44">
                  <c:v>2007-09</c:v>
                </c:pt>
                <c:pt idx="45">
                  <c:v>2007-10</c:v>
                </c:pt>
                <c:pt idx="46">
                  <c:v>2007-11</c:v>
                </c:pt>
                <c:pt idx="47">
                  <c:v>2007-12</c:v>
                </c:pt>
                <c:pt idx="48">
                  <c:v>2008-01</c:v>
                </c:pt>
                <c:pt idx="49">
                  <c:v>2008-02</c:v>
                </c:pt>
                <c:pt idx="50">
                  <c:v>2008-03</c:v>
                </c:pt>
                <c:pt idx="51">
                  <c:v>2008-04</c:v>
                </c:pt>
                <c:pt idx="52">
                  <c:v>2008-05</c:v>
                </c:pt>
                <c:pt idx="53">
                  <c:v>2008-06</c:v>
                </c:pt>
                <c:pt idx="54">
                  <c:v>2008-07</c:v>
                </c:pt>
                <c:pt idx="55">
                  <c:v>2008-08</c:v>
                </c:pt>
                <c:pt idx="56">
                  <c:v>2008-09</c:v>
                </c:pt>
                <c:pt idx="57">
                  <c:v>2008-10</c:v>
                </c:pt>
                <c:pt idx="58">
                  <c:v>2008-11</c:v>
                </c:pt>
                <c:pt idx="59">
                  <c:v>2008-12</c:v>
                </c:pt>
                <c:pt idx="60">
                  <c:v>2009-01</c:v>
                </c:pt>
                <c:pt idx="61">
                  <c:v>2009-02</c:v>
                </c:pt>
                <c:pt idx="62">
                  <c:v>2009-03</c:v>
                </c:pt>
                <c:pt idx="63">
                  <c:v>2009-04</c:v>
                </c:pt>
                <c:pt idx="64">
                  <c:v>2009-05</c:v>
                </c:pt>
                <c:pt idx="65">
                  <c:v>2009-06</c:v>
                </c:pt>
                <c:pt idx="66">
                  <c:v>2009-07</c:v>
                </c:pt>
                <c:pt idx="67">
                  <c:v>2009-08</c:v>
                </c:pt>
                <c:pt idx="68">
                  <c:v>2009-09</c:v>
                </c:pt>
                <c:pt idx="69">
                  <c:v>2009-10</c:v>
                </c:pt>
                <c:pt idx="70">
                  <c:v>2009-11</c:v>
                </c:pt>
                <c:pt idx="71">
                  <c:v>2009-12</c:v>
                </c:pt>
                <c:pt idx="72">
                  <c:v>2010-01</c:v>
                </c:pt>
                <c:pt idx="73">
                  <c:v>2010-02</c:v>
                </c:pt>
                <c:pt idx="74">
                  <c:v>2010-03</c:v>
                </c:pt>
                <c:pt idx="75">
                  <c:v>2010-04</c:v>
                </c:pt>
                <c:pt idx="76">
                  <c:v>2010-05</c:v>
                </c:pt>
                <c:pt idx="77">
                  <c:v>2010-06</c:v>
                </c:pt>
                <c:pt idx="78">
                  <c:v>2010-07</c:v>
                </c:pt>
                <c:pt idx="79">
                  <c:v>2010-08</c:v>
                </c:pt>
                <c:pt idx="80">
                  <c:v>2010-09</c:v>
                </c:pt>
                <c:pt idx="81">
                  <c:v>2010-10</c:v>
                </c:pt>
                <c:pt idx="82">
                  <c:v>2010-11</c:v>
                </c:pt>
                <c:pt idx="83">
                  <c:v>2010-12</c:v>
                </c:pt>
                <c:pt idx="84">
                  <c:v>2011-01</c:v>
                </c:pt>
                <c:pt idx="85">
                  <c:v>2011-02</c:v>
                </c:pt>
                <c:pt idx="86">
                  <c:v>2011-03</c:v>
                </c:pt>
                <c:pt idx="87">
                  <c:v>2011-04</c:v>
                </c:pt>
                <c:pt idx="88">
                  <c:v>2011-05</c:v>
                </c:pt>
                <c:pt idx="89">
                  <c:v>2011-06</c:v>
                </c:pt>
                <c:pt idx="90">
                  <c:v>2011-07</c:v>
                </c:pt>
                <c:pt idx="91">
                  <c:v>2011-08</c:v>
                </c:pt>
                <c:pt idx="92">
                  <c:v>2011-09</c:v>
                </c:pt>
                <c:pt idx="93">
                  <c:v>2011-10</c:v>
                </c:pt>
                <c:pt idx="94">
                  <c:v>2011-11</c:v>
                </c:pt>
                <c:pt idx="95">
                  <c:v>2011-12</c:v>
                </c:pt>
                <c:pt idx="96">
                  <c:v>2012-01</c:v>
                </c:pt>
                <c:pt idx="97">
                  <c:v>2012-02</c:v>
                </c:pt>
                <c:pt idx="98">
                  <c:v>2012-03</c:v>
                </c:pt>
                <c:pt idx="99">
                  <c:v>2012-04</c:v>
                </c:pt>
                <c:pt idx="100">
                  <c:v>2012-05</c:v>
                </c:pt>
                <c:pt idx="101">
                  <c:v>2012-06</c:v>
                </c:pt>
                <c:pt idx="102">
                  <c:v>2012-07</c:v>
                </c:pt>
                <c:pt idx="103">
                  <c:v>2012-08</c:v>
                </c:pt>
                <c:pt idx="104">
                  <c:v>2012-09</c:v>
                </c:pt>
                <c:pt idx="105">
                  <c:v>2012-10</c:v>
                </c:pt>
                <c:pt idx="106">
                  <c:v>2012-11</c:v>
                </c:pt>
                <c:pt idx="107">
                  <c:v>2012-12</c:v>
                </c:pt>
                <c:pt idx="108">
                  <c:v>2013-01</c:v>
                </c:pt>
                <c:pt idx="109">
                  <c:v>2013-02</c:v>
                </c:pt>
                <c:pt idx="110">
                  <c:v>2013-03</c:v>
                </c:pt>
                <c:pt idx="111">
                  <c:v>2013-04</c:v>
                </c:pt>
                <c:pt idx="112">
                  <c:v>2013-05</c:v>
                </c:pt>
                <c:pt idx="113">
                  <c:v>2013-06</c:v>
                </c:pt>
                <c:pt idx="114">
                  <c:v>2013-07</c:v>
                </c:pt>
                <c:pt idx="115">
                  <c:v>2013-08</c:v>
                </c:pt>
                <c:pt idx="116">
                  <c:v>2013-09</c:v>
                </c:pt>
                <c:pt idx="117">
                  <c:v>2013-10</c:v>
                </c:pt>
                <c:pt idx="118">
                  <c:v>2013-11</c:v>
                </c:pt>
                <c:pt idx="119">
                  <c:v>2013-12</c:v>
                </c:pt>
                <c:pt idx="120">
                  <c:v>2014-01</c:v>
                </c:pt>
                <c:pt idx="121">
                  <c:v>2014-02</c:v>
                </c:pt>
                <c:pt idx="122">
                  <c:v>2014-03</c:v>
                </c:pt>
                <c:pt idx="123">
                  <c:v>2014-04</c:v>
                </c:pt>
                <c:pt idx="124">
                  <c:v>2014-05</c:v>
                </c:pt>
                <c:pt idx="125">
                  <c:v>2014-06</c:v>
                </c:pt>
                <c:pt idx="126">
                  <c:v>2014-07</c:v>
                </c:pt>
                <c:pt idx="127">
                  <c:v>2014-08</c:v>
                </c:pt>
                <c:pt idx="128">
                  <c:v>2014-09</c:v>
                </c:pt>
                <c:pt idx="129">
                  <c:v>2014-10</c:v>
                </c:pt>
                <c:pt idx="130">
                  <c:v>2014-11</c:v>
                </c:pt>
                <c:pt idx="131">
                  <c:v>2014-12</c:v>
                </c:pt>
                <c:pt idx="132">
                  <c:v>2015-01</c:v>
                </c:pt>
                <c:pt idx="133">
                  <c:v>2015-02</c:v>
                </c:pt>
                <c:pt idx="134">
                  <c:v>2015-03</c:v>
                </c:pt>
                <c:pt idx="135">
                  <c:v>2015-04</c:v>
                </c:pt>
                <c:pt idx="136">
                  <c:v>2015-05</c:v>
                </c:pt>
                <c:pt idx="137">
                  <c:v>2015-06</c:v>
                </c:pt>
                <c:pt idx="138">
                  <c:v>2015-07</c:v>
                </c:pt>
                <c:pt idx="139">
                  <c:v>2015-08</c:v>
                </c:pt>
                <c:pt idx="140">
                  <c:v>2015-09</c:v>
                </c:pt>
                <c:pt idx="141">
                  <c:v>2015-10</c:v>
                </c:pt>
                <c:pt idx="142">
                  <c:v>2015-11</c:v>
                </c:pt>
                <c:pt idx="143">
                  <c:v>2015-12</c:v>
                </c:pt>
                <c:pt idx="144">
                  <c:v>2016-01</c:v>
                </c:pt>
                <c:pt idx="145">
                  <c:v>2016-02</c:v>
                </c:pt>
                <c:pt idx="146">
                  <c:v>2016-03</c:v>
                </c:pt>
                <c:pt idx="147">
                  <c:v>2016-04</c:v>
                </c:pt>
                <c:pt idx="148">
                  <c:v>2016-05</c:v>
                </c:pt>
                <c:pt idx="149">
                  <c:v>2016-06</c:v>
                </c:pt>
                <c:pt idx="150">
                  <c:v>2016-07</c:v>
                </c:pt>
                <c:pt idx="151">
                  <c:v>2016-08</c:v>
                </c:pt>
                <c:pt idx="152">
                  <c:v>2016-09</c:v>
                </c:pt>
                <c:pt idx="153">
                  <c:v>2016-10</c:v>
                </c:pt>
                <c:pt idx="154">
                  <c:v>2016-11</c:v>
                </c:pt>
                <c:pt idx="155">
                  <c:v>2016-12</c:v>
                </c:pt>
                <c:pt idx="156">
                  <c:v>2017-01</c:v>
                </c:pt>
                <c:pt idx="157">
                  <c:v>2017-02</c:v>
                </c:pt>
                <c:pt idx="158">
                  <c:v>2017-03</c:v>
                </c:pt>
                <c:pt idx="159">
                  <c:v>2017-04</c:v>
                </c:pt>
                <c:pt idx="160">
                  <c:v>2017-05</c:v>
                </c:pt>
                <c:pt idx="161">
                  <c:v>2017-06</c:v>
                </c:pt>
                <c:pt idx="162">
                  <c:v>2017-07</c:v>
                </c:pt>
                <c:pt idx="163">
                  <c:v>2017-08</c:v>
                </c:pt>
                <c:pt idx="164">
                  <c:v>2017-09</c:v>
                </c:pt>
                <c:pt idx="165">
                  <c:v>2017-10</c:v>
                </c:pt>
                <c:pt idx="166">
                  <c:v>2017-11</c:v>
                </c:pt>
                <c:pt idx="167">
                  <c:v>2017-12</c:v>
                </c:pt>
                <c:pt idx="168">
                  <c:v>2018-01</c:v>
                </c:pt>
                <c:pt idx="169">
                  <c:v>2018-02</c:v>
                </c:pt>
                <c:pt idx="170">
                  <c:v>2018-03</c:v>
                </c:pt>
                <c:pt idx="171">
                  <c:v>2018-04</c:v>
                </c:pt>
                <c:pt idx="172">
                  <c:v>2018-05</c:v>
                </c:pt>
                <c:pt idx="173">
                  <c:v>2018-06</c:v>
                </c:pt>
                <c:pt idx="174">
                  <c:v>2018-07</c:v>
                </c:pt>
                <c:pt idx="175">
                  <c:v>2018-08</c:v>
                </c:pt>
                <c:pt idx="176">
                  <c:v>2018-09</c:v>
                </c:pt>
                <c:pt idx="177">
                  <c:v>2018-10</c:v>
                </c:pt>
                <c:pt idx="178">
                  <c:v>2018-11</c:v>
                </c:pt>
                <c:pt idx="179">
                  <c:v>2018-12</c:v>
                </c:pt>
                <c:pt idx="180">
                  <c:v>2019-01</c:v>
                </c:pt>
              </c:strCache>
            </c:strRef>
          </c:cat>
          <c:val>
            <c:numRef>
              <c:f>'Top5-aggregate'!$B$4:$B$184</c:f>
              <c:numCache>
                <c:formatCode>General</c:formatCode>
                <c:ptCount val="181"/>
                <c:pt idx="0">
                  <c:v>26</c:v>
                </c:pt>
                <c:pt idx="1">
                  <c:v>25</c:v>
                </c:pt>
                <c:pt idx="2">
                  <c:v>27</c:v>
                </c:pt>
                <c:pt idx="3">
                  <c:v>26</c:v>
                </c:pt>
                <c:pt idx="4">
                  <c:v>27</c:v>
                </c:pt>
                <c:pt idx="5">
                  <c:v>29</c:v>
                </c:pt>
                <c:pt idx="6">
                  <c:v>30</c:v>
                </c:pt>
                <c:pt idx="7">
                  <c:v>31</c:v>
                </c:pt>
                <c:pt idx="8">
                  <c:v>29</c:v>
                </c:pt>
                <c:pt idx="9">
                  <c:v>29</c:v>
                </c:pt>
                <c:pt idx="10">
                  <c:v>35</c:v>
                </c:pt>
                <c:pt idx="11">
                  <c:v>44</c:v>
                </c:pt>
                <c:pt idx="12">
                  <c:v>31</c:v>
                </c:pt>
                <c:pt idx="13">
                  <c:v>31</c:v>
                </c:pt>
                <c:pt idx="14">
                  <c:v>32</c:v>
                </c:pt>
                <c:pt idx="15">
                  <c:v>32</c:v>
                </c:pt>
                <c:pt idx="16">
                  <c:v>35</c:v>
                </c:pt>
                <c:pt idx="17">
                  <c:v>35</c:v>
                </c:pt>
                <c:pt idx="18">
                  <c:v>37</c:v>
                </c:pt>
                <c:pt idx="19">
                  <c:v>37</c:v>
                </c:pt>
                <c:pt idx="20">
                  <c:v>34</c:v>
                </c:pt>
                <c:pt idx="21">
                  <c:v>36</c:v>
                </c:pt>
                <c:pt idx="22">
                  <c:v>47</c:v>
                </c:pt>
                <c:pt idx="23">
                  <c:v>53</c:v>
                </c:pt>
                <c:pt idx="24">
                  <c:v>37</c:v>
                </c:pt>
                <c:pt idx="25">
                  <c:v>37</c:v>
                </c:pt>
                <c:pt idx="26">
                  <c:v>37</c:v>
                </c:pt>
                <c:pt idx="27">
                  <c:v>36</c:v>
                </c:pt>
                <c:pt idx="28">
                  <c:v>38</c:v>
                </c:pt>
                <c:pt idx="29">
                  <c:v>39</c:v>
                </c:pt>
                <c:pt idx="30">
                  <c:v>42</c:v>
                </c:pt>
                <c:pt idx="31">
                  <c:v>42</c:v>
                </c:pt>
                <c:pt idx="32">
                  <c:v>41</c:v>
                </c:pt>
                <c:pt idx="33">
                  <c:v>40</c:v>
                </c:pt>
                <c:pt idx="34">
                  <c:v>51</c:v>
                </c:pt>
                <c:pt idx="35">
                  <c:v>61</c:v>
                </c:pt>
                <c:pt idx="36">
                  <c:v>42</c:v>
                </c:pt>
                <c:pt idx="37">
                  <c:v>39</c:v>
                </c:pt>
                <c:pt idx="38">
                  <c:v>38</c:v>
                </c:pt>
                <c:pt idx="39">
                  <c:v>39</c:v>
                </c:pt>
                <c:pt idx="40">
                  <c:v>39</c:v>
                </c:pt>
                <c:pt idx="41">
                  <c:v>41</c:v>
                </c:pt>
                <c:pt idx="42">
                  <c:v>42</c:v>
                </c:pt>
                <c:pt idx="43">
                  <c:v>43</c:v>
                </c:pt>
                <c:pt idx="44">
                  <c:v>41</c:v>
                </c:pt>
                <c:pt idx="45">
                  <c:v>39</c:v>
                </c:pt>
                <c:pt idx="46">
                  <c:v>54</c:v>
                </c:pt>
                <c:pt idx="47">
                  <c:v>60</c:v>
                </c:pt>
                <c:pt idx="48">
                  <c:v>39</c:v>
                </c:pt>
                <c:pt idx="49">
                  <c:v>37</c:v>
                </c:pt>
                <c:pt idx="50">
                  <c:v>38</c:v>
                </c:pt>
                <c:pt idx="51">
                  <c:v>38</c:v>
                </c:pt>
                <c:pt idx="52">
                  <c:v>39</c:v>
                </c:pt>
                <c:pt idx="53">
                  <c:v>43</c:v>
                </c:pt>
                <c:pt idx="54">
                  <c:v>42</c:v>
                </c:pt>
                <c:pt idx="55">
                  <c:v>43</c:v>
                </c:pt>
                <c:pt idx="56">
                  <c:v>40</c:v>
                </c:pt>
                <c:pt idx="57">
                  <c:v>40</c:v>
                </c:pt>
                <c:pt idx="58">
                  <c:v>55</c:v>
                </c:pt>
                <c:pt idx="59">
                  <c:v>68</c:v>
                </c:pt>
                <c:pt idx="60">
                  <c:v>45</c:v>
                </c:pt>
                <c:pt idx="61">
                  <c:v>41</c:v>
                </c:pt>
                <c:pt idx="62">
                  <c:v>40</c:v>
                </c:pt>
                <c:pt idx="63">
                  <c:v>36</c:v>
                </c:pt>
                <c:pt idx="64">
                  <c:v>37</c:v>
                </c:pt>
                <c:pt idx="65">
                  <c:v>38</c:v>
                </c:pt>
                <c:pt idx="66">
                  <c:v>38</c:v>
                </c:pt>
                <c:pt idx="67">
                  <c:v>39</c:v>
                </c:pt>
                <c:pt idx="68">
                  <c:v>36</c:v>
                </c:pt>
                <c:pt idx="69">
                  <c:v>38</c:v>
                </c:pt>
                <c:pt idx="70">
                  <c:v>55</c:v>
                </c:pt>
                <c:pt idx="71">
                  <c:v>58</c:v>
                </c:pt>
                <c:pt idx="72">
                  <c:v>36</c:v>
                </c:pt>
                <c:pt idx="73">
                  <c:v>35</c:v>
                </c:pt>
                <c:pt idx="74">
                  <c:v>34</c:v>
                </c:pt>
                <c:pt idx="75">
                  <c:v>33</c:v>
                </c:pt>
                <c:pt idx="76">
                  <c:v>35</c:v>
                </c:pt>
                <c:pt idx="77">
                  <c:v>36</c:v>
                </c:pt>
                <c:pt idx="78">
                  <c:v>36</c:v>
                </c:pt>
                <c:pt idx="79">
                  <c:v>37</c:v>
                </c:pt>
                <c:pt idx="80">
                  <c:v>39</c:v>
                </c:pt>
                <c:pt idx="81">
                  <c:v>39</c:v>
                </c:pt>
                <c:pt idx="82">
                  <c:v>61</c:v>
                </c:pt>
                <c:pt idx="83">
                  <c:v>67</c:v>
                </c:pt>
                <c:pt idx="84">
                  <c:v>50</c:v>
                </c:pt>
                <c:pt idx="85">
                  <c:v>48</c:v>
                </c:pt>
                <c:pt idx="86">
                  <c:v>46</c:v>
                </c:pt>
                <c:pt idx="87">
                  <c:v>46</c:v>
                </c:pt>
                <c:pt idx="88">
                  <c:v>48</c:v>
                </c:pt>
                <c:pt idx="89">
                  <c:v>51</c:v>
                </c:pt>
                <c:pt idx="90">
                  <c:v>52</c:v>
                </c:pt>
                <c:pt idx="91">
                  <c:v>55</c:v>
                </c:pt>
                <c:pt idx="92">
                  <c:v>53</c:v>
                </c:pt>
                <c:pt idx="93">
                  <c:v>53</c:v>
                </c:pt>
                <c:pt idx="94">
                  <c:v>85</c:v>
                </c:pt>
                <c:pt idx="95">
                  <c:v>85</c:v>
                </c:pt>
                <c:pt idx="96">
                  <c:v>59</c:v>
                </c:pt>
                <c:pt idx="97">
                  <c:v>56</c:v>
                </c:pt>
                <c:pt idx="98">
                  <c:v>55</c:v>
                </c:pt>
                <c:pt idx="99">
                  <c:v>57</c:v>
                </c:pt>
                <c:pt idx="100">
                  <c:v>56</c:v>
                </c:pt>
                <c:pt idx="101">
                  <c:v>58</c:v>
                </c:pt>
                <c:pt idx="102">
                  <c:v>61</c:v>
                </c:pt>
                <c:pt idx="103">
                  <c:v>63</c:v>
                </c:pt>
                <c:pt idx="104">
                  <c:v>60</c:v>
                </c:pt>
                <c:pt idx="105">
                  <c:v>62</c:v>
                </c:pt>
                <c:pt idx="106">
                  <c:v>93</c:v>
                </c:pt>
                <c:pt idx="107">
                  <c:v>98</c:v>
                </c:pt>
                <c:pt idx="108">
                  <c:v>66</c:v>
                </c:pt>
                <c:pt idx="109">
                  <c:v>63</c:v>
                </c:pt>
                <c:pt idx="110">
                  <c:v>64</c:v>
                </c:pt>
                <c:pt idx="111">
                  <c:v>60</c:v>
                </c:pt>
                <c:pt idx="112">
                  <c:v>66</c:v>
                </c:pt>
                <c:pt idx="113">
                  <c:v>66</c:v>
                </c:pt>
                <c:pt idx="114">
                  <c:v>66</c:v>
                </c:pt>
                <c:pt idx="115">
                  <c:v>69</c:v>
                </c:pt>
                <c:pt idx="116">
                  <c:v>64</c:v>
                </c:pt>
                <c:pt idx="117">
                  <c:v>61</c:v>
                </c:pt>
                <c:pt idx="118">
                  <c:v>93</c:v>
                </c:pt>
                <c:pt idx="119">
                  <c:v>100</c:v>
                </c:pt>
                <c:pt idx="120">
                  <c:v>63</c:v>
                </c:pt>
                <c:pt idx="121">
                  <c:v>61</c:v>
                </c:pt>
                <c:pt idx="122">
                  <c:v>62</c:v>
                </c:pt>
                <c:pt idx="123">
                  <c:v>61</c:v>
                </c:pt>
                <c:pt idx="124">
                  <c:v>60</c:v>
                </c:pt>
                <c:pt idx="125">
                  <c:v>62</c:v>
                </c:pt>
                <c:pt idx="126">
                  <c:v>63</c:v>
                </c:pt>
                <c:pt idx="127">
                  <c:v>66</c:v>
                </c:pt>
                <c:pt idx="128">
                  <c:v>63</c:v>
                </c:pt>
                <c:pt idx="129">
                  <c:v>62</c:v>
                </c:pt>
                <c:pt idx="130">
                  <c:v>98</c:v>
                </c:pt>
                <c:pt idx="131">
                  <c:v>99</c:v>
                </c:pt>
                <c:pt idx="132">
                  <c:v>63</c:v>
                </c:pt>
                <c:pt idx="133">
                  <c:v>60</c:v>
                </c:pt>
                <c:pt idx="134">
                  <c:v>60</c:v>
                </c:pt>
                <c:pt idx="135">
                  <c:v>61</c:v>
                </c:pt>
                <c:pt idx="136">
                  <c:v>60</c:v>
                </c:pt>
                <c:pt idx="137">
                  <c:v>63</c:v>
                </c:pt>
                <c:pt idx="138">
                  <c:v>69</c:v>
                </c:pt>
                <c:pt idx="139">
                  <c:v>69</c:v>
                </c:pt>
                <c:pt idx="140">
                  <c:v>64</c:v>
                </c:pt>
                <c:pt idx="141">
                  <c:v>64</c:v>
                </c:pt>
                <c:pt idx="142">
                  <c:v>94</c:v>
                </c:pt>
                <c:pt idx="143">
                  <c:v>93</c:v>
                </c:pt>
                <c:pt idx="144">
                  <c:v>56</c:v>
                </c:pt>
                <c:pt idx="145">
                  <c:v>54</c:v>
                </c:pt>
                <c:pt idx="146">
                  <c:v>55</c:v>
                </c:pt>
                <c:pt idx="147">
                  <c:v>54</c:v>
                </c:pt>
                <c:pt idx="148">
                  <c:v>56</c:v>
                </c:pt>
                <c:pt idx="149">
                  <c:v>58</c:v>
                </c:pt>
                <c:pt idx="150">
                  <c:v>63</c:v>
                </c:pt>
                <c:pt idx="151">
                  <c:v>61</c:v>
                </c:pt>
                <c:pt idx="152">
                  <c:v>56</c:v>
                </c:pt>
                <c:pt idx="153">
                  <c:v>58</c:v>
                </c:pt>
                <c:pt idx="154">
                  <c:v>89</c:v>
                </c:pt>
                <c:pt idx="155">
                  <c:v>90</c:v>
                </c:pt>
                <c:pt idx="156">
                  <c:v>58</c:v>
                </c:pt>
                <c:pt idx="157">
                  <c:v>55</c:v>
                </c:pt>
                <c:pt idx="158">
                  <c:v>58</c:v>
                </c:pt>
                <c:pt idx="159">
                  <c:v>59</c:v>
                </c:pt>
                <c:pt idx="160">
                  <c:v>62</c:v>
                </c:pt>
                <c:pt idx="161">
                  <c:v>63</c:v>
                </c:pt>
                <c:pt idx="162">
                  <c:v>67</c:v>
                </c:pt>
                <c:pt idx="163">
                  <c:v>65</c:v>
                </c:pt>
                <c:pt idx="164">
                  <c:v>61</c:v>
                </c:pt>
                <c:pt idx="165">
                  <c:v>65</c:v>
                </c:pt>
                <c:pt idx="166">
                  <c:v>93</c:v>
                </c:pt>
                <c:pt idx="167">
                  <c:v>92</c:v>
                </c:pt>
                <c:pt idx="168">
                  <c:v>60</c:v>
                </c:pt>
                <c:pt idx="169">
                  <c:v>58</c:v>
                </c:pt>
                <c:pt idx="170">
                  <c:v>59</c:v>
                </c:pt>
                <c:pt idx="171">
                  <c:v>59</c:v>
                </c:pt>
                <c:pt idx="172">
                  <c:v>59</c:v>
                </c:pt>
                <c:pt idx="173">
                  <c:v>63</c:v>
                </c:pt>
                <c:pt idx="174">
                  <c:v>67</c:v>
                </c:pt>
                <c:pt idx="175">
                  <c:v>63</c:v>
                </c:pt>
                <c:pt idx="176">
                  <c:v>59</c:v>
                </c:pt>
                <c:pt idx="177">
                  <c:v>60</c:v>
                </c:pt>
                <c:pt idx="178">
                  <c:v>96</c:v>
                </c:pt>
                <c:pt idx="179">
                  <c:v>93</c:v>
                </c:pt>
                <c:pt idx="180">
                  <c:v>64</c:v>
                </c:pt>
              </c:numCache>
            </c:numRef>
          </c:val>
          <c:smooth val="0"/>
          <c:extLst>
            <c:ext xmlns:c16="http://schemas.microsoft.com/office/drawing/2014/chart" uri="{C3380CC4-5D6E-409C-BE32-E72D297353CC}">
              <c16:uniqueId val="{00000000-A2BC-4F22-9ED0-EF4E665F077B}"/>
            </c:ext>
          </c:extLst>
        </c:ser>
        <c:dLbls>
          <c:showLegendKey val="0"/>
          <c:showVal val="0"/>
          <c:showCatName val="0"/>
          <c:showSerName val="0"/>
          <c:showPercent val="0"/>
          <c:showBubbleSize val="0"/>
        </c:dLbls>
        <c:smooth val="0"/>
        <c:axId val="576633616"/>
        <c:axId val="576633288"/>
      </c:lineChart>
      <c:catAx>
        <c:axId val="5766336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6633288"/>
        <c:crosses val="autoZero"/>
        <c:auto val="1"/>
        <c:lblAlgn val="ctr"/>
        <c:lblOffset val="100"/>
        <c:noMultiLvlLbl val="0"/>
      </c:catAx>
      <c:valAx>
        <c:axId val="576633288"/>
        <c:scaling>
          <c:orientation val="minMax"/>
          <c:max val="1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6633616"/>
        <c:crosses val="autoZero"/>
        <c:crossBetween val="between"/>
        <c:majorUnit val="20"/>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72C80C7204D4A00B7A17AE3BA9D087C"/>
        <w:category>
          <w:name w:val="General"/>
          <w:gallery w:val="placeholder"/>
        </w:category>
        <w:types>
          <w:type w:val="bbPlcHdr"/>
        </w:types>
        <w:behaviors>
          <w:behavior w:val="content"/>
        </w:behaviors>
        <w:guid w:val="{6F0395ED-6111-4490-992D-1F49F8FEAF16}"/>
      </w:docPartPr>
      <w:docPartBody>
        <w:p w:rsidR="000660F0" w:rsidRDefault="000660F0" w:rsidP="000660F0">
          <w:pPr>
            <w:pStyle w:val="472C80C7204D4A00B7A17AE3BA9D087C"/>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0F0"/>
    <w:rsid w:val="000660F0"/>
    <w:rsid w:val="00725AEC"/>
    <w:rsid w:val="00856913"/>
    <w:rsid w:val="00BD1C15"/>
    <w:rsid w:val="00FC59B2"/>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72C80C7204D4A00B7A17AE3BA9D087C">
    <w:name w:val="472C80C7204D4A00B7A17AE3BA9D087C"/>
    <w:rsid w:val="000660F0"/>
  </w:style>
  <w:style w:type="character" w:styleId="PlaceholderText">
    <w:name w:val="Placeholder Text"/>
    <w:basedOn w:val="DefaultParagraphFont"/>
    <w:uiPriority w:val="99"/>
    <w:semiHidden/>
    <w:rsid w:val="00FC59B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2254</TotalTime>
  <Pages>7</Pages>
  <Words>2692</Words>
  <Characters>15349</Characters>
  <Application>Microsoft Office Word</Application>
  <DocSecurity>0</DocSecurity>
  <Lines>127</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Shervin Rad</dc:creator>
  <cp:keywords/>
  <dc:description/>
  <cp:lastModifiedBy>Shervin Rad</cp:lastModifiedBy>
  <cp:revision>90</cp:revision>
  <dcterms:created xsi:type="dcterms:W3CDTF">2019-01-12T13:52:00Z</dcterms:created>
  <dcterms:modified xsi:type="dcterms:W3CDTF">2019-01-17T22:17:00Z</dcterms:modified>
</cp:coreProperties>
</file>