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LLM Review.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Student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CaseID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RequirementID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Rationale (short)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TEST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TC01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R1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Verify new PROPERTY file initializes with empty content and correct metadata.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TEST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TC02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R2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Verify new IMAGE file initializes with empty content and correct metadata.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TEST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TC10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R4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Accept a valid key=value pair in a PROPERTY file and append to content.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TEST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TC11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R4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Subsequent addProperty appends to existing content (no overwrite).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TEST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TC12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R5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Null content is rejected for PROPERTY files.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TEST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TC13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R6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addProperty must not be allowed for IMAGE files.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TEST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TC14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R7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Reject content that does not follow key=value format.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TEST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TC15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R4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Unicode key=value is accepted in PROPERTY (UTF-16 chars).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TEST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TC16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OOB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missing from json fallback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TEST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TC20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R8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Accept bytes (0–255) for IMAGE and append to content.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TEST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TC21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R8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Subsequent addImageBytes appends to existing IMAGE content in order.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TEST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TC22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R9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Null content is rejected for IMAGE files.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TEST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TC23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R10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addImageBytes must not be allowed for PROPERTY files.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TEST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TC24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R11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Reject any char greater than 255 for IMAGE content.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TEST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TC25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R8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Boundary values 0 and 255 are accepted for IMAGE content.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TEST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TC26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R9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Precedence: when content is null on a PROPERTY file, the null check triggers before type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TEST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TC27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R7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Precedence: for PROPERTY file with non-null content containing a &gt;255 char, WrongFileTypeException is thrown before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TEST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TC30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R12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Remove a positive number of characters smaller than current length.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TEST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TC31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R13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Removing exactly the current length empties content.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TEST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TC32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R13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Removing more characters than present empties content (no exception).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TEST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TC33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R12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Removing from empty content keeps it empty (no exception).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TEST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TC40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R16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CRC32 on empty PROPERTY content returns 0.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TEST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TC41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R17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CRC32 on empty IMAGE content returns 0.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TEST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TC42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R15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For IMAGE, CRC32 must consider only the least significant byte of each char.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TEST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TC43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R14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PROPERTY vs IMAGE CRC32 differ when high bytes are non-zero.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TEST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TC44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R16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CRC32 changes when content changes via removeContents.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TEST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TC45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R16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If content becomes null (e.g., by test instrumentation), CRC32 returns 0.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TEST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TC50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R18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Disk size for PROPERTY equals content length.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TEST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TC51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R19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Disk size for IMAGE equals content length divided by 2 (8-bit PNG).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TEST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TC52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R19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Integer division behavior for odd lengths on IMAGE.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TEST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TC53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R18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Empty content yields size 0 for both types.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TEST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TC54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R18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Size reflects appends and removals.</w:t>
            </w:r>
          </w:p>
        </w:tc>
      </w:tr>
    </w:tbl>
    <w:p/>
    <w:p>
      <w:pPr>
        <w:pStyle w:val="Heading3"/>
      </w:pPr>
      <w:r>
        <w:t>OOB (and MIX) details</w:t>
      </w:r>
    </w:p>
    <w:p>
      <w:r>
        <w:t>None.</w:t>
      </w:r>
    </w:p>
    <w:p>
      <w:r>
        <w:t>Problematic students (hard to interpret): None.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