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6958E">
      <w:pPr>
        <w:spacing w:after="0"/>
        <w:jc w:val="center"/>
      </w:pPr>
      <w:r>
        <w:rPr>
          <w:b/>
          <w:color w:val="1F4E79"/>
          <w:sz w:val="32"/>
        </w:rPr>
        <w:t>SHIWEI LIAO</w:t>
      </w:r>
    </w:p>
    <w:p w14:paraId="245399F3">
      <w:pPr>
        <w:spacing w:after="0"/>
        <w:jc w:val="center"/>
      </w:pPr>
      <w:r>
        <w:rPr>
          <w:sz w:val="21"/>
        </w:rPr>
        <w:t>Doctoral Applicant in Media and Communications</w:t>
      </w:r>
    </w:p>
    <w:p w14:paraId="74F0E9BA">
      <w:pPr>
        <w:spacing w:after="80"/>
        <w:jc w:val="center"/>
      </w:pPr>
      <w:r>
        <w:rPr>
          <w:sz w:val="19"/>
        </w:rPr>
        <w:t>North Melbourne, VIC 3051  •  +61 406 906 580  •  sherwin.shiwei.liao@outlook.com</w:t>
      </w:r>
    </w:p>
    <w:p w14:paraId="32470E3D">
      <w:pPr>
        <w:pStyle w:val="3"/>
        <w:pBdr>
          <w:bottom w:val="single" w:color="4F81BD" w:sz="6" w:space="1"/>
        </w:pBdr>
      </w:pPr>
      <w:r>
        <w:rPr>
          <w:color w:val="1F4E79"/>
        </w:rPr>
        <w:t>RESEARCH PROFILE</w:t>
      </w:r>
    </w:p>
    <w:p w14:paraId="17DD85B5">
      <w:pPr>
        <w:spacing w:after="40"/>
      </w:pPr>
      <w:r>
        <w:rPr>
          <w:rFonts w:hint="eastAsia"/>
          <w:sz w:val="20"/>
        </w:rPr>
        <w:t>University of Melbourne Master of Global Media Communication graduate (WAM 80.38, High Distinction average) with sustained scholarly focus on AI platform governance, algorithmic authority, and the cultural and institutional logics through which AI systems construct legitimacy. Academic preparation combines critical discourse analysis, platform studies, AI governance, digital politics, Chinese media research and qualitative interface analysis. Current doctoral project applies these broader theoretical interests to health AI interfaces as an empirical site, examining how institutional identity, competing medical epistemologies and interface design encode algorithmic authority — with original conceptual contributions in the Chinese Medical Algorithmic Imaginary and a Sheng-Ke-Zhi-Hua coding model.</w:t>
      </w:r>
    </w:p>
    <w:p w14:paraId="5883F8DE">
      <w:pPr>
        <w:pStyle w:val="3"/>
        <w:pBdr>
          <w:bottom w:val="single" w:color="4F81BD" w:sz="6" w:space="1"/>
        </w:pBdr>
      </w:pPr>
      <w:r>
        <w:rPr>
          <w:color w:val="1F4E79"/>
        </w:rPr>
        <w:t>EDUCATION</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4"/>
        <w:gridCol w:w="5184"/>
      </w:tblGrid>
      <w:tr w14:paraId="139601F6">
        <w:trPr>
          <w:jc w:val="center"/>
        </w:trPr>
        <w:tc>
          <w:tcPr>
            <w:tcW w:w="5184" w:type="dxa"/>
          </w:tcPr>
          <w:p w14:paraId="12B0ED6A">
            <w:pPr>
              <w:spacing w:after="0"/>
            </w:pPr>
            <w:r>
              <w:rPr>
                <w:b/>
                <w:sz w:val="20"/>
              </w:rPr>
              <w:t>Master of Global Media Communication</w:t>
            </w:r>
          </w:p>
        </w:tc>
        <w:tc>
          <w:tcPr>
            <w:tcW w:w="5184" w:type="dxa"/>
          </w:tcPr>
          <w:p w14:paraId="73F21B81">
            <w:pPr>
              <w:spacing w:after="0"/>
              <w:jc w:val="right"/>
            </w:pPr>
            <w:r>
              <w:rPr>
                <w:sz w:val="20"/>
              </w:rPr>
              <w:t>2023 – 2025</w:t>
            </w:r>
          </w:p>
        </w:tc>
      </w:tr>
    </w:tbl>
    <w:p w14:paraId="052B8C69">
      <w:pPr>
        <w:spacing w:after="0"/>
      </w:pPr>
      <w:r>
        <w:rPr>
          <w:i/>
        </w:rPr>
        <w:t>The University of Melbourne, Faculty of Arts — Melbourne, Australia</w:t>
      </w:r>
    </w:p>
    <w:p w14:paraId="28FCD042">
      <w:pPr>
        <w:spacing w:after="30"/>
        <w:ind w:left="259" w:hanging="173"/>
      </w:pPr>
      <w:r>
        <w:rPr>
          <w:b/>
        </w:rPr>
        <w:t xml:space="preserve">• </w:t>
      </w:r>
      <w:r>
        <w:t>Weighted Average Mark (WAM): 80.38 · High Distinction average; completed July 2025.</w:t>
      </w:r>
    </w:p>
    <w:p w14:paraId="027290B1">
      <w:pPr>
        <w:spacing w:after="30"/>
        <w:ind w:left="259" w:hanging="173"/>
      </w:pPr>
      <w:r>
        <w:rPr>
          <w:b/>
        </w:rPr>
        <w:t xml:space="preserve">• </w:t>
      </w:r>
      <w:r>
        <w:t xml:space="preserve">Minor Thesis: </w:t>
      </w:r>
      <w:r>
        <w:rPr>
          <w:rFonts w:hint="eastAsia"/>
        </w:rPr>
        <w:t xml:space="preserve">“Governing via AI Broadcasting in the Digital Era” (87/100, H1; </w:t>
      </w:r>
      <w:r>
        <w:rPr>
          <w:rFonts w:hint="eastAsia"/>
          <w:u w:val="single"/>
        </w:rPr>
        <w:t>10,000+ words</w:t>
      </w:r>
      <w:r>
        <w:rPr>
          <w:rFonts w:hint="eastAsia"/>
        </w:rPr>
        <w:t>). Supervised by Dr Wilfred Wang. Employed Fairclough’s CDA and NVivo keyword-frequency/co-occurrence analysis to compare three Chinese AI policy documents with CCTV’s 2024 AI Gala, showing how policy registers of “safety” and “control” are systematically recoded as media affects of “future” and “cultural confidence”.</w:t>
      </w:r>
    </w:p>
    <w:p w14:paraId="31B2EDAD">
      <w:pPr>
        <w:spacing w:after="30"/>
        <w:ind w:left="259" w:hanging="173"/>
      </w:pPr>
      <w:r>
        <w:rPr>
          <w:b/>
        </w:rPr>
        <w:t xml:space="preserve">• </w:t>
      </w:r>
      <w:r>
        <w:t xml:space="preserve">Selected H1 results: </w:t>
      </w:r>
      <w:r>
        <w:rPr>
          <w:rFonts w:hint="eastAsia"/>
        </w:rPr>
        <w:t>Global Communication: Theory &amp; Research (88); Media and Communications Thesis Part 1 &amp; 2 (87); Media Convergence and Digital Culture (86); Digital Politics (85); Researching Audiences and Reception (85); Global Data Policy &amp; Governance (80); Researching Media &amp; Communications (80)</w:t>
      </w:r>
      <w:r>
        <w:t>.</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4"/>
        <w:gridCol w:w="5184"/>
      </w:tblGrid>
      <w:tr w14:paraId="0BE0705A">
        <w:trPr>
          <w:jc w:val="center"/>
        </w:trPr>
        <w:tc>
          <w:tcPr>
            <w:tcW w:w="5184" w:type="dxa"/>
          </w:tcPr>
          <w:p w14:paraId="73AA09F8">
            <w:pPr>
              <w:spacing w:after="0"/>
            </w:pPr>
            <w:r>
              <w:rPr>
                <w:b/>
                <w:sz w:val="20"/>
              </w:rPr>
              <w:t>Bachelor of Broadcast Announcing and Anchoring Art</w:t>
            </w:r>
          </w:p>
        </w:tc>
        <w:tc>
          <w:tcPr>
            <w:tcW w:w="5184" w:type="dxa"/>
          </w:tcPr>
          <w:p w14:paraId="2367DF1E">
            <w:pPr>
              <w:spacing w:after="0"/>
              <w:jc w:val="right"/>
            </w:pPr>
            <w:r>
              <w:rPr>
                <w:sz w:val="20"/>
              </w:rPr>
              <w:t>2016 – 2020</w:t>
            </w:r>
          </w:p>
        </w:tc>
      </w:tr>
    </w:tbl>
    <w:p w14:paraId="2C28FEC1">
      <w:pPr>
        <w:spacing w:after="0"/>
      </w:pPr>
      <w:r>
        <w:rPr>
          <w:i/>
        </w:rPr>
        <w:t>Communication University of Zhejiang — Hangzhou, China</w:t>
      </w:r>
    </w:p>
    <w:p w14:paraId="2B076FB8">
      <w:pPr>
        <w:spacing w:after="30"/>
        <w:ind w:left="259" w:hanging="173"/>
      </w:pPr>
      <w:r>
        <w:rPr>
          <w:b/>
        </w:rPr>
        <w:t xml:space="preserve">• </w:t>
      </w:r>
      <w:r>
        <w:rPr>
          <w:rFonts w:hint="eastAsia"/>
        </w:rPr>
        <w:t>Cumulative average 87.42/100. Four-year programme combining broadcast production, voice/performance training and media theory; provides a linguistic-performative foundation for analysing how media institutions construct authority through discourse and presentation</w:t>
      </w:r>
      <w:r>
        <w:t>.</w:t>
      </w:r>
    </w:p>
    <w:p w14:paraId="6D989B41">
      <w:pPr>
        <w:pStyle w:val="3"/>
        <w:pBdr>
          <w:bottom w:val="single" w:color="4F81BD" w:sz="6" w:space="1"/>
        </w:pBdr>
      </w:pPr>
      <w:r>
        <w:rPr>
          <w:color w:val="1F4E79"/>
        </w:rPr>
        <w:t>CURRENT DOCTORAL RESEARCH PROGRAMME</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4"/>
        <w:gridCol w:w="5184"/>
      </w:tblGrid>
      <w:tr w14:paraId="70E25076">
        <w:trPr>
          <w:jc w:val="center"/>
        </w:trPr>
        <w:tc>
          <w:tcPr>
            <w:tcW w:w="5184" w:type="dxa"/>
          </w:tcPr>
          <w:p w14:paraId="768C382D">
            <w:pPr>
              <w:spacing w:after="0"/>
            </w:pPr>
            <w:r>
              <w:rPr>
                <w:b/>
                <w:sz w:val="20"/>
              </w:rPr>
              <w:t>PhD Research Proposal in Development</w:t>
            </w:r>
          </w:p>
        </w:tc>
        <w:tc>
          <w:tcPr>
            <w:tcW w:w="5184" w:type="dxa"/>
          </w:tcPr>
          <w:p w14:paraId="75ACEF18">
            <w:pPr>
              <w:spacing w:after="0"/>
              <w:jc w:val="right"/>
            </w:pPr>
            <w:r>
              <w:rPr>
                <w:sz w:val="20"/>
              </w:rPr>
              <w:t>2025 – present</w:t>
            </w:r>
          </w:p>
        </w:tc>
      </w:tr>
    </w:tbl>
    <w:p w14:paraId="0635BD23">
      <w:pPr>
        <w:spacing w:after="20"/>
      </w:pPr>
      <w:r>
        <w:rPr>
          <w:b/>
        </w:rPr>
        <w:t>Encoding AI Medical Authority: Interface Governance, Institutional Logics and Medical Epistemologies across Australian and Chinese AI Health Platforms</w:t>
      </w:r>
    </w:p>
    <w:p w14:paraId="677D0BED">
      <w:pPr>
        <w:spacing w:after="30"/>
        <w:ind w:left="259" w:hanging="173"/>
      </w:pPr>
      <w:r>
        <w:rPr>
          <w:b/>
        </w:rPr>
        <w:t xml:space="preserve">• </w:t>
      </w:r>
      <w:r>
        <w:rPr>
          <w:rFonts w:hint="eastAsia"/>
        </w:rPr>
        <w:t>Treats health AI interfaces as a precisely bounded empirical site for examining how platforms construct algorithmic authority through institutional identity, interface pathways, privacy policies, disclaimer architecture and competing medical epistemologies</w:t>
      </w:r>
      <w:r>
        <w:t>.</w:t>
      </w:r>
    </w:p>
    <w:p w14:paraId="10927DFD">
      <w:pPr>
        <w:spacing w:after="30"/>
        <w:ind w:left="259" w:hanging="173"/>
      </w:pPr>
      <w:r>
        <w:rPr>
          <w:b/>
        </w:rPr>
        <w:t xml:space="preserve">• </w:t>
      </w:r>
      <w:r>
        <w:rPr>
          <w:rFonts w:hint="eastAsia"/>
        </w:rPr>
        <w:t>Compares four cases: NIB AI Symptom Checker and Healthdirect Symptom Checker in Australia, and Ant Afu/AQ and Beijing Hospital of TCM’s Kuan Xiaoming in China. Each country pair holds one technical-ecological variable constant while institutional logic varies</w:t>
      </w:r>
      <w:r>
        <w:t>.</w:t>
      </w:r>
    </w:p>
    <w:p w14:paraId="475DCE81">
      <w:pPr>
        <w:spacing w:after="30"/>
        <w:ind w:left="259" w:hanging="173"/>
      </w:pPr>
      <w:r>
        <w:rPr>
          <w:b/>
        </w:rPr>
        <w:t xml:space="preserve">• </w:t>
      </w:r>
      <w:r>
        <w:rPr>
          <w:rFonts w:hint="eastAsia"/>
        </w:rPr>
        <w:t>Methodology: researcher-led comparative walkthrough, interface-centric CDA, standardised biomedical/TCM-style/mixed symptom probes, and a small expert/practitioner interview supplement</w:t>
      </w:r>
      <w:r>
        <w:t>.</w:t>
      </w:r>
    </w:p>
    <w:p w14:paraId="1F87D252">
      <w:pPr>
        <w:spacing w:after="30"/>
        <w:ind w:left="259" w:hanging="173"/>
      </w:pPr>
      <w:r>
        <w:rPr>
          <w:b/>
        </w:rPr>
        <w:t xml:space="preserve">• </w:t>
      </w:r>
      <w:r>
        <w:rPr>
          <w:rFonts w:hint="eastAsia"/>
        </w:rPr>
        <w:t>Conceptual contribution: AI medical authority encoding specifies the interface-level construction of source, scope, legitimacy and limits of AI-generated advice; the Chinese Medical Algorithmic Imaginary provides a cross-cultural epistemological lens; Sheng-Ke-Zhi-Hua functions as a four-mechanism coding model for AI-generated knowledge and service-pathway effects</w:t>
      </w:r>
      <w:r>
        <w:t>.</w:t>
      </w:r>
    </w:p>
    <w:p w14:paraId="4EA73D67">
      <w:pPr>
        <w:pStyle w:val="3"/>
        <w:pBdr>
          <w:bottom w:val="single" w:color="4F81BD" w:sz="6" w:space="1"/>
        </w:pBdr>
      </w:pPr>
      <w:r>
        <w:rPr>
          <w:color w:val="1F4E79"/>
        </w:rPr>
        <w:t>RESEARCH INTERESTS</w:t>
      </w:r>
    </w:p>
    <w:p w14:paraId="5F5F43A6">
      <w:pPr>
        <w:spacing w:after="30"/>
        <w:ind w:left="259" w:hanging="173"/>
        <w:rPr>
          <w:rFonts w:hint="eastAsia"/>
        </w:rPr>
      </w:pPr>
      <w:r>
        <w:rPr>
          <w:b/>
        </w:rPr>
        <w:t>•</w:t>
      </w:r>
      <w:r>
        <w:rPr>
          <w:rFonts w:hint="eastAsia"/>
        </w:rPr>
        <w:t>Critical discourse analysis of AI policy and platform interfaces</w:t>
      </w:r>
    </w:p>
    <w:p w14:paraId="5ADC8425">
      <w:pPr>
        <w:spacing w:after="30"/>
        <w:ind w:left="259" w:hanging="173"/>
        <w:rPr>
          <w:rFonts w:hint="eastAsia"/>
        </w:rPr>
      </w:pPr>
      <w:r>
        <w:rPr>
          <w:rFonts w:hint="eastAsia"/>
        </w:rPr>
        <w:t>•Algorithmic governance, algorithmic imaginary, and folk theories of algorithms</w:t>
      </w:r>
    </w:p>
    <w:p w14:paraId="50B1EBB8">
      <w:pPr>
        <w:spacing w:after="30"/>
        <w:ind w:left="259" w:hanging="173"/>
        <w:rPr>
          <w:rFonts w:hint="eastAsia"/>
        </w:rPr>
      </w:pPr>
      <w:r>
        <w:rPr>
          <w:rFonts w:hint="eastAsia"/>
        </w:rPr>
        <w:t>•Diaspora media studies and intergenerational technology transmission</w:t>
      </w:r>
    </w:p>
    <w:p w14:paraId="5FF8FFB3">
      <w:pPr>
        <w:spacing w:after="30"/>
        <w:ind w:left="259" w:hanging="173"/>
        <w:rPr>
          <w:rFonts w:hint="eastAsia"/>
        </w:rPr>
      </w:pPr>
      <w:r>
        <w:rPr>
          <w:rFonts w:hint="eastAsia"/>
        </w:rPr>
        <w:t>•Cultural epistemology in digital health contexts (TCM body cognition and algorithmic authority)</w:t>
      </w:r>
    </w:p>
    <w:p w14:paraId="33DA64A3">
      <w:pPr>
        <w:spacing w:after="30"/>
        <w:ind w:left="259" w:hanging="173"/>
      </w:pPr>
      <w:r>
        <w:rPr>
          <w:rFonts w:hint="eastAsia"/>
        </w:rPr>
        <w:t>•Chinese state media, AI discourse, and platform political economy</w:t>
      </w:r>
    </w:p>
    <w:p w14:paraId="2779412C">
      <w:pPr>
        <w:pStyle w:val="3"/>
        <w:pBdr>
          <w:bottom w:val="single" w:color="4F81BD" w:sz="6" w:space="1"/>
        </w:pBdr>
      </w:pPr>
      <w:r>
        <w:rPr>
          <w:color w:val="1F4E79"/>
        </w:rPr>
        <w:t>SELECTED COURSEWORK RESEARCH PROJECTS</w:t>
      </w:r>
    </w:p>
    <w:p w14:paraId="559C465C">
      <w:pPr>
        <w:spacing w:after="0"/>
      </w:pPr>
      <w:r>
        <w:rPr>
          <w:b/>
          <w:sz w:val="20"/>
        </w:rPr>
        <w:t>Extinction Rebellion’s Global Communication Strategy Through the Lens of Scale</w:t>
      </w:r>
    </w:p>
    <w:p w14:paraId="43212A3F">
      <w:pPr>
        <w:spacing w:after="0"/>
      </w:pPr>
      <w:r>
        <w:rPr>
          <w:i/>
          <w:sz w:val="19"/>
        </w:rPr>
        <w:t>Global Communication: Theory &amp; Research (MECM90020) — 88/100, H1</w:t>
      </w:r>
    </w:p>
    <w:p w14:paraId="288C881D">
      <w:pPr>
        <w:spacing w:after="30"/>
        <w:ind w:left="259" w:hanging="173"/>
      </w:pPr>
      <w:r>
        <w:rPr>
          <w:b/>
        </w:rPr>
        <w:t xml:space="preserve">• </w:t>
      </w:r>
      <w:r>
        <w:rPr>
          <w:rFonts w:hint="eastAsia"/>
        </w:rPr>
        <w:t>Examined non-state actor transnational communication through scale theory, tracing how decentralised climate activism operates across local, national and global registers</w:t>
      </w:r>
      <w:r>
        <w:t>.</w:t>
      </w:r>
    </w:p>
    <w:p w14:paraId="53239BD7">
      <w:pPr>
        <w:spacing w:after="0"/>
      </w:pPr>
      <w:r>
        <w:rPr>
          <w:b/>
          <w:sz w:val="20"/>
        </w:rPr>
        <w:t>Seeing the City Through AI Glasses</w:t>
      </w:r>
    </w:p>
    <w:p w14:paraId="01B665F9">
      <w:pPr>
        <w:spacing w:after="0"/>
      </w:pPr>
      <w:r>
        <w:rPr>
          <w:i/>
          <w:sz w:val="19"/>
        </w:rPr>
        <w:t>Media Convergence and Digital Culture (MECM90007) — 86/100, H1</w:t>
      </w:r>
    </w:p>
    <w:p w14:paraId="0E64E455">
      <w:pPr>
        <w:spacing w:after="30"/>
        <w:ind w:left="259" w:hanging="173"/>
      </w:pPr>
      <w:r>
        <w:rPr>
          <w:b/>
        </w:rPr>
        <w:t xml:space="preserve">• </w:t>
      </w:r>
      <w:r>
        <w:rPr>
          <w:rFonts w:hint="eastAsia"/>
        </w:rPr>
        <w:t>Analysed AI smart glasses as wearable urban media infrastructure using CCTV’s Winning with AI+ as a case. Developed prior experience in AI interfaces, media infrastructures and body–space–data relations</w:t>
      </w:r>
      <w:r>
        <w:t>.</w:t>
      </w:r>
    </w:p>
    <w:p w14:paraId="25DDC076">
      <w:pPr>
        <w:spacing w:after="0"/>
      </w:pPr>
      <w:r>
        <w:rPr>
          <w:b/>
          <w:sz w:val="20"/>
        </w:rPr>
        <w:t>Navigating the Privacy Paradox: TikTok’s Role in the Digital Public Sphere</w:t>
      </w:r>
    </w:p>
    <w:p w14:paraId="1F44DED0">
      <w:pPr>
        <w:spacing w:after="0"/>
      </w:pPr>
      <w:r>
        <w:rPr>
          <w:i/>
          <w:sz w:val="19"/>
        </w:rPr>
        <w:t>Researching Audiences and Reception (MECM40003) — 85/100, H1</w:t>
      </w:r>
    </w:p>
    <w:p w14:paraId="4E808CB7">
      <w:pPr>
        <w:spacing w:after="30"/>
        <w:ind w:left="259" w:hanging="173"/>
      </w:pPr>
      <w:r>
        <w:rPr>
          <w:b/>
        </w:rPr>
        <w:t xml:space="preserve">• </w:t>
      </w:r>
      <w:r>
        <w:rPr>
          <w:rFonts w:hint="eastAsia"/>
        </w:rPr>
        <w:t>Used semi-structured interviewing and framing theory to examine how TikTok’s algorithmic curation shapes privacy perception. Supports current methodological preparation for qualitative interviewing and platform governance analysis</w:t>
      </w:r>
      <w:r>
        <w:t>.</w:t>
      </w:r>
    </w:p>
    <w:p w14:paraId="64626673">
      <w:pPr>
        <w:spacing w:after="0"/>
      </w:pPr>
      <w:r>
        <w:rPr>
          <w:b/>
          <w:sz w:val="20"/>
        </w:rPr>
        <w:t>Cyber-Fascism and the Amplification of Disinformation in the 2024 U.S. Presidential Election</w:t>
      </w:r>
    </w:p>
    <w:p w14:paraId="7BDF8A96">
      <w:pPr>
        <w:spacing w:after="0"/>
      </w:pPr>
      <w:r>
        <w:rPr>
          <w:i/>
          <w:sz w:val="19"/>
        </w:rPr>
        <w:t>Digital Politics (MECM90016) — 85/100, H1</w:t>
      </w:r>
    </w:p>
    <w:p w14:paraId="162C7BEE">
      <w:pPr>
        <w:spacing w:after="30"/>
        <w:ind w:left="259" w:hanging="173"/>
      </w:pPr>
      <w:r>
        <w:rPr>
          <w:b/>
        </w:rPr>
        <w:t xml:space="preserve">• </w:t>
      </w:r>
      <w:r>
        <w:rPr>
          <w:rFonts w:hint="eastAsia"/>
        </w:rPr>
        <w:t>Applied a Foucauldian power/discourse lens to digital platforms, disinformation and algorithmic amplification. Demonstrates capacity to connect platform architecture, governance, political discourse and ideological effects</w:t>
      </w:r>
      <w:r>
        <w:t>.</w:t>
      </w:r>
    </w:p>
    <w:p w14:paraId="24778299">
      <w:pPr>
        <w:spacing w:after="0"/>
      </w:pPr>
      <w:r>
        <w:rPr>
          <w:b/>
          <w:sz w:val="20"/>
        </w:rPr>
        <w:t>Digital Silk Road in the Context of China’s Digital Economy Work Points 2024</w:t>
      </w:r>
    </w:p>
    <w:p w14:paraId="33A5DA32">
      <w:pPr>
        <w:spacing w:after="0"/>
      </w:pPr>
      <w:r>
        <w:rPr>
          <w:i/>
          <w:sz w:val="19"/>
        </w:rPr>
        <w:t>Global Data Policy &amp; Governance (MECM90002) — 80/100, H1</w:t>
      </w:r>
    </w:p>
    <w:p w14:paraId="001E9175">
      <w:pPr>
        <w:spacing w:after="30"/>
        <w:ind w:left="259" w:hanging="173"/>
      </w:pPr>
      <w:r>
        <w:rPr>
          <w:b/>
        </w:rPr>
        <w:t xml:space="preserve">• </w:t>
      </w:r>
      <w:r>
        <w:rPr>
          <w:rFonts w:hint="eastAsia"/>
        </w:rPr>
        <w:t>Analysed China’s digital economy policy, Digital Silk Road strategy, data governance and cross-border infrastructure cooperation. Directly supports the doctoral proposal’s China digital-policy and governance background</w:t>
      </w:r>
      <w:r>
        <w:t>.</w:t>
      </w:r>
    </w:p>
    <w:p w14:paraId="7D8D6CE2">
      <w:pPr>
        <w:spacing w:after="0"/>
      </w:pPr>
      <w:r>
        <w:rPr>
          <w:b/>
          <w:sz w:val="20"/>
        </w:rPr>
        <w:t>Media Marketing and Crisis Discourse on TikTok</w:t>
      </w:r>
    </w:p>
    <w:p w14:paraId="63142A85">
      <w:pPr>
        <w:spacing w:after="0"/>
      </w:pPr>
      <w:r>
        <w:rPr>
          <w:i/>
          <w:sz w:val="19"/>
        </w:rPr>
        <w:t>Researching Media &amp; Communications (MECM90038) — 80/100, H1</w:t>
      </w:r>
    </w:p>
    <w:p w14:paraId="14D529CA">
      <w:pPr>
        <w:spacing w:after="30"/>
        <w:ind w:left="259" w:hanging="173"/>
      </w:pPr>
      <w:r>
        <w:rPr>
          <w:b/>
        </w:rPr>
        <w:t xml:space="preserve">• </w:t>
      </w:r>
      <w:r>
        <w:rPr>
          <w:rFonts w:hint="eastAsia"/>
        </w:rPr>
        <w:t>Compared BBC and Guardian coverage of TikTok’s data-privacy crisis through qualitative content analysis and NVivo-assisted coding. Demonstrates early training in platform crisis discourse, media framing and qualitative coding</w:t>
      </w:r>
      <w:r>
        <w:t>.</w:t>
      </w:r>
    </w:p>
    <w:p w14:paraId="288C271E">
      <w:pPr>
        <w:pStyle w:val="3"/>
        <w:pBdr>
          <w:bottom w:val="single" w:color="4F81BD" w:sz="6" w:space="1"/>
        </w:pBdr>
      </w:pPr>
      <w:r>
        <w:rPr>
          <w:color w:val="1F4E79"/>
        </w:rPr>
        <w:t>PUBLICATIONS AND WORKS IN PROGRESS</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4"/>
        <w:gridCol w:w="5184"/>
      </w:tblGrid>
      <w:tr w14:paraId="282E2787">
        <w:trPr>
          <w:jc w:val="center"/>
        </w:trPr>
        <w:tc>
          <w:tcPr>
            <w:tcW w:w="5184" w:type="dxa"/>
          </w:tcPr>
          <w:p w14:paraId="6169F858">
            <w:r>
              <w:t>From AI Gala to Spring Festival Gala: The Infrastructuralisation of AI Discourse in Chinese State Media</w:t>
            </w:r>
          </w:p>
        </w:tc>
        <w:tc>
          <w:tcPr>
            <w:tcW w:w="5184" w:type="dxa"/>
          </w:tcPr>
          <w:p w14:paraId="46E14E28">
            <w:pPr>
              <w:spacing w:after="0"/>
              <w:jc w:val="right"/>
            </w:pPr>
            <w:r>
              <w:rPr>
                <w:sz w:val="20"/>
              </w:rPr>
              <w:t>In preparation</w:t>
            </w:r>
          </w:p>
        </w:tc>
      </w:tr>
    </w:tbl>
    <w:p w14:paraId="7FD11DF0">
      <w:pPr>
        <w:spacing w:after="30"/>
        <w:ind w:left="259" w:hanging="173"/>
      </w:pPr>
      <w:r>
        <w:rPr>
          <w:b/>
        </w:rPr>
        <w:t xml:space="preserve">• </w:t>
      </w:r>
      <w:r>
        <w:rPr>
          <w:rFonts w:hint="eastAsia"/>
        </w:rPr>
        <w:t>Article manuscript extending the minor thesis by comparing CCTV’s 2024 AI Gala with the 2026 Spring Festival Gala. Argues that AI shifts from a visible display object to an embedded production condition in state-media ritual, theorised through Larkin’s framework on the politics and poetics of infrastructure</w:t>
      </w:r>
      <w:r>
        <w:t xml:space="preserve">. </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4"/>
        <w:gridCol w:w="5184"/>
      </w:tblGrid>
      <w:tr w14:paraId="4C868679">
        <w:trPr>
          <w:jc w:val="center"/>
        </w:trPr>
        <w:tc>
          <w:tcPr>
            <w:tcW w:w="5184" w:type="dxa"/>
          </w:tcPr>
          <w:p w14:paraId="3DA98254">
            <w:r>
              <w:t>Accidental Soft Power: How Viral Medical Narratives Reshape China’s Medical Soft Power</w:t>
            </w:r>
          </w:p>
        </w:tc>
        <w:tc>
          <w:tcPr>
            <w:tcW w:w="5184" w:type="dxa"/>
          </w:tcPr>
          <w:p w14:paraId="565810CE">
            <w:pPr>
              <w:spacing w:after="0"/>
              <w:jc w:val="right"/>
            </w:pPr>
            <w:r>
              <w:rPr>
                <w:sz w:val="20"/>
              </w:rPr>
              <w:t>In preparation</w:t>
            </w:r>
          </w:p>
        </w:tc>
      </w:tr>
    </w:tbl>
    <w:p w14:paraId="61ADDA1C">
      <w:pPr>
        <w:spacing w:after="30"/>
        <w:ind w:left="259" w:hanging="173"/>
      </w:pPr>
      <w:r>
        <w:rPr>
          <w:b/>
        </w:rPr>
        <w:t xml:space="preserve">• </w:t>
      </w:r>
      <w:r>
        <w:rPr>
          <w:rFonts w:hint="eastAsia"/>
        </w:rPr>
        <w:t>Develops the concept of accidental soft power through the case of UK creator Amie’s viral China treatment narrative. Analyses competing platform discourse across TikTok user comments, CGTN institutional framing, Caixin’s data-correction frame and Chinese-language social-media reframing to examine how viral media events generate unintended shifts in platform-mediated national authority</w:t>
      </w:r>
      <w:r>
        <w:t xml:space="preserve">. </w:t>
      </w:r>
    </w:p>
    <w:p w14:paraId="7959C0D1">
      <w:pPr>
        <w:pStyle w:val="3"/>
        <w:pBdr>
          <w:bottom w:val="single" w:color="4F81BD" w:sz="6" w:space="1"/>
        </w:pBdr>
      </w:pPr>
      <w:r>
        <w:rPr>
          <w:color w:val="1F4E79"/>
        </w:rPr>
        <w:t>RELEVANT PROFESSIONAL EXPERIENCE</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4"/>
        <w:gridCol w:w="5184"/>
      </w:tblGrid>
      <w:tr w14:paraId="4F2CE2C1">
        <w:trPr>
          <w:jc w:val="center"/>
        </w:trPr>
        <w:tc>
          <w:tcPr>
            <w:tcW w:w="5184" w:type="dxa"/>
          </w:tcPr>
          <w:p w14:paraId="054ED707">
            <w:pPr>
              <w:spacing w:after="0"/>
            </w:pPr>
            <w:r>
              <w:rPr>
                <w:b/>
                <w:sz w:val="20"/>
              </w:rPr>
              <w:t>Online Test Preparation Instructor (IELTS and PTE)</w:t>
            </w:r>
          </w:p>
        </w:tc>
        <w:tc>
          <w:tcPr>
            <w:tcW w:w="5184" w:type="dxa"/>
          </w:tcPr>
          <w:p w14:paraId="15A5C910">
            <w:pPr>
              <w:spacing w:after="0"/>
              <w:jc w:val="right"/>
            </w:pPr>
            <w:r>
              <w:rPr>
                <w:sz w:val="20"/>
              </w:rPr>
              <w:t>2021 – 2023</w:t>
            </w:r>
          </w:p>
        </w:tc>
      </w:tr>
    </w:tbl>
    <w:p w14:paraId="1A4E0EB0">
      <w:pPr>
        <w:spacing w:after="0"/>
      </w:pPr>
      <w:r>
        <w:rPr>
          <w:i/>
        </w:rPr>
        <w:t>Freelance, China</w:t>
      </w:r>
    </w:p>
    <w:p w14:paraId="54CD3C6D">
      <w:pPr>
        <w:spacing w:after="30"/>
        <w:ind w:left="259" w:hanging="173"/>
      </w:pPr>
      <w:r>
        <w:rPr>
          <w:b/>
        </w:rPr>
        <w:t xml:space="preserve">• </w:t>
      </w:r>
      <w:r>
        <w:rPr>
          <w:rFonts w:hint="eastAsia"/>
        </w:rPr>
        <w:t>Delivered one-on-one and small-group English-language test preparation across multiple online platforms. Developed pedagogical skills relevant to potential tutoring duties during doctoral candidature</w:t>
      </w:r>
      <w:r>
        <w:t>.</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4"/>
        <w:gridCol w:w="5184"/>
      </w:tblGrid>
      <w:tr w14:paraId="11F74907">
        <w:trPr>
          <w:jc w:val="center"/>
        </w:trPr>
        <w:tc>
          <w:tcPr>
            <w:tcW w:w="5184" w:type="dxa"/>
          </w:tcPr>
          <w:p w14:paraId="194CC951">
            <w:pPr>
              <w:spacing w:after="0"/>
            </w:pPr>
            <w:r>
              <w:rPr>
                <w:b/>
                <w:sz w:val="20"/>
              </w:rPr>
              <w:t>Media and Communications Intern</w:t>
            </w:r>
          </w:p>
        </w:tc>
        <w:tc>
          <w:tcPr>
            <w:tcW w:w="5184" w:type="dxa"/>
          </w:tcPr>
          <w:p w14:paraId="72A5A5EC">
            <w:pPr>
              <w:spacing w:after="0"/>
              <w:jc w:val="right"/>
            </w:pPr>
            <w:r>
              <w:rPr>
                <w:sz w:val="20"/>
              </w:rPr>
              <w:t>2018 – 2019</w:t>
            </w:r>
          </w:p>
        </w:tc>
      </w:tr>
    </w:tbl>
    <w:p w14:paraId="0A6A0BC6">
      <w:pPr>
        <w:spacing w:after="0"/>
      </w:pPr>
      <w:r>
        <w:rPr>
          <w:i/>
        </w:rPr>
        <w:t>Hangzhou TV Group / Anji News Group — Hangzhou and Anji, China</w:t>
      </w:r>
    </w:p>
    <w:p w14:paraId="12860EA6">
      <w:pPr>
        <w:spacing w:after="30"/>
        <w:ind w:left="259" w:hanging="173"/>
      </w:pPr>
      <w:r>
        <w:rPr>
          <w:b/>
        </w:rPr>
        <w:t xml:space="preserve">• </w:t>
      </w:r>
      <w:r>
        <w:rPr>
          <w:rFonts w:hint="eastAsia"/>
        </w:rPr>
        <w:t>Conducted on-location public interviews and supported live broadcast logistics within state-affiliated news organisations. Direct experience of Chinese broadcast newsrooms informs later analysis of state media authority, performance and discourse</w:t>
      </w:r>
      <w:bookmarkStart w:id="0" w:name="_GoBack"/>
      <w:bookmarkEnd w:id="0"/>
      <w:r>
        <w:t>.</w:t>
      </w:r>
    </w:p>
    <w:p w14:paraId="439F3A1D"/>
    <w:sectPr>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7F0B97"/>
    <w:rsid w:val="EDCBA576"/>
    <w:rsid w:val="EE7F66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240" w:lineRule="auto"/>
    </w:pPr>
    <w:rPr>
      <w:rFonts w:ascii="Calibri" w:hAnsi="Calibri" w:eastAsia="Calibri" w:cstheme="minorBidi"/>
      <w:sz w:val="20"/>
      <w:szCs w:val="22"/>
      <w:lang w:val="en-US" w:eastAsia="en-US" w:bidi="ar-SA"/>
    </w:rPr>
  </w:style>
  <w:style w:type="paragraph" w:styleId="3">
    <w:name w:val="heading 1"/>
    <w:basedOn w:val="1"/>
    <w:next w:val="1"/>
    <w:link w:val="138"/>
    <w:qFormat/>
    <w:uiPriority w:val="9"/>
    <w:pPr>
      <w:keepNext/>
      <w:keepLines/>
      <w:spacing w:before="160" w:after="60"/>
      <w:outlineLvl w:val="0"/>
    </w:pPr>
    <w:rPr>
      <w:rFonts w:asciiTheme="majorHAnsi" w:hAnsiTheme="majorHAnsi" w:eastAsiaTheme="majorEastAsia" w:cstheme="majorBidi"/>
      <w:b/>
      <w:bCs/>
      <w:color w:val="000000"/>
      <w:sz w:val="22"/>
      <w:szCs w:val="28"/>
    </w:rPr>
  </w:style>
  <w:style w:type="paragraph" w:styleId="4">
    <w:name w:val="heading 2"/>
    <w:basedOn w:val="1"/>
    <w:next w:val="1"/>
    <w:link w:val="139"/>
    <w:unhideWhenUsed/>
    <w:qFormat/>
    <w:uiPriority w:val="9"/>
    <w:pPr>
      <w:keepNext/>
      <w:keepLines/>
      <w:spacing w:before="100" w:after="20"/>
      <w:outlineLvl w:val="1"/>
    </w:pPr>
    <w:rPr>
      <w:rFonts w:asciiTheme="majorHAnsi" w:hAnsiTheme="majorHAnsi" w:eastAsiaTheme="majorEastAsia" w:cstheme="majorBidi"/>
      <w:b/>
      <w:bCs/>
      <w:color w:val="4F81BD" w:themeColor="accent1"/>
      <w:sz w:val="2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26</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2013-12-24T19:15:00Z</dcterms:created>
  <dc:creator>python-docx</dc:creator>
  <dc:description>generated by python-docx</dc:description>
  <cp:lastModifiedBy>Maggie Gao</cp:lastModifiedBy>
  <dcterms:modified xsi:type="dcterms:W3CDTF">2026-05-14T23:38:26Z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5AA97E465D0AAF85F5C7056AA9E08486_42</vt:lpwstr>
  </property>
</Properties>
</file>