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line="360" w:lineRule="auto" w:after="120"/>
        <w:jc w:val="center"/>
      </w:pPr>
      <w:r>
        <w:rPr>
          <w:rFonts w:ascii="Times New Roman" w:hAnsi="Times New Roman"/>
          <w:b/>
        </w:rPr>
        <w:t xml:space="preserve">Qizlarni oilaviy hayotga tayyorlashda etnik stereotiplar va psixologik ustanovkalar: Farg'ona vodiysidagi o'zbek va qirg'iz talaba qizlar misolida qiyosiy tadqiqot</w:t>
      </w:r>
    </w:p>
    <w:p>
      <w:pPr>
        <w:spacing w:line="360" w:lineRule="auto" w:after="120"/>
        <w:jc w:val="center"/>
      </w:pPr>
      <w:r>
        <w:rPr>
          <w:rFonts w:ascii="Times New Roman" w:hAnsi="Times New Roman"/>
        </w:rPr>
        <w:t xml:space="preserve">Nohida X. Djuxanova¹, Muazzam T. Isakova¹, Sherzod A. Usmanov¹, Adlet D. Kariyev²</w:t>
      </w:r>
    </w:p>
    <w:p>
      <w:pPr>
        <w:spacing w:line="360" w:lineRule="auto" w:after="120"/>
        <w:jc w:val="center"/>
      </w:pPr>
      <w:r>
        <w:rPr>
          <w:rFonts w:ascii="Times New Roman" w:hAnsi="Times New Roman"/>
        </w:rPr>
        <w:t xml:space="preserve">¹ Psixologiya kafedrasi, Farg'ona davlat universiteti, Farg'ona, O'zbekiston</w:t>
      </w:r>
    </w:p>
    <w:p>
      <w:pPr>
        <w:spacing w:line="360" w:lineRule="auto" w:after="120"/>
        <w:jc w:val="center"/>
      </w:pPr>
      <w:r>
        <w:rPr>
          <w:rFonts w:ascii="Times New Roman" w:hAnsi="Times New Roman"/>
        </w:rPr>
        <w:t xml:space="preserve">² [Ish joyi to'ldirilsin]</w:t>
      </w:r>
    </w:p>
    <w:p>
      <w:pPr>
        <w:spacing w:line="360" w:lineRule="auto" w:after="120"/>
        <w:jc w:val="center"/>
      </w:pPr>
      <w:r>
        <w:rPr>
          <w:rFonts w:ascii="Times New Roman" w:hAnsi="Times New Roman"/>
        </w:rPr>
        <w:t xml:space="preserve">Mas'ul muallif: [ism, e-pochta, ORCID]</w:t>
      </w:r>
    </w:p>
    <w:p>
      <w:pPr>
        <w:pStyle w:val="Heading2"/>
        <w:spacing w:before="240" w:after="120"/>
      </w:pPr>
      <w:r>
        <w:rPr>
          <w:rFonts w:ascii="Times New Roman" w:hAnsi="Times New Roman"/>
        </w:rPr>
        <w:t xml:space="preserve">Annotatsiya</w:t>
      </w:r>
    </w:p>
    <w:p>
      <w:pPr>
        <w:spacing w:line="360" w:lineRule="auto" w:after="120"/>
        <w:jc w:val="both"/>
      </w:pPr>
      <w:r>
        <w:rPr>
          <w:rFonts w:ascii="Times New Roman" w:hAnsi="Times New Roman"/>
          <w:b/>
        </w:rPr>
        <w:t xml:space="preserve">Muammo.</w:t>
      </w:r>
      <w:r>
        <w:rPr>
          <w:rFonts w:ascii="Times New Roman" w:hAnsi="Times New Roman"/>
        </w:rPr>
        <w:t xml:space="preserve"> Oila qurish bo'yicha qiyosiy tadqiqotlarda Markaziy Osiyo odatda yagona madaniy hudud sifatida qaraladi. Bir din, bir til oilasi va bir hududni baham ko'radigan qo'shni turkiy xalqlar o'rtasida oilaga oid ustanovkalar qanday farqlanishi haqida miqdoriy dalillar deyarli yo'q.</w:t>
      </w:r>
    </w:p>
    <w:p>
      <w:pPr>
        <w:spacing w:line="360" w:lineRule="auto" w:after="120"/>
      </w:pPr>
      <w:r>
        <w:rPr>
          <w:rFonts w:ascii="Times New Roman" w:hAnsi="Times New Roman"/>
          <w:b/>
        </w:rPr>
        <w:t xml:space="preserve">Maqsad.</w:t>
      </w:r>
      <w:r>
        <w:rPr>
          <w:rFonts w:ascii="Times New Roman" w:hAnsi="Times New Roman"/>
        </w:rPr>
        <w:t xml:space="preserve"> Turmushga chiqmagan o'zbek va qirg'iz qizlarida etnik stereotiplar, psixologik ustanovkalar va oilaviy hayotga o'zini tayyor deb baholash darajasini qiyoslash.</w:t>
      </w:r>
    </w:p>
    <w:p>
      <w:pPr>
        <w:spacing w:line="360" w:lineRule="auto" w:after="120"/>
        <w:jc w:val="both"/>
      </w:pPr>
      <w:r>
        <w:rPr>
          <w:rFonts w:ascii="Times New Roman" w:hAnsi="Times New Roman"/>
          <w:b/>
        </w:rPr>
        <w:t xml:space="preserve">Metodlar.</w:t>
      </w:r>
      <w:r>
        <w:rPr>
          <w:rFonts w:ascii="Times New Roman" w:hAnsi="Times New Roman"/>
        </w:rPr>
        <w:t xml:space="preserve"> O'zbekistonning Farg'ona va Andijon viloyatlarida 18–25 yoshli, turmushga chiqmagan 529 nafar talaba qiz (340 nafar o'zbek, 189 nafar qirg'iz) ishtirokida kesimli so'rovnoma tadqiqoti o'tkazildi. Respondentlar oilaviy hayot haqidagi ijtimoiy tasavvurlar bo'yicha mualliflik so'rovnomasi, an'anaviy gender ustanovkalarini maqollar orqali o'lchovchi metodika, ota-ona oilasidagi uyushganlik va egiluvchanlikni baholovchi moslashtirilgan FACES-III protokoli, S. Bemning jinsiy rollar so'rovnomasi, nikohga tayyorlikning ikki mintaqaviy testi hamda nikoh motivatsiyasini juftli taqqoslash metodikasini to'ldirdi. Guruhlar bog'liq bo'lmagan tanlanmalar uchun t-mezon, Koen d ko'rsatkichi, Xolm tuzatishi va χ² mezoni yordamida qiyoslandi.</w:t>
      </w:r>
    </w:p>
    <w:p>
      <w:pPr>
        <w:spacing w:line="360" w:lineRule="auto" w:after="120"/>
        <w:jc w:val="both"/>
      </w:pPr>
      <w:r>
        <w:rPr>
          <w:rFonts w:ascii="Times New Roman" w:hAnsi="Times New Roman"/>
          <w:b/>
        </w:rPr>
        <w:t xml:space="preserve">Natijalar.</w:t>
      </w:r>
      <w:r>
        <w:rPr>
          <w:rFonts w:ascii="Times New Roman" w:hAnsi="Times New Roman"/>
        </w:rPr>
        <w:t xml:space="preserve"> 23 ta miqdoriy ko'rsatkichning aksariyati bo'yicha guruhlar farqlanmadi. Ahamiyatli farqlarning barchasi kichik hajmda bo'ldi (|d| = 0,18–0,36). Xolm tuzatishidan keyin to'rttasi saqlanib qoldi: o'zbek respondentlar turmushga chiqishga tayyorlik (d = 0,33), oilaviy munosabat chegarasi (d = 0,36) va oilaviy rollar egiluvchanligi (d = 0,35) bo'yicha yuqori natija ko'rsatdi; qirg'iz respondentlarda esa onalik mas'uliyatiga tayyorlik kamroq shakllangan edi (d = −0,31). Har ikki guruhda feminin gender o'zligi ustun bo'ldi (82,6%). Ayolga xos maqbul sifatlarning patriarxal to'plamini o'zbek respondentlarning 69,7 foizi va qirg'iz respondentlarning 53,4 foizi ma'qulladi (χ²(2) = 21,88; p &lt; 0,001; V = 0,20).</w:t>
      </w:r>
    </w:p>
    <w:p>
      <w:pPr>
        <w:spacing w:line="360" w:lineRule="auto" w:after="120"/>
        <w:jc w:val="both"/>
      </w:pPr>
      <w:r>
        <w:rPr>
          <w:rFonts w:ascii="Times New Roman" w:hAnsi="Times New Roman"/>
          <w:b/>
        </w:rPr>
        <w:t xml:space="preserve">Xulosa.</w:t>
      </w:r>
      <w:r>
        <w:rPr>
          <w:rFonts w:ascii="Times New Roman" w:hAnsi="Times New Roman"/>
        </w:rPr>
        <w:t xml:space="preserve"> Etnik stereotiplar belgilovchi emas, balki farqlovchi omil sifatida ishlaydi: ular asosan umumiy bo'lgan normativ tizim ichida ayrim oilaviy vazifalarning nisbiy ahamiyatini o'zgartiradi. Nikohgacha tayyorlov dasturlari umumiy mazmunga tayanib, rollarni kelishish va chegaralarni boshqarish bo'yicha maqsadli modullar bilan to'ldirilishi mumkin.</w:t>
      </w:r>
    </w:p>
    <w:p>
      <w:pPr>
        <w:spacing w:line="360" w:lineRule="auto" w:after="120"/>
      </w:pPr>
      <w:r>
        <w:rPr>
          <w:rFonts w:ascii="Times New Roman" w:hAnsi="Times New Roman"/>
          <w:b/>
        </w:rPr>
        <w:t xml:space="preserve">Kalit so'zlar:</w:t>
      </w:r>
      <w:r>
        <w:rPr>
          <w:rFonts w:ascii="Times New Roman" w:hAnsi="Times New Roman"/>
        </w:rPr>
        <w:t xml:space="preserve"> etnik stereotip; psixologik ustanovka; oilaviy hayotga tayyorlik; gender rollari; oilaviy uyushganlik; o'zbeklar; qirg'izlar; Markaziy Osiyo</w:t>
      </w:r>
    </w:p>
    <w:p>
      <w:pPr>
        <w:pStyle w:val="Heading2"/>
        <w:spacing w:before="240" w:after="120"/>
      </w:pPr>
      <w:r>
        <w:rPr>
          <w:rFonts w:ascii="Times New Roman" w:hAnsi="Times New Roman"/>
        </w:rPr>
        <w:t xml:space="preserve">1. Kirish</w:t>
      </w:r>
    </w:p>
    <w:p>
      <w:pPr>
        <w:spacing w:line="360" w:lineRule="auto" w:after="120"/>
        <w:jc w:val="both"/>
      </w:pPr>
      <w:r>
        <w:rPr>
          <w:rFonts w:ascii="Times New Roman" w:hAnsi="Times New Roman"/>
        </w:rPr>
        <w:t xml:space="preserve">Turmush qurish ham biografik, ham institutsional ahamiyatga ega bo'lgan kam sonli rivojlanish vazifalaridan biridir. U shaxsning hayot yo'lini qayta tuzadi va jamiyatning normativ tartibini qayta ishlab chiqaradi. Nikoh deyarli umumiy, erta tuziladigan va oilaning faol ishtirokida hal qilinadigan sharoitlarda unga qadar bo'ladigan psixologik tayyorgarlik alohida ahamiyat kasb etadi.</w:t>
      </w:r>
    </w:p>
    <w:p>
      <w:pPr>
        <w:spacing w:line="360" w:lineRule="auto" w:after="120"/>
        <w:jc w:val="both"/>
      </w:pPr>
      <w:r>
        <w:rPr>
          <w:rFonts w:ascii="Times New Roman" w:hAnsi="Times New Roman"/>
        </w:rPr>
        <w:t xml:space="preserve">Markaziy Osiyo aynan shunday hudud. Mintaqada ilk nikoh odatda o'smirlik oxiri yoki yigirma yoshning boshida tuziladi, nikohdan keyingi yashash joyi ko'pincha patrilokal bo'ladi. Kelinning erining xonadoniga moslashuvi esa madaniy jihatdan uning asosiy adaptiv vazifasi sifatida talqin qilinadi.</w:t>
      </w:r>
    </w:p>
    <w:p>
      <w:pPr>
        <w:spacing w:line="360" w:lineRule="auto" w:after="120"/>
        <w:jc w:val="both"/>
      </w:pPr>
      <w:r>
        <w:rPr>
          <w:rFonts w:ascii="Times New Roman" w:hAnsi="Times New Roman"/>
        </w:rPr>
        <w:t xml:space="preserve">O'zbekistonda bu madaniy andoza davlat siyosati bilan kesishadi. 2018-yildan beri qabul qilingan qator hujjatlar oila institutini mustahkamlashni strategik ustuvor yo'nalish deb belgiladi, nikohgacha tayyorlov markazlarini tashkil etdi va mahalla darajasida qizlar bilan ishlashga psixologlarni jalb qildi. Bu choralar ortidagi asosiy faraz shundan iboratki, oilaviy hayotga tayyorlik o'zgarmas madaniy meros emas, balki o'zgartirish mumkin bo'lgan psixologik holatdir. Bu farazni tekshirish uchun qizlar turmushga chiqishdan oldin aslida nimaga ishonishi va nimani kutishi, shuningdek, bu qarashlar dasturlar qamrab oladigan etnik jamoalar o'rtasida qanchalik farqlanishi haqida dalil kerak.</w:t>
      </w:r>
    </w:p>
    <w:p>
      <w:pPr>
        <w:spacing w:line="360" w:lineRule="auto" w:after="120"/>
        <w:jc w:val="both"/>
      </w:pPr>
      <w:r>
        <w:rPr>
          <w:rFonts w:ascii="Times New Roman" w:hAnsi="Times New Roman"/>
        </w:rPr>
        <w:t xml:space="preserve">Qiyosiy adabiyotlarda Markaziy Osiyo asosan yaxlit holda o'rganilgan. Tadqiqotlar mintaqani Yevropa, Rossiya yoki Sharqiy Osiyo bilan taqqoslaydi (Hofstede, 2001; Inglehart &amp; Norris, 2003), ammo uning ichidagi turkiy-musulmon guruhlar o'rtasidagi tafovutni kamdan-kam o'rganadi. Bu texnik emas, mazmuniy bo'shliqdir. O'zbek va qirg'iz jamoalari bir til oilasiga, bir dinga va umumiy sovet o'tmishiga ega bo'lib, Farg'ona vodiysida yonma-yon yashaydi. Shu bilan birga ular tarixiy xo'jalik yuritish tarzi (asosan o'troq-dehqonchilik va asosan ko'chmanchi-chorvachilik), qarindoshlik tizimi va xonadondagi hokimiyatning avlodlar bo'yicha taqsimlanishida farqlanadi. Agar etnik stereotiplar nikohgacha shakllangan ustanovkalarga ta'sir ko'rsatsa, bu ta'sir aynan shu sharoitda aniqlanishi kerak, chunki din, til va siyosiy kontekst bilan bog'liq aralashuvchi omillar minimallashtirilgan (Berry et al., 2011).</w:t>
      </w:r>
    </w:p>
    <w:p>
      <w:pPr>
        <w:spacing w:line="360" w:lineRule="auto" w:after="120"/>
      </w:pPr>
      <w:r>
        <w:rPr>
          <w:rFonts w:ascii="Times New Roman" w:hAnsi="Times New Roman"/>
        </w:rPr>
        <w:t xml:space="preserve">Mazkur tadqiqot shu bo'shliqni to'ldirishga qaratilgan. O'zbekistonning ikki qo'shni viloyatidagi 529 nafar turmushga chiqmagan talaba qiz misolida uchta savolga javob izlanadi:</w:t>
      </w:r>
    </w:p>
    <w:p>
      <w:pPr>
        <w:pStyle w:val="ListParagraph"/>
        <w:numPr>
          <w:ilvl w:val="0"/>
          <w:numId w:val="2"/>
        </w:numPr>
        <w:spacing w:line="360" w:lineRule="auto" w:after="120"/>
      </w:pPr>
      <w:r>
        <w:rPr>
          <w:rFonts w:ascii="Times New Roman" w:hAnsi="Times New Roman"/>
        </w:rPr>
        <w:t xml:space="preserve">O'zbek va qirg'iz qizlari oilaviy hayot haqidagi ijtimoiy tasavvurlari hamda nikoh va onalikka o'zini tayyor deb baholashi bo'yicha farqlanadimi?</w:t>
      </w:r>
    </w:p>
    <w:p>
      <w:pPr>
        <w:pStyle w:val="ListParagraph"/>
        <w:numPr>
          <w:ilvl w:val="0"/>
          <w:numId w:val="2"/>
        </w:numPr>
        <w:spacing w:line="360" w:lineRule="auto" w:after="120"/>
      </w:pPr>
      <w:r>
        <w:rPr>
          <w:rFonts w:ascii="Times New Roman" w:hAnsi="Times New Roman"/>
        </w:rPr>
        <w:t xml:space="preserve">An'anaviy gender stereotiplari maqollar va baxtli oila uchun zarur deb hisoblangan sifatlar orqali o'lchanganda har bir guruhda qanday taqsimlangan?</w:t>
      </w:r>
    </w:p>
    <w:p>
      <w:pPr>
        <w:pStyle w:val="ListParagraph"/>
        <w:numPr>
          <w:ilvl w:val="0"/>
          <w:numId w:val="2"/>
        </w:numPr>
        <w:spacing w:line="360" w:lineRule="auto" w:after="120"/>
      </w:pPr>
      <w:r>
        <w:rPr>
          <w:rFonts w:ascii="Times New Roman" w:hAnsi="Times New Roman"/>
        </w:rPr>
        <w:t xml:space="preserve">Guruhlar ota-ona oilasida kuzatgan uyushganlik va egiluvchanlik darajasi bo'yicha farqlanadimi? Circumplex modeli aynan shu ko'rsatkichlarni kelgusi nikoh faoliyatining andozasi deb hisoblaydi.</w:t>
      </w:r>
    </w:p>
    <w:p>
      <w:pPr>
        <w:pStyle w:val="Heading2"/>
        <w:spacing w:before="240" w:after="120"/>
      </w:pPr>
      <w:r>
        <w:rPr>
          <w:rFonts w:ascii="Times New Roman" w:hAnsi="Times New Roman"/>
        </w:rPr>
        <w:t xml:space="preserve">2. Nazariy asos</w:t>
      </w:r>
    </w:p>
    <w:p>
      <w:pPr>
        <w:pStyle w:val="Heading3"/>
        <w:spacing w:before="240" w:after="120"/>
      </w:pPr>
      <w:r>
        <w:rPr>
          <w:rFonts w:ascii="Times New Roman" w:hAnsi="Times New Roman"/>
        </w:rPr>
        <w:t xml:space="preserve">2.1. Ustanovka, moyillik va etnik stereotip</w:t>
      </w:r>
    </w:p>
    <w:p>
      <w:pPr>
        <w:spacing w:line="360" w:lineRule="auto" w:after="120"/>
        <w:jc w:val="both"/>
      </w:pPr>
      <w:r>
        <w:rPr>
          <w:rFonts w:ascii="Times New Roman" w:hAnsi="Times New Roman"/>
        </w:rPr>
        <w:t xml:space="preserve">Mazkur tadqiqotda ikki ilmiy an'ana birlashadi. Postsovet an'anasida D. N. Uznadzening ustanovka nazariyasi ustanovkani yaxlit shaxsning muayyan yo'nalishda harakat qilishga bo'lgan ongsiz tayyorligi sifatida talqin qiladi. U vaziyat bilan takroriy to'qnashuv natijasida shakllanadi va har qanday ongli baholashdan oldin ishga tushadi (Uznadze, 1966). G'arb an'anasida ustanovka kognitiv, affektiv va konativ tarkibiy qismlarga ega baholovchi moyillik sifatida modellashtiriladi. U aniq, tez faollashadigan va normativ jihatdan qo'llab-quvvatlangan darajada xulq-atvorni bashorat qiladi (Ajzen, 1991; Fishbein &amp; Ajzen, 1975). Ikki yondashuv metanazariy jihatdan farqlansa-da, bitta muhim nuqtada birlashadi: erta o'zlashtirilgan va yaqin ijtimoiy muhit tomonidan mustahkamlangan ustanovka standart holat sifatida ishlaydi va faqat ongli mulohaza orqali qayta ko'rib chiqiladi.</w:t>
      </w:r>
    </w:p>
    <w:p>
      <w:pPr>
        <w:spacing w:line="360" w:lineRule="auto" w:after="120"/>
        <w:jc w:val="both"/>
      </w:pPr>
      <w:r>
        <w:rPr>
          <w:rFonts w:ascii="Times New Roman" w:hAnsi="Times New Roman"/>
        </w:rPr>
        <w:t xml:space="preserve">Etnik stereotiplar ustanovkaning obyekti ijtimoiy kategoriya bo'lganda u tashiydigan mazmundir. G. Olport (1954) stereotipni kategoriya bilan bog'liq, unga nisbatan xulq-atvorni oqlash vazifasini bajaruvchi mubolag'ali ishonch sifatida ta'riflagan. Ijtimoiy o'zlik nazariyasi keyinchalik bunday ishonchlar shaxs uchun ahamiyatli bo'ladigan va xulq-atvorni belgilaydigan guruhlararo sharoitlarni aniqlashtirgan (Tajfel &amp; Turner, 1979). S. Moskovichining (1988) ijtimoiy tasavvurlar nazariyasi bizning ma'lumotlarimizga eng mos uzatish mexanizmini taklif etadi: umumiy bilim kundalik muloqot, jumladan, maqollar, hikmatli so'zlar va oilaviy rivoyatlar orqali barqarorlashadi va tarqaladi. Ular mavhum me'yorlarni aniq, esda qoladigan obrazlarga bog'laydi.</w:t>
      </w:r>
    </w:p>
    <w:p>
      <w:pPr>
        <w:pStyle w:val="Heading3"/>
        <w:spacing w:before="240" w:after="120"/>
      </w:pPr>
      <w:r>
        <w:rPr>
          <w:rFonts w:ascii="Times New Roman" w:hAnsi="Times New Roman"/>
        </w:rPr>
        <w:t xml:space="preserve">2.2. Oilaviy tayyorlik va Circumplex modeli</w:t>
      </w:r>
    </w:p>
    <w:p>
      <w:pPr>
        <w:spacing w:line="360" w:lineRule="auto" w:after="120"/>
        <w:jc w:val="both"/>
      </w:pPr>
      <w:r>
        <w:rPr>
          <w:rFonts w:ascii="Times New Roman" w:hAnsi="Times New Roman"/>
        </w:rPr>
        <w:t xml:space="preserve">Oilaviy hayotga tayyorlik yaxlit konstrukt emas. U kamida fiziologik yetuklik, ijtimoiy-iqtisodiy imkoniyat, oilaviy rollarni bilish hamda stress sharoitida yaqinlikni saqlash uchun zarur affektiv va o'zini boshqarish qobiliyatlarini o'z ichiga oladi. D. Olsonning Circumplex modeli (2000, 2011) oxirgisini operatsionallashtirishga asos beradi. Oilalar ikki o'lchov bo'yicha joylashtiriladi: uyushganlik (a'zolar o'rtasidagi hissiy bog'liqlik) va egiluvchanlik (talabga javoban liderlik, rollar va qoidalarni o'zgartira olish qobiliyati); muloqot esa yordamchi o'lchov hisoblanadi. Turmushga chiqmagan respondentlar hali mavjud bo'lmagan nikoh haqida ma'lumot bera olmagani sababli, bu yerda ota-ona oilasi murojaat nuqtasi sifatida olindi.</w:t>
      </w:r>
    </w:p>
    <w:p>
      <w:pPr>
        <w:spacing w:line="360" w:lineRule="auto" w:after="120"/>
        <w:jc w:val="both"/>
      </w:pPr>
      <w:r>
        <w:rPr>
          <w:rFonts w:ascii="Times New Roman" w:hAnsi="Times New Roman"/>
        </w:rPr>
        <w:t xml:space="preserve">Ch. Kag'itchibashining (2007) oila o'zgarishi modeli Markaziy Osiyo uchun bevosita ahamiyatli. Uning fikricha, kollektivistik jamiyatlarda modernizatsiya konvergensiya nazariyalari bashorat qilgan mustaqil, ajralgan «men»ni emas, balki avtonom-bog'langan «men»ni hosil qiladi: moddiy o'zaro bog'liqlik susayadi, hissiy o'zaro bog'liqlik esa saqlanib qoladi. Shunga ko'ra, tez urbanizatsiyalashayotgan musulmon jamiyatidagi qizlarda ta'lim va iqtisodiy mustaqillikka intilish ortishi bilan birga oilaviy burchga sadoqat susaymasligi kutiladi. Bir o'lchovli «an'anaviy–zamonaviy» shkalasida bu ziddiyatli ko'rinadi.</w:t>
      </w:r>
    </w:p>
    <w:p>
      <w:pPr>
        <w:pStyle w:val="Heading3"/>
        <w:spacing w:before="240" w:after="120"/>
      </w:pPr>
      <w:r>
        <w:rPr>
          <w:rFonts w:ascii="Times New Roman" w:hAnsi="Times New Roman"/>
        </w:rPr>
        <w:t xml:space="preserve">2.3. Gender-rol stereotiplari</w:t>
      </w:r>
    </w:p>
    <w:p>
      <w:pPr>
        <w:spacing w:line="360" w:lineRule="auto" w:after="120"/>
        <w:jc w:val="both"/>
      </w:pPr>
      <w:r>
        <w:rPr>
          <w:rFonts w:ascii="Times New Roman" w:hAnsi="Times New Roman"/>
        </w:rPr>
        <w:t xml:space="preserve">S. Bemning (1974) psixologik androginlik konsepsiyasi maskulinlik va femininlikni biologik jinsdan va bir-biridan ajratib, gender o'zligini ikki mustaqil o'lchov sifatida o'lchash imkonini berdi. Ijtimoiy rollar nazariyasi rivojlanish mexanizmini izohlaydi: gender bo'yicha farqlangan xulq-atvor mehnat taqsimoti va u keltirib chiqaradigan rol kutilmalaridan kelib chiqadi hamda shu taqsimot o'zgarishi bilan o'zgaradi (Eagly &amp; Wood, 1999). P. Glik va S. Fiskening (1996) ambivalent seksizm bo'yicha ishlari an'anaviy gender tartibi nega ko'pincha aynan ayollar tomonidan ma'qullanishini tushuntiradi: benevolent seksizm cheklovni himoya va e'zoz sifatida taqdim etadi va shu tariqa uni cheklanayotganlar uchun subyektiv maqbul qiladi. D. Kandiyotining (1988) </w:t>
      </w:r>
      <w:r>
        <w:rPr>
          <w:rFonts w:ascii="Times New Roman" w:hAnsi="Times New Roman"/>
          <w:i/>
        </w:rPr>
        <w:t xml:space="preserve">«patriarxal bitim»</w:t>
      </w:r>
      <w:r>
        <w:rPr>
          <w:rFonts w:ascii="Times New Roman" w:hAnsi="Times New Roman"/>
        </w:rPr>
        <w:t xml:space="preserve"> tushunchasi shu jarayonni strategik tilda ta'riflaydi: klassik patriarxat sharoitida ayollar real xavfsizlikka va vaqti kelib real hokimiyatga ega bo'ladi, demak uning qoidalarini himoya qilish uchun moddiy asoslari bor.</w:t>
      </w:r>
    </w:p>
    <w:p>
      <w:pPr>
        <w:spacing w:line="360" w:lineRule="auto" w:after="120"/>
      </w:pPr>
      <w:r>
        <w:rPr>
          <w:rFonts w:ascii="Times New Roman" w:hAnsi="Times New Roman"/>
        </w:rPr>
        <w:t xml:space="preserve">Ushbu nazariyalar ikki guruh o'rtasida keng o'xshashlikni, farqlar esa tarixiy xonadon tuzilishi eng ko'p tafovut qilgan oilaviy hayotning tuzilmaviy jihatlarida to'planishini kutishga asos beradi.</w:t>
      </w:r>
    </w:p>
    <w:p>
      <w:pPr>
        <w:pStyle w:val="Heading2"/>
        <w:spacing w:before="240" w:after="120"/>
      </w:pPr>
      <w:r>
        <w:rPr>
          <w:rFonts w:ascii="Times New Roman" w:hAnsi="Times New Roman"/>
        </w:rPr>
        <w:t xml:space="preserve">3. Tadqiqot metodikasi</w:t>
      </w:r>
    </w:p>
    <w:p>
      <w:pPr>
        <w:pStyle w:val="Heading3"/>
        <w:spacing w:before="240" w:after="120"/>
      </w:pPr>
      <w:r>
        <w:rPr>
          <w:rFonts w:ascii="Times New Roman" w:hAnsi="Times New Roman"/>
        </w:rPr>
        <w:t xml:space="preserve">3.1. Tadqiqot ishtirokchilari</w:t>
      </w:r>
    </w:p>
    <w:p>
      <w:pPr>
        <w:spacing w:line="360" w:lineRule="auto" w:after="120"/>
        <w:jc w:val="both"/>
      </w:pPr>
      <w:r>
        <w:rPr>
          <w:rFonts w:ascii="Times New Roman" w:hAnsi="Times New Roman"/>
        </w:rPr>
        <w:t xml:space="preserve">Tanlanma 18–25 yoshli, turmushga chiqmagan 529 nafar talaba qizdan iborat bo'ldi. Ulardan 340 nafari o'zbek millatiga mansub bo'lib, Farg'ona davlat universitetining «Maktabgacha va boshlang'ich ta'lim» fakultetida ikkinchi bosqichda o'qiydi. Qolgan 189 nafari qirg'iz millatiga mansub bo'lib, Andijon davlat universitetining «Qirg'iz va xorijiy tillar» fakultetida ikkinchi va uchinchi bosqichda tahsil oladi. Barcha ishtirokchilar Farg'ona vodiysida istiqomat qiluvchi O'zbekiston fuqarolari edi. Shu sababli qirg'iz guruhi Qirg'izistondan olingan milliy tanlanmani emas, balki O'zbekiston ichida uzoq vaqtdan beri yashab kelayotgan etnik jamoani ifodalaydi. Etnik mansublik viloyat va universitet bilan mos tushgani uchun etnik va hududiy ta'sirlarni to'liq ajratib bo'lmaydi (5.5-bo'limga qarang).</w:t>
      </w:r>
    </w:p>
    <w:p>
      <w:pPr>
        <w:pStyle w:val="Heading3"/>
        <w:spacing w:before="240" w:after="120"/>
      </w:pPr>
      <w:r>
        <w:rPr>
          <w:rFonts w:ascii="Times New Roman" w:hAnsi="Times New Roman"/>
        </w:rPr>
        <w:t xml:space="preserve">3.2. Etik masalalar</w:t>
      </w:r>
    </w:p>
    <w:p>
      <w:pPr>
        <w:spacing w:line="360" w:lineRule="auto" w:after="120"/>
        <w:jc w:val="both"/>
      </w:pPr>
      <w:r>
        <w:rPr>
          <w:rFonts w:ascii="Times New Roman" w:hAnsi="Times New Roman"/>
        </w:rPr>
        <w:t xml:space="preserve">Ishtirok ixtiyoriy va haq to'lanmagan holda amalga oshirildi. Respondentlar tadqiqot maqsadi va istalgan vaqtda undan voz kechish huquqi haqida xabardor qilindi hamda ongli rozilik berdi. Ma'lumotlar anonim tarzda to'plandi va tahlil qilindi. [Etika qo'mitasining nomi, ruxsatnoma raqami va sanasi qo'shilsin.]</w:t>
      </w:r>
    </w:p>
    <w:p>
      <w:pPr>
        <w:pStyle w:val="Heading3"/>
        <w:spacing w:before="240" w:after="120"/>
      </w:pPr>
      <w:r>
        <w:rPr>
          <w:rFonts w:ascii="Times New Roman" w:hAnsi="Times New Roman"/>
        </w:rPr>
        <w:t xml:space="preserve">3.3. Metodikalar</w:t>
      </w:r>
    </w:p>
    <w:p>
      <w:pPr>
        <w:pStyle w:val="ListParagraph"/>
        <w:numPr>
          <w:ilvl w:val="0"/>
          <w:numId w:val="3"/>
        </w:numPr>
        <w:spacing w:line="360" w:lineRule="auto" w:after="120"/>
      </w:pPr>
      <w:r>
        <w:rPr>
          <w:rFonts w:ascii="Times New Roman" w:hAnsi="Times New Roman"/>
          <w:b/>
        </w:rPr>
        <w:t xml:space="preserve">Oilaviy hayot haqidagi ijtimoiy tasavvurlar.</w:t>
      </w:r>
      <w:r>
        <w:rPr>
          <w:rFonts w:ascii="Times New Roman" w:hAnsi="Times New Roman"/>
        </w:rPr>
        <w:t xml:space="preserve"> Beshta shkaladan iborat mualliflik ijtimoiy-psixologik so'rovnomasi: oilaviy hayot haqidagi tasavvurlarning umumiy darajasi; mustahkam oila qurishdagi ustuvorliklar; baxtli oila uchun zarur bilimlar; onalik mas'uliyatiga o'zini tayyor deb baholash; ayol rolini bajarishga o'zini tayyor deb baholash. Topshiriqlar tartib shkalasi bo'yicha baholandi; past ball aniqroq va to'laroq shakllangan tasavvurni bildiradi.</w:t>
      </w:r>
    </w:p>
    <w:p>
      <w:pPr>
        <w:pStyle w:val="ListParagraph"/>
        <w:numPr>
          <w:ilvl w:val="0"/>
          <w:numId w:val="3"/>
        </w:numPr>
        <w:spacing w:line="360" w:lineRule="auto" w:after="120"/>
      </w:pPr>
      <w:r>
        <w:rPr>
          <w:rFonts w:ascii="Times New Roman" w:hAnsi="Times New Roman"/>
          <w:b/>
        </w:rPr>
        <w:t xml:space="preserve">An'anaviy gender ustanovkalari (maqollar metodikasi).</w:t>
      </w:r>
      <w:r>
        <w:rPr>
          <w:rFonts w:ascii="Times New Roman" w:hAnsi="Times New Roman"/>
        </w:rPr>
        <w:t xml:space="preserve"> O'zbek va qirg'iz folklor to'plamlaridan qiz bolaning xulqi, hayosi va turmushga chiqishiga oid o'n beshta maqol tanlandi. Har bir guruh maqollarni o'z tilida besh balli rozilik shkalasi bo'yicha baholadi (5 — to'la qo'shilaman, 1 — mutlaqo qo'shilmayman). Ballar har bir band bo'yicha jamlandi va quyidagicha talqin qilindi: 37–50 — an'anaviy ustanovka mustahkam o'rnashgan; 24–36 — qisman mavjud; 0–23 — egalitar ustanovka.</w:t>
      </w:r>
    </w:p>
    <w:p>
      <w:pPr>
        <w:pStyle w:val="ListParagraph"/>
        <w:numPr>
          <w:ilvl w:val="0"/>
          <w:numId w:val="3"/>
        </w:numPr>
        <w:spacing w:line="360" w:lineRule="auto" w:after="120"/>
      </w:pPr>
      <w:r>
        <w:rPr>
          <w:rFonts w:ascii="Times New Roman" w:hAnsi="Times New Roman"/>
          <w:b/>
        </w:rPr>
        <w:t xml:space="preserve">Oilaviy uyushganlik va egiluvchanlik.</w:t>
      </w:r>
      <w:r>
        <w:rPr>
          <w:rFonts w:ascii="Times New Roman" w:hAnsi="Times New Roman"/>
        </w:rPr>
        <w:t xml:space="preserve"> Circumplex modeliga asoslangan FACES-III protokolining modifikatsiyalangan varianti (Olson, 2011; rus tiliga moslashtirganlar — E. Eydemiller, I. Dobryakov, I. Nikolskaya) ota-ona oilasiga nisbatan qo'llanildi. Uyushganlik oltita shkala (hissiy yaqinlik, oilaviy munosabat chegarasi, qaror qabul qilish, birgalikdagi vaqt, umumiy do'stlar, qiziqishlar va bo'sh vaqt), egiluvchanlik esa beshta shkala (liderlik, nazorat, intizom, oilaviy rollar, oiladagi qoidalar) orqali baholandi.</w:t>
      </w:r>
    </w:p>
    <w:p>
      <w:pPr>
        <w:pStyle w:val="ListParagraph"/>
        <w:numPr>
          <w:ilvl w:val="0"/>
          <w:numId w:val="3"/>
        </w:numPr>
        <w:spacing w:line="360" w:lineRule="auto" w:after="120"/>
      </w:pPr>
      <w:r>
        <w:rPr>
          <w:rFonts w:ascii="Times New Roman" w:hAnsi="Times New Roman"/>
          <w:b/>
        </w:rPr>
        <w:t xml:space="preserve">Gender o'zligi.</w:t>
      </w:r>
      <w:r>
        <w:rPr>
          <w:rFonts w:ascii="Times New Roman" w:hAnsi="Times New Roman"/>
        </w:rPr>
        <w:t xml:space="preserve"> S. Bemning 60 ta sifatdan iborat so'rovnomasi (Bem, 1974) respondentlarni feminin, maskulin yoki androgin toifalarga ajratish uchun qo'llanildi. Bundan tashqari, respondentlardan baxtli oila uchun ayolda va erkakda qaysi sifatlar zarurligi so'raldi. Javob variantlari oldindan patriarxal (sadoqatli, xo'jalik yurita oladigan, qanoatli, kamtar, aytganga quloq tutadigan), egalitar (muloqotda faol, ma'lumotli, aqlli, jamoada zerikarli emas, mustaqil pul topa oladigan) va neytral (mehribon, nozik, e'tiborli, chiroyli, g'amxo'r) to'plamlarga guruhlandi.</w:t>
      </w:r>
    </w:p>
    <w:p>
      <w:pPr>
        <w:pStyle w:val="ListParagraph"/>
        <w:numPr>
          <w:ilvl w:val="0"/>
          <w:numId w:val="3"/>
        </w:numPr>
        <w:spacing w:line="360" w:lineRule="auto" w:after="120"/>
      </w:pPr>
      <w:r>
        <w:rPr>
          <w:rFonts w:ascii="Times New Roman" w:hAnsi="Times New Roman"/>
          <w:b/>
        </w:rPr>
        <w:t xml:space="preserve">Nikohga tayyorlik.</w:t>
      </w:r>
      <w:r>
        <w:rPr>
          <w:rFonts w:ascii="Times New Roman" w:hAnsi="Times New Roman"/>
        </w:rPr>
        <w:t xml:space="preserve"> G'. B. Shoumarovning ikki standartlashgan mintaqaviy metodikasi qo'llanildi: «Turmushga chiqishga tayyormisiz?» testi tayyorlikni respondentning o'ziga ishonchi, bo'lajak turmush o'rtog'iga nisbatan kutilmalari va moslashuvni oldindan tasavvur qilishi orqali o'lchaydi; «Nikohga ma'naviy tayyorgarlik» testi esa tayyorlikning normativ-axloqiy o'lchovini baholaydi.</w:t>
      </w:r>
    </w:p>
    <w:p>
      <w:pPr>
        <w:pStyle w:val="ListParagraph"/>
        <w:numPr>
          <w:ilvl w:val="0"/>
          <w:numId w:val="3"/>
        </w:numPr>
        <w:spacing w:line="360" w:lineRule="auto" w:after="120"/>
      </w:pPr>
      <w:r>
        <w:rPr>
          <w:rFonts w:ascii="Times New Roman" w:hAnsi="Times New Roman"/>
          <w:b/>
        </w:rPr>
        <w:t xml:space="preserve">Nikoh motivatsiyasi.</w:t>
      </w:r>
      <w:r>
        <w:rPr>
          <w:rFonts w:ascii="Times New Roman" w:hAnsi="Times New Roman"/>
        </w:rPr>
        <w:t xml:space="preserve"> V. M. Karimova moslashtirgan juftli taqqoslash metodikasi yordamida to'rtta matritsa olindi: xo'jalik-maishiy, ota-onalik, intim-shaxsiy va axloqiy-psixologik.</w:t>
      </w:r>
    </w:p>
    <w:p>
      <w:pPr>
        <w:pStyle w:val="ListParagraph"/>
        <w:numPr>
          <w:ilvl w:val="0"/>
          <w:numId w:val="3"/>
        </w:numPr>
        <w:spacing w:line="360" w:lineRule="auto" w:after="120"/>
      </w:pPr>
      <w:r>
        <w:rPr>
          <w:rFonts w:ascii="Times New Roman" w:hAnsi="Times New Roman"/>
          <w:b/>
        </w:rPr>
        <w:t xml:space="preserve">Erkin javobli insho.</w:t>
      </w:r>
      <w:r>
        <w:rPr>
          <w:rFonts w:ascii="Times New Roman" w:hAnsi="Times New Roman"/>
        </w:rPr>
        <w:t xml:space="preserve"> Miqdoriy natijalarni kontekstga solish maqsadida «Kelajakdagi oilam va bo'lajak turmush o'rtog'im» mavzusida insho yozdirildi; inshalar takrorlanuvchi semantik kategoriyalar bo'yicha tahlil qilindi.</w:t>
      </w:r>
    </w:p>
    <w:p>
      <w:pPr>
        <w:spacing w:line="360" w:lineRule="auto" w:after="120"/>
      </w:pPr>
      <w:r>
        <w:rPr>
          <w:rFonts w:ascii="Times New Roman" w:hAnsi="Times New Roman"/>
        </w:rPr>
        <w:t xml:space="preserve">[Har bir ko'p bandli shkala uchun ushbu tanlanmadagi ichki muvofiqlik ko'rsatkichi (Kronbax alfasi yoki MakDonald omegasi) shu yerga qo'shilsin; mualliflar uchun ro'yxatga qarang.]</w:t>
      </w:r>
    </w:p>
    <w:p>
      <w:pPr>
        <w:pStyle w:val="Heading3"/>
        <w:spacing w:before="240" w:after="120"/>
      </w:pPr>
      <w:r>
        <w:rPr>
          <w:rFonts w:ascii="Times New Roman" w:hAnsi="Times New Roman"/>
        </w:rPr>
        <w:t xml:space="preserve">3.4. Ma'lumotlarni tahlil qilish</w:t>
      </w:r>
    </w:p>
    <w:p>
      <w:pPr>
        <w:spacing w:line="360" w:lineRule="auto" w:after="120"/>
        <w:jc w:val="both"/>
      </w:pPr>
      <w:r>
        <w:rPr>
          <w:rFonts w:ascii="Times New Roman" w:hAnsi="Times New Roman"/>
        </w:rPr>
        <w:t xml:space="preserve">Guruh o'rtachalari bog'liq bo'lmagan tanlanmalar uchun t-mezon orqali qiyoslandi (df = 527); manbadagi t qiymatlari keltirildi. Standart chetlanishlar birlamchi yozuvlardagi dispersiya qiymatlaridan hosil qilindi. Koen d ko'rsatkichi guruh o'rtachalari va birlashtirilgan standart chetlanish asosida hisoblandi va kichik (≈ 0,20), o'rtacha (≈ 0,50) yoki katta (≈ 0,80) deb talqin qilindi. Har bir qiyos uchun ikki tomonlama aniq p qiymati va o'rtachalar farqining 95% ishonch oralig'i keltirildi. 23 ta miqdoriy qiyos bo'yicha birinchi tur xatolik ehtimolini nazorat qilish uchun p qiymatlari Xolm usulida tuzatildi; Benjamini–Xoxberg usuli qo'shimcha tekshiruv sifatida qo'llanildi. Kategorial taqsimotlar Pirsonning χ² mezoni va Kramer V ko'rsatkichi bilan qiyoslandi. Tahlil [dastur nomi va versiyasi] yordamida bajarildi.</w:t>
      </w:r>
    </w:p>
    <w:p>
      <w:pPr>
        <w:pStyle w:val="Heading2"/>
        <w:spacing w:before="240" w:after="120"/>
      </w:pPr>
      <w:r>
        <w:rPr>
          <w:rFonts w:ascii="Times New Roman" w:hAnsi="Times New Roman"/>
        </w:rPr>
        <w:t xml:space="preserve">4. Natijalar</w:t>
      </w:r>
    </w:p>
    <w:p>
      <w:pPr>
        <w:spacing w:line="360" w:lineRule="auto" w:after="120"/>
        <w:jc w:val="both"/>
      </w:pPr>
      <w:r>
        <w:rPr>
          <w:rFonts w:ascii="Times New Roman" w:hAnsi="Times New Roman"/>
        </w:rPr>
        <w:t xml:space="preserve">23 ta miqdoriy qiyosdan 12 tasi tuzatishgacha p &lt; 0,05 darajasida, 4 tasi esa Xolm tuzatishidan keyin ahamiyatli bo'ldi; barcha ta'sirlar kichik hajmda (|d| ≤ 0,36). Barcha qiyoslar 1-jadvalda keltirilgan.</w:t>
      </w:r>
    </w:p>
    <w:p>
      <w:pPr>
        <w:spacing w:line="360" w:lineRule="auto" w:after="120"/>
      </w:pPr>
      <w:r>
        <w:rPr>
          <w:rFonts w:ascii="Times New Roman" w:hAnsi="Times New Roman"/>
          <w:b/>
        </w:rPr>
        <w:t xml:space="preserve">1-jadval.</w:t>
      </w:r>
      <w:r>
        <w:rPr>
          <w:rFonts w:ascii="Times New Roman" w:hAnsi="Times New Roman"/>
        </w:rPr>
        <w:t xml:space="preserve"> Miqdoriy ko'rsatkichlar bo'yicha guruhlar qiyosi (o'zbek n = 340, qirg'iz n = 189, df = 527)</w:t>
      </w:r>
    </w:p>
    <w:tbl>
      <w:tblPr>
        <w:tblStyle w:val="TableGrid"/>
        <w:tblW w:w="0" w:type="auto"/>
        <w:tblLayout w:type="fixed"/>
        <w:tblLook w:val="04A0" w:firstRow="1" w:lastRow="0" w:firstColumn="0"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170"/>
        <w:gridCol w:w="1170"/>
        <w:gridCol w:w="1170"/>
        <w:gridCol w:w="1170"/>
        <w:gridCol w:w="1170"/>
        <w:gridCol w:w="1170"/>
        <w:gridCol w:w="1170"/>
        <w:gridCol w:w="1170"/>
      </w:tblGrid>
      <w:tr>
        <w:trPr>
          <w:tblHeader/>
        </w:trPr>
        <w:tc>
          <w:tcPr>
            <w:tcW w:w="1170" w:type="dxa"/>
            <w:shd w:val="clear" w:color="auto" w:fill="F2F2F2"/>
          </w:tcPr>
          <w:p>
            <w:pPr>
              <w:spacing w:line="240" w:lineRule="auto" w:after="0"/>
            </w:pPr>
            <w:r>
              <w:rPr>
                <w:rFonts w:ascii="Times New Roman" w:hAnsi="Times New Roman"/>
                <w:sz w:val="20"/>
              </w:rPr>
              <w:t xml:space="preserve">Ko'rsatkich</w:t>
            </w:r>
          </w:p>
        </w:tc>
        <w:tc>
          <w:tcPr>
            <w:tcW w:w="1170" w:type="dxa"/>
            <w:shd w:val="clear" w:color="auto" w:fill="F2F2F2"/>
          </w:tcPr>
          <w:p>
            <w:pPr>
              <w:spacing w:line="240" w:lineRule="auto" w:after="0"/>
            </w:pPr>
            <w:r>
              <w:rPr>
                <w:rFonts w:ascii="Times New Roman" w:hAnsi="Times New Roman"/>
                <w:sz w:val="20"/>
              </w:rPr>
              <w:t xml:space="preserve">O'zbek M (SD)</w:t>
            </w:r>
          </w:p>
        </w:tc>
        <w:tc>
          <w:tcPr>
            <w:tcW w:w="1170" w:type="dxa"/>
            <w:shd w:val="clear" w:color="auto" w:fill="F2F2F2"/>
          </w:tcPr>
          <w:p>
            <w:pPr>
              <w:spacing w:line="240" w:lineRule="auto" w:after="0"/>
            </w:pPr>
            <w:r>
              <w:rPr>
                <w:rFonts w:ascii="Times New Roman" w:hAnsi="Times New Roman"/>
                <w:sz w:val="20"/>
              </w:rPr>
              <w:t xml:space="preserve">Qirg'iz M (SD)</w:t>
            </w:r>
          </w:p>
        </w:tc>
        <w:tc>
          <w:tcPr>
            <w:tcW w:w="1170" w:type="dxa"/>
            <w:shd w:val="clear" w:color="auto" w:fill="F2F2F2"/>
          </w:tcPr>
          <w:p>
            <w:pPr>
              <w:spacing w:line="240" w:lineRule="auto" w:after="0"/>
            </w:pPr>
            <w:r>
              <w:rPr>
                <w:rFonts w:ascii="Times New Roman" w:hAnsi="Times New Roman"/>
                <w:sz w:val="20"/>
              </w:rPr>
              <w:t xml:space="preserve">t</w:t>
            </w:r>
          </w:p>
        </w:tc>
        <w:tc>
          <w:tcPr>
            <w:tcW w:w="1170" w:type="dxa"/>
            <w:shd w:val="clear" w:color="auto" w:fill="F2F2F2"/>
          </w:tcPr>
          <w:p>
            <w:pPr>
              <w:spacing w:line="240" w:lineRule="auto" w:after="0"/>
            </w:pPr>
            <w:r>
              <w:rPr>
                <w:rFonts w:ascii="Times New Roman" w:hAnsi="Times New Roman"/>
                <w:sz w:val="20"/>
              </w:rPr>
              <w:t xml:space="preserve">p</w:t>
            </w:r>
          </w:p>
        </w:tc>
        <w:tc>
          <w:tcPr>
            <w:tcW w:w="1170" w:type="dxa"/>
            <w:shd w:val="clear" w:color="auto" w:fill="F2F2F2"/>
          </w:tcPr>
          <w:p>
            <w:pPr>
              <w:spacing w:line="240" w:lineRule="auto" w:after="0"/>
            </w:pPr>
            <w:r>
              <w:rPr>
                <w:rFonts w:ascii="Times New Roman" w:hAnsi="Times New Roman"/>
                <w:sz w:val="20"/>
              </w:rPr>
              <w:t xml:space="preserve">p (Xolm)</w:t>
            </w:r>
          </w:p>
        </w:tc>
        <w:tc>
          <w:tcPr>
            <w:tcW w:w="1170" w:type="dxa"/>
            <w:shd w:val="clear" w:color="auto" w:fill="F2F2F2"/>
          </w:tcPr>
          <w:p>
            <w:pPr>
              <w:spacing w:line="240" w:lineRule="auto" w:after="0"/>
            </w:pPr>
            <w:r>
              <w:rPr>
                <w:rFonts w:ascii="Times New Roman" w:hAnsi="Times New Roman"/>
                <w:sz w:val="20"/>
              </w:rPr>
              <w:t xml:space="preserve">d</w:t>
            </w:r>
          </w:p>
        </w:tc>
        <w:tc>
          <w:tcPr>
            <w:tcW w:w="1170" w:type="dxa"/>
            <w:shd w:val="clear" w:color="auto" w:fill="F2F2F2"/>
          </w:tcPr>
          <w:p>
            <w:pPr>
              <w:spacing w:line="240" w:lineRule="auto" w:after="0"/>
            </w:pPr>
            <w:r>
              <w:rPr>
                <w:rFonts w:ascii="Times New Roman" w:hAnsi="Times New Roman"/>
                <w:sz w:val="20"/>
              </w:rPr>
              <w:t xml:space="preserve">Farqning 95% IO</w:t>
            </w:r>
          </w:p>
        </w:tc>
      </w:tr>
      <w:tr>
        <w:tc>
          <w:tcPr>
            <w:tcW w:w="1170" w:type="dxa"/>
          </w:tcPr>
          <w:p>
            <w:pPr>
              <w:spacing w:line="240" w:lineRule="auto" w:after="0"/>
            </w:pPr>
            <w:r>
              <w:rPr>
                <w:rFonts w:ascii="Times New Roman" w:hAnsi="Times New Roman"/>
                <w:b/>
                <w:i/>
                <w:sz w:val="20"/>
              </w:rPr>
              <w:t xml:space="preserve">Oilaviy hayot haqidagi ijtimoiy tasavvurlar</w:t>
            </w:r>
            <w:r>
              <w:rPr>
                <w:rFonts w:ascii="Times New Roman" w:hAnsi="Times New Roman"/>
                <w:sz w:val="20"/>
              </w:rPr>
              <w:t xml:space="preserve"> ᵃ</w:t>
            </w: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r>
      <w:tr>
        <w:tc>
          <w:tcPr>
            <w:tcW w:w="1170" w:type="dxa"/>
          </w:tcPr>
          <w:p>
            <w:pPr>
              <w:spacing w:line="240" w:lineRule="auto" w:after="0"/>
            </w:pPr>
            <w:r>
              <w:rPr>
                <w:rFonts w:ascii="Times New Roman" w:hAnsi="Times New Roman"/>
                <w:sz w:val="20"/>
              </w:rPr>
              <w:t xml:space="preserve">Tasavvurlarning umumiy darajasi</w:t>
            </w:r>
          </w:p>
        </w:tc>
        <w:tc>
          <w:tcPr>
            <w:tcW w:w="1170" w:type="dxa"/>
          </w:tcPr>
          <w:p>
            <w:pPr>
              <w:spacing w:line="240" w:lineRule="auto" w:after="0"/>
            </w:pPr>
            <w:r>
              <w:rPr>
                <w:rFonts w:ascii="Times New Roman" w:hAnsi="Times New Roman"/>
                <w:sz w:val="20"/>
              </w:rPr>
              <w:t xml:space="preserve">1,89 (0,65)</w:t>
            </w:r>
          </w:p>
        </w:tc>
        <w:tc>
          <w:tcPr>
            <w:tcW w:w="1170" w:type="dxa"/>
          </w:tcPr>
          <w:p>
            <w:pPr>
              <w:spacing w:line="240" w:lineRule="auto" w:after="0"/>
            </w:pPr>
            <w:r>
              <w:rPr>
                <w:rFonts w:ascii="Times New Roman" w:hAnsi="Times New Roman"/>
                <w:sz w:val="20"/>
              </w:rPr>
              <w:t xml:space="preserve">1,93 (0,69)</w:t>
            </w:r>
          </w:p>
        </w:tc>
        <w:tc>
          <w:tcPr>
            <w:tcW w:w="1170" w:type="dxa"/>
          </w:tcPr>
          <w:p>
            <w:pPr>
              <w:spacing w:line="240" w:lineRule="auto" w:after="0"/>
            </w:pPr>
            <w:r>
              <w:rPr>
                <w:rFonts w:ascii="Times New Roman" w:hAnsi="Times New Roman"/>
                <w:sz w:val="20"/>
              </w:rPr>
              <w:t xml:space="preserve">−0,53</w:t>
            </w:r>
          </w:p>
        </w:tc>
        <w:tc>
          <w:tcPr>
            <w:tcW w:w="1170" w:type="dxa"/>
          </w:tcPr>
          <w:p>
            <w:pPr>
              <w:spacing w:line="240" w:lineRule="auto" w:after="0"/>
            </w:pPr>
            <w:r>
              <w:rPr>
                <w:rFonts w:ascii="Times New Roman" w:hAnsi="Times New Roman"/>
                <w:sz w:val="20"/>
              </w:rPr>
              <w:t xml:space="preserve">0,596</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−0,06</w:t>
            </w:r>
          </w:p>
        </w:tc>
        <w:tc>
          <w:tcPr>
            <w:tcW w:w="1170" w:type="dxa"/>
          </w:tcPr>
          <w:p>
            <w:pPr>
              <w:spacing w:line="240" w:lineRule="auto" w:after="0"/>
            </w:pPr>
            <w:r>
              <w:rPr>
                <w:rFonts w:ascii="Times New Roman" w:hAnsi="Times New Roman"/>
                <w:sz w:val="20"/>
              </w:rPr>
              <w:t xml:space="preserve">[−0,16; 0,08]</w:t>
            </w:r>
          </w:p>
        </w:tc>
      </w:tr>
      <w:tr>
        <w:tc>
          <w:tcPr>
            <w:tcW w:w="1170" w:type="dxa"/>
          </w:tcPr>
          <w:p>
            <w:pPr>
              <w:spacing w:line="240" w:lineRule="auto" w:after="0"/>
            </w:pPr>
            <w:r>
              <w:rPr>
                <w:rFonts w:ascii="Times New Roman" w:hAnsi="Times New Roman"/>
                <w:sz w:val="20"/>
              </w:rPr>
              <w:t xml:space="preserve">Mustahkam oila qurishdagi ustuvorliklar</w:t>
            </w:r>
          </w:p>
        </w:tc>
        <w:tc>
          <w:tcPr>
            <w:tcW w:w="1170" w:type="dxa"/>
          </w:tcPr>
          <w:p>
            <w:pPr>
              <w:spacing w:line="240" w:lineRule="auto" w:after="0"/>
            </w:pPr>
            <w:r>
              <w:rPr>
                <w:rFonts w:ascii="Times New Roman" w:hAnsi="Times New Roman"/>
                <w:sz w:val="20"/>
              </w:rPr>
              <w:t xml:space="preserve">2,39 (0,97)</w:t>
            </w:r>
          </w:p>
        </w:tc>
        <w:tc>
          <w:tcPr>
            <w:tcW w:w="1170" w:type="dxa"/>
          </w:tcPr>
          <w:p>
            <w:pPr>
              <w:spacing w:line="240" w:lineRule="auto" w:after="0"/>
            </w:pPr>
            <w:r>
              <w:rPr>
                <w:rFonts w:ascii="Times New Roman" w:hAnsi="Times New Roman"/>
                <w:sz w:val="20"/>
              </w:rPr>
              <w:t xml:space="preserve">2,58 (1,16)</w:t>
            </w:r>
          </w:p>
        </w:tc>
        <w:tc>
          <w:tcPr>
            <w:tcW w:w="1170" w:type="dxa"/>
          </w:tcPr>
          <w:p>
            <w:pPr>
              <w:spacing w:line="240" w:lineRule="auto" w:after="0"/>
            </w:pPr>
            <w:r>
              <w:rPr>
                <w:rFonts w:ascii="Times New Roman" w:hAnsi="Times New Roman"/>
                <w:sz w:val="20"/>
              </w:rPr>
              <w:t xml:space="preserve">−2,02</w:t>
            </w:r>
          </w:p>
        </w:tc>
        <w:tc>
          <w:tcPr>
            <w:tcW w:w="1170" w:type="dxa"/>
          </w:tcPr>
          <w:p>
            <w:pPr>
              <w:spacing w:line="240" w:lineRule="auto" w:after="0"/>
            </w:pPr>
            <w:r>
              <w:rPr>
                <w:rFonts w:ascii="Times New Roman" w:hAnsi="Times New Roman"/>
                <w:sz w:val="20"/>
              </w:rPr>
              <w:t xml:space="preserve">0,044</w:t>
            </w:r>
          </w:p>
        </w:tc>
        <w:tc>
          <w:tcPr>
            <w:tcW w:w="1170" w:type="dxa"/>
          </w:tcPr>
          <w:p>
            <w:pPr>
              <w:spacing w:line="240" w:lineRule="auto" w:after="0"/>
            </w:pPr>
            <w:r>
              <w:rPr>
                <w:rFonts w:ascii="Times New Roman" w:hAnsi="Times New Roman"/>
                <w:sz w:val="20"/>
              </w:rPr>
              <w:t xml:space="preserve">0,614</w:t>
            </w:r>
          </w:p>
        </w:tc>
        <w:tc>
          <w:tcPr>
            <w:tcW w:w="1170" w:type="dxa"/>
          </w:tcPr>
          <w:p>
            <w:pPr>
              <w:spacing w:line="240" w:lineRule="auto" w:after="0"/>
            </w:pPr>
            <w:r>
              <w:rPr>
                <w:rFonts w:ascii="Times New Roman" w:hAnsi="Times New Roman"/>
                <w:sz w:val="20"/>
              </w:rPr>
              <w:t xml:space="preserve">−0,18</w:t>
            </w:r>
          </w:p>
        </w:tc>
        <w:tc>
          <w:tcPr>
            <w:tcW w:w="1170" w:type="dxa"/>
          </w:tcPr>
          <w:p>
            <w:pPr>
              <w:spacing w:line="240" w:lineRule="auto" w:after="0"/>
            </w:pPr>
            <w:r>
              <w:rPr>
                <w:rFonts w:ascii="Times New Roman" w:hAnsi="Times New Roman"/>
                <w:sz w:val="20"/>
              </w:rPr>
              <w:t xml:space="preserve">[−0,38; −0,001]</w:t>
            </w:r>
          </w:p>
        </w:tc>
      </w:tr>
      <w:tr>
        <w:tc>
          <w:tcPr>
            <w:tcW w:w="1170" w:type="dxa"/>
          </w:tcPr>
          <w:p>
            <w:pPr>
              <w:spacing w:line="240" w:lineRule="auto" w:after="0"/>
            </w:pPr>
            <w:r>
              <w:rPr>
                <w:rFonts w:ascii="Times New Roman" w:hAnsi="Times New Roman"/>
                <w:sz w:val="20"/>
              </w:rPr>
              <w:t xml:space="preserve">Baxtli oila uchun zarur bilimlar</w:t>
            </w:r>
          </w:p>
        </w:tc>
        <w:tc>
          <w:tcPr>
            <w:tcW w:w="1170" w:type="dxa"/>
          </w:tcPr>
          <w:p>
            <w:pPr>
              <w:spacing w:line="240" w:lineRule="auto" w:after="0"/>
            </w:pPr>
            <w:r>
              <w:rPr>
                <w:rFonts w:ascii="Times New Roman" w:hAnsi="Times New Roman"/>
                <w:sz w:val="20"/>
              </w:rPr>
              <w:t xml:space="preserve">2,03 (0,76)</w:t>
            </w:r>
          </w:p>
        </w:tc>
        <w:tc>
          <w:tcPr>
            <w:tcW w:w="1170" w:type="dxa"/>
          </w:tcPr>
          <w:p>
            <w:pPr>
              <w:spacing w:line="240" w:lineRule="auto" w:after="0"/>
            </w:pPr>
            <w:r>
              <w:rPr>
                <w:rFonts w:ascii="Times New Roman" w:hAnsi="Times New Roman"/>
                <w:sz w:val="20"/>
              </w:rPr>
              <w:t xml:space="preserve">2,07 (0,74)</w:t>
            </w:r>
          </w:p>
        </w:tc>
        <w:tc>
          <w:tcPr>
            <w:tcW w:w="1170" w:type="dxa"/>
          </w:tcPr>
          <w:p>
            <w:pPr>
              <w:spacing w:line="240" w:lineRule="auto" w:after="0"/>
            </w:pPr>
            <w:r>
              <w:rPr>
                <w:rFonts w:ascii="Times New Roman" w:hAnsi="Times New Roman"/>
                <w:sz w:val="20"/>
              </w:rPr>
              <w:t xml:space="preserve">−0,65</w:t>
            </w:r>
          </w:p>
        </w:tc>
        <w:tc>
          <w:tcPr>
            <w:tcW w:w="1170" w:type="dxa"/>
          </w:tcPr>
          <w:p>
            <w:pPr>
              <w:spacing w:line="240" w:lineRule="auto" w:after="0"/>
            </w:pPr>
            <w:r>
              <w:rPr>
                <w:rFonts w:ascii="Times New Roman" w:hAnsi="Times New Roman"/>
                <w:sz w:val="20"/>
              </w:rPr>
              <w:t xml:space="preserve">0,516</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−0,05</w:t>
            </w:r>
          </w:p>
        </w:tc>
        <w:tc>
          <w:tcPr>
            <w:tcW w:w="1170" w:type="dxa"/>
          </w:tcPr>
          <w:p>
            <w:pPr>
              <w:spacing w:line="240" w:lineRule="auto" w:after="0"/>
            </w:pPr>
            <w:r>
              <w:rPr>
                <w:rFonts w:ascii="Times New Roman" w:hAnsi="Times New Roman"/>
                <w:sz w:val="20"/>
              </w:rPr>
              <w:t xml:space="preserve">[−0,17; 0,09]</w:t>
            </w:r>
          </w:p>
        </w:tc>
      </w:tr>
      <w:tr>
        <w:tc>
          <w:tcPr>
            <w:tcW w:w="1170" w:type="dxa"/>
          </w:tcPr>
          <w:p>
            <w:pPr>
              <w:spacing w:line="240" w:lineRule="auto" w:after="0"/>
            </w:pPr>
            <w:r>
              <w:rPr>
                <w:rFonts w:ascii="Times New Roman" w:hAnsi="Times New Roman"/>
                <w:sz w:val="20"/>
              </w:rPr>
              <w:t xml:space="preserve">Onalik mas'uliyatiga tayyorlik</w:t>
            </w:r>
          </w:p>
        </w:tc>
        <w:tc>
          <w:tcPr>
            <w:tcW w:w="1170" w:type="dxa"/>
          </w:tcPr>
          <w:p>
            <w:pPr>
              <w:spacing w:line="240" w:lineRule="auto" w:after="0"/>
            </w:pPr>
            <w:r>
              <w:rPr>
                <w:rFonts w:ascii="Times New Roman" w:hAnsi="Times New Roman"/>
                <w:sz w:val="20"/>
              </w:rPr>
              <w:t xml:space="preserve">1,91 (0,85)</w:t>
            </w:r>
          </w:p>
        </w:tc>
        <w:tc>
          <w:tcPr>
            <w:tcW w:w="1170" w:type="dxa"/>
          </w:tcPr>
          <w:p>
            <w:pPr>
              <w:spacing w:line="240" w:lineRule="auto" w:after="0"/>
            </w:pPr>
            <w:r>
              <w:rPr>
                <w:rFonts w:ascii="Times New Roman" w:hAnsi="Times New Roman"/>
                <w:sz w:val="20"/>
              </w:rPr>
              <w:t xml:space="preserve">2,19 (0,97)</w:t>
            </w:r>
          </w:p>
        </w:tc>
        <w:tc>
          <w:tcPr>
            <w:tcW w:w="1170" w:type="dxa"/>
          </w:tcPr>
          <w:p>
            <w:pPr>
              <w:spacing w:line="240" w:lineRule="auto" w:after="0"/>
            </w:pPr>
            <w:r>
              <w:rPr>
                <w:rFonts w:ascii="Times New Roman" w:hAnsi="Times New Roman"/>
                <w:sz w:val="20"/>
              </w:rPr>
              <w:t xml:space="preserve">−3,34</w:t>
            </w:r>
          </w:p>
        </w:tc>
        <w:tc>
          <w:tcPr>
            <w:tcW w:w="1170" w:type="dxa"/>
          </w:tcPr>
          <w:p>
            <w:pPr>
              <w:spacing w:line="240" w:lineRule="auto" w:after="0"/>
            </w:pPr>
            <w:r>
              <w:rPr>
                <w:rFonts w:ascii="Times New Roman" w:hAnsi="Times New Roman"/>
                <w:sz w:val="20"/>
              </w:rPr>
              <w:t xml:space="preserve">&lt; 0,001</w:t>
            </w:r>
          </w:p>
        </w:tc>
        <w:tc>
          <w:tcPr>
            <w:tcW w:w="1170" w:type="dxa"/>
          </w:tcPr>
          <w:p>
            <w:pPr>
              <w:spacing w:line="240" w:lineRule="auto" w:after="0"/>
            </w:pPr>
            <w:r>
              <w:rPr>
                <w:rFonts w:ascii="Times New Roman" w:hAnsi="Times New Roman"/>
                <w:sz w:val="20"/>
              </w:rPr>
              <w:t xml:space="preserve">0,018</w:t>
            </w:r>
          </w:p>
        </w:tc>
        <w:tc>
          <w:tcPr>
            <w:tcW w:w="1170" w:type="dxa"/>
          </w:tcPr>
          <w:p>
            <w:pPr>
              <w:spacing w:line="240" w:lineRule="auto" w:after="0"/>
            </w:pPr>
            <w:r>
              <w:rPr>
                <w:rFonts w:ascii="Times New Roman" w:hAnsi="Times New Roman"/>
                <w:sz w:val="20"/>
              </w:rPr>
              <w:t xml:space="preserve">−0,31</w:t>
            </w:r>
          </w:p>
        </w:tc>
        <w:tc>
          <w:tcPr>
            <w:tcW w:w="1170" w:type="dxa"/>
          </w:tcPr>
          <w:p>
            <w:pPr>
              <w:spacing w:line="240" w:lineRule="auto" w:after="0"/>
            </w:pPr>
            <w:r>
              <w:rPr>
                <w:rFonts w:ascii="Times New Roman" w:hAnsi="Times New Roman"/>
                <w:sz w:val="20"/>
              </w:rPr>
              <w:t xml:space="preserve">[−0,44; −0,12]</w:t>
            </w:r>
          </w:p>
        </w:tc>
      </w:tr>
      <w:tr>
        <w:tc>
          <w:tcPr>
            <w:tcW w:w="1170" w:type="dxa"/>
          </w:tcPr>
          <w:p>
            <w:pPr>
              <w:spacing w:line="240" w:lineRule="auto" w:after="0"/>
            </w:pPr>
            <w:r>
              <w:rPr>
                <w:rFonts w:ascii="Times New Roman" w:hAnsi="Times New Roman"/>
                <w:sz w:val="20"/>
              </w:rPr>
              <w:t xml:space="preserve">Ayol rolini bajarishga tayyorlik</w:t>
            </w:r>
          </w:p>
        </w:tc>
        <w:tc>
          <w:tcPr>
            <w:tcW w:w="1170" w:type="dxa"/>
          </w:tcPr>
          <w:p>
            <w:pPr>
              <w:spacing w:line="240" w:lineRule="auto" w:after="0"/>
            </w:pPr>
            <w:r>
              <w:rPr>
                <w:rFonts w:ascii="Times New Roman" w:hAnsi="Times New Roman"/>
                <w:sz w:val="20"/>
              </w:rPr>
              <w:t xml:space="preserve">2,36 (0,84)</w:t>
            </w:r>
          </w:p>
        </w:tc>
        <w:tc>
          <w:tcPr>
            <w:tcW w:w="1170" w:type="dxa"/>
          </w:tcPr>
          <w:p>
            <w:pPr>
              <w:spacing w:line="240" w:lineRule="auto" w:after="0"/>
            </w:pPr>
            <w:r>
              <w:rPr>
                <w:rFonts w:ascii="Times New Roman" w:hAnsi="Times New Roman"/>
                <w:sz w:val="20"/>
              </w:rPr>
              <w:t xml:space="preserve">2,50 (0,89)</w:t>
            </w:r>
          </w:p>
        </w:tc>
        <w:tc>
          <w:tcPr>
            <w:tcW w:w="1170" w:type="dxa"/>
          </w:tcPr>
          <w:p>
            <w:pPr>
              <w:spacing w:line="240" w:lineRule="auto" w:after="0"/>
            </w:pPr>
            <w:r>
              <w:rPr>
                <w:rFonts w:ascii="Times New Roman" w:hAnsi="Times New Roman"/>
                <w:sz w:val="20"/>
              </w:rPr>
              <w:t xml:space="preserve">−1,74</w:t>
            </w:r>
          </w:p>
        </w:tc>
        <w:tc>
          <w:tcPr>
            <w:tcW w:w="1170" w:type="dxa"/>
          </w:tcPr>
          <w:p>
            <w:pPr>
              <w:spacing w:line="240" w:lineRule="auto" w:after="0"/>
            </w:pPr>
            <w:r>
              <w:rPr>
                <w:rFonts w:ascii="Times New Roman" w:hAnsi="Times New Roman"/>
                <w:sz w:val="20"/>
              </w:rPr>
              <w:t xml:space="preserve">0,082</w:t>
            </w:r>
          </w:p>
        </w:tc>
        <w:tc>
          <w:tcPr>
            <w:tcW w:w="1170" w:type="dxa"/>
          </w:tcPr>
          <w:p>
            <w:pPr>
              <w:spacing w:line="240" w:lineRule="auto" w:after="0"/>
            </w:pPr>
            <w:r>
              <w:rPr>
                <w:rFonts w:ascii="Times New Roman" w:hAnsi="Times New Roman"/>
                <w:sz w:val="20"/>
              </w:rPr>
              <w:t xml:space="preserve">0,907</w:t>
            </w:r>
          </w:p>
        </w:tc>
        <w:tc>
          <w:tcPr>
            <w:tcW w:w="1170" w:type="dxa"/>
          </w:tcPr>
          <w:p>
            <w:pPr>
              <w:spacing w:line="240" w:lineRule="auto" w:after="0"/>
            </w:pPr>
            <w:r>
              <w:rPr>
                <w:rFonts w:ascii="Times New Roman" w:hAnsi="Times New Roman"/>
                <w:sz w:val="20"/>
              </w:rPr>
              <w:t xml:space="preserve">−0,16</w:t>
            </w:r>
          </w:p>
        </w:tc>
        <w:tc>
          <w:tcPr>
            <w:tcW w:w="1170" w:type="dxa"/>
          </w:tcPr>
          <w:p>
            <w:pPr>
              <w:spacing w:line="240" w:lineRule="auto" w:after="0"/>
            </w:pPr>
            <w:r>
              <w:rPr>
                <w:rFonts w:ascii="Times New Roman" w:hAnsi="Times New Roman"/>
                <w:sz w:val="20"/>
              </w:rPr>
              <w:t xml:space="preserve">[−0,29; 0,01]</w:t>
            </w:r>
          </w:p>
        </w:tc>
      </w:tr>
      <w:tr>
        <w:tc>
          <w:tcPr>
            <w:tcW w:w="1170" w:type="dxa"/>
          </w:tcPr>
          <w:p>
            <w:pPr>
              <w:spacing w:line="240" w:lineRule="auto" w:after="0"/>
            </w:pPr>
            <w:r>
              <w:rPr>
                <w:rFonts w:ascii="Times New Roman" w:hAnsi="Times New Roman"/>
                <w:b/>
                <w:i/>
                <w:sz w:val="20"/>
              </w:rPr>
              <w:t xml:space="preserve">Nikoh motivatsiyasi</w:t>
            </w: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r>
      <w:tr>
        <w:tc>
          <w:tcPr>
            <w:tcW w:w="1170" w:type="dxa"/>
          </w:tcPr>
          <w:p>
            <w:pPr>
              <w:spacing w:line="240" w:lineRule="auto" w:after="0"/>
            </w:pPr>
            <w:r>
              <w:rPr>
                <w:rFonts w:ascii="Times New Roman" w:hAnsi="Times New Roman"/>
                <w:sz w:val="20"/>
              </w:rPr>
              <w:t xml:space="preserve">Xo'jalik-maishiy</w:t>
            </w:r>
          </w:p>
        </w:tc>
        <w:tc>
          <w:tcPr>
            <w:tcW w:w="1170" w:type="dxa"/>
          </w:tcPr>
          <w:p>
            <w:pPr>
              <w:spacing w:line="240" w:lineRule="auto" w:after="0"/>
            </w:pPr>
            <w:r>
              <w:rPr>
                <w:rFonts w:ascii="Times New Roman" w:hAnsi="Times New Roman"/>
                <w:sz w:val="20"/>
              </w:rPr>
              <w:t xml:space="preserve">1,70 (1,14)</w:t>
            </w:r>
          </w:p>
        </w:tc>
        <w:tc>
          <w:tcPr>
            <w:tcW w:w="1170" w:type="dxa"/>
          </w:tcPr>
          <w:p>
            <w:pPr>
              <w:spacing w:line="240" w:lineRule="auto" w:after="0"/>
            </w:pPr>
            <w:r>
              <w:rPr>
                <w:rFonts w:ascii="Times New Roman" w:hAnsi="Times New Roman"/>
                <w:sz w:val="20"/>
              </w:rPr>
              <w:t xml:space="preserve">1,92 (1,36)</w:t>
            </w:r>
          </w:p>
        </w:tc>
        <w:tc>
          <w:tcPr>
            <w:tcW w:w="1170" w:type="dxa"/>
          </w:tcPr>
          <w:p>
            <w:pPr>
              <w:spacing w:line="240" w:lineRule="auto" w:after="0"/>
            </w:pPr>
            <w:r>
              <w:rPr>
                <w:rFonts w:ascii="Times New Roman" w:hAnsi="Times New Roman"/>
                <w:sz w:val="20"/>
              </w:rPr>
              <w:t xml:space="preserve">−1,97</w:t>
            </w:r>
          </w:p>
        </w:tc>
        <w:tc>
          <w:tcPr>
            <w:tcW w:w="1170" w:type="dxa"/>
          </w:tcPr>
          <w:p>
            <w:pPr>
              <w:spacing w:line="240" w:lineRule="auto" w:after="0"/>
            </w:pPr>
            <w:r>
              <w:rPr>
                <w:rFonts w:ascii="Times New Roman" w:hAnsi="Times New Roman"/>
                <w:sz w:val="20"/>
              </w:rPr>
              <w:t xml:space="preserve">0,049</w:t>
            </w:r>
          </w:p>
        </w:tc>
        <w:tc>
          <w:tcPr>
            <w:tcW w:w="1170" w:type="dxa"/>
          </w:tcPr>
          <w:p>
            <w:pPr>
              <w:spacing w:line="240" w:lineRule="auto" w:after="0"/>
            </w:pPr>
            <w:r>
              <w:rPr>
                <w:rFonts w:ascii="Times New Roman" w:hAnsi="Times New Roman"/>
                <w:sz w:val="20"/>
              </w:rPr>
              <w:t xml:space="preserve">0,614</w:t>
            </w:r>
          </w:p>
        </w:tc>
        <w:tc>
          <w:tcPr>
            <w:tcW w:w="1170" w:type="dxa"/>
          </w:tcPr>
          <w:p>
            <w:pPr>
              <w:spacing w:line="240" w:lineRule="auto" w:after="0"/>
            </w:pPr>
            <w:r>
              <w:rPr>
                <w:rFonts w:ascii="Times New Roman" w:hAnsi="Times New Roman"/>
                <w:sz w:val="20"/>
              </w:rPr>
              <w:t xml:space="preserve">−0,18</w:t>
            </w:r>
          </w:p>
        </w:tc>
        <w:tc>
          <w:tcPr>
            <w:tcW w:w="1170" w:type="dxa"/>
          </w:tcPr>
          <w:p>
            <w:pPr>
              <w:spacing w:line="240" w:lineRule="auto" w:after="0"/>
            </w:pPr>
            <w:r>
              <w:rPr>
                <w:rFonts w:ascii="Times New Roman" w:hAnsi="Times New Roman"/>
                <w:sz w:val="20"/>
              </w:rPr>
              <w:t xml:space="preserve">[−0,44; −0,001]</w:t>
            </w:r>
          </w:p>
        </w:tc>
      </w:tr>
      <w:tr>
        <w:tc>
          <w:tcPr>
            <w:tcW w:w="1170" w:type="dxa"/>
          </w:tcPr>
          <w:p>
            <w:pPr>
              <w:spacing w:line="240" w:lineRule="auto" w:after="0"/>
            </w:pPr>
            <w:r>
              <w:rPr>
                <w:rFonts w:ascii="Times New Roman" w:hAnsi="Times New Roman"/>
                <w:sz w:val="20"/>
              </w:rPr>
              <w:t xml:space="preserve">Ota-onalik</w:t>
            </w:r>
          </w:p>
        </w:tc>
        <w:tc>
          <w:tcPr>
            <w:tcW w:w="1170" w:type="dxa"/>
          </w:tcPr>
          <w:p>
            <w:pPr>
              <w:spacing w:line="240" w:lineRule="auto" w:after="0"/>
            </w:pPr>
            <w:r>
              <w:rPr>
                <w:rFonts w:ascii="Times New Roman" w:hAnsi="Times New Roman"/>
                <w:sz w:val="20"/>
              </w:rPr>
              <w:t xml:space="preserve">7,56 (1,57)</w:t>
            </w:r>
          </w:p>
        </w:tc>
        <w:tc>
          <w:tcPr>
            <w:tcW w:w="1170" w:type="dxa"/>
          </w:tcPr>
          <w:p>
            <w:pPr>
              <w:spacing w:line="240" w:lineRule="auto" w:after="0"/>
            </w:pPr>
            <w:r>
              <w:rPr>
                <w:rFonts w:ascii="Times New Roman" w:hAnsi="Times New Roman"/>
                <w:sz w:val="20"/>
              </w:rPr>
              <w:t xml:space="preserve">7,39 (1,82)</w:t>
            </w:r>
          </w:p>
        </w:tc>
        <w:tc>
          <w:tcPr>
            <w:tcW w:w="1170" w:type="dxa"/>
          </w:tcPr>
          <w:p>
            <w:pPr>
              <w:spacing w:line="240" w:lineRule="auto" w:after="0"/>
            </w:pPr>
            <w:r>
              <w:rPr>
                <w:rFonts w:ascii="Times New Roman" w:hAnsi="Times New Roman"/>
                <w:sz w:val="20"/>
              </w:rPr>
              <w:t xml:space="preserve">1,16</w:t>
            </w:r>
          </w:p>
        </w:tc>
        <w:tc>
          <w:tcPr>
            <w:tcW w:w="1170" w:type="dxa"/>
          </w:tcPr>
          <w:p>
            <w:pPr>
              <w:spacing w:line="240" w:lineRule="auto" w:after="0"/>
            </w:pPr>
            <w:r>
              <w:rPr>
                <w:rFonts w:ascii="Times New Roman" w:hAnsi="Times New Roman"/>
                <w:sz w:val="20"/>
              </w:rPr>
              <w:t xml:space="preserve">0,247</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0,10</w:t>
            </w:r>
          </w:p>
        </w:tc>
        <w:tc>
          <w:tcPr>
            <w:tcW w:w="1170" w:type="dxa"/>
          </w:tcPr>
          <w:p>
            <w:pPr>
              <w:spacing w:line="240" w:lineRule="auto" w:after="0"/>
            </w:pPr>
            <w:r>
              <w:rPr>
                <w:rFonts w:ascii="Times New Roman" w:hAnsi="Times New Roman"/>
                <w:sz w:val="20"/>
              </w:rPr>
              <w:t xml:space="preserve">[−0,13; 0,47]</w:t>
            </w:r>
          </w:p>
        </w:tc>
      </w:tr>
      <w:tr>
        <w:tc>
          <w:tcPr>
            <w:tcW w:w="1170" w:type="dxa"/>
          </w:tcPr>
          <w:p>
            <w:pPr>
              <w:spacing w:line="240" w:lineRule="auto" w:after="0"/>
            </w:pPr>
            <w:r>
              <w:rPr>
                <w:rFonts w:ascii="Times New Roman" w:hAnsi="Times New Roman"/>
                <w:sz w:val="20"/>
              </w:rPr>
              <w:t xml:space="preserve">Intim-shaxsiy</w:t>
            </w:r>
          </w:p>
        </w:tc>
        <w:tc>
          <w:tcPr>
            <w:tcW w:w="1170" w:type="dxa"/>
          </w:tcPr>
          <w:p>
            <w:pPr>
              <w:spacing w:line="240" w:lineRule="auto" w:after="0"/>
            </w:pPr>
            <w:r>
              <w:rPr>
                <w:rFonts w:ascii="Times New Roman" w:hAnsi="Times New Roman"/>
                <w:sz w:val="20"/>
              </w:rPr>
              <w:t xml:space="preserve">2,27 (1,06)</w:t>
            </w:r>
          </w:p>
        </w:tc>
        <w:tc>
          <w:tcPr>
            <w:tcW w:w="1170" w:type="dxa"/>
          </w:tcPr>
          <w:p>
            <w:pPr>
              <w:spacing w:line="240" w:lineRule="auto" w:after="0"/>
            </w:pPr>
            <w:r>
              <w:rPr>
                <w:rFonts w:ascii="Times New Roman" w:hAnsi="Times New Roman"/>
                <w:sz w:val="20"/>
              </w:rPr>
              <w:t xml:space="preserve">2,04 (1,33)</w:t>
            </w:r>
          </w:p>
        </w:tc>
        <w:tc>
          <w:tcPr>
            <w:tcW w:w="1170" w:type="dxa"/>
          </w:tcPr>
          <w:p>
            <w:pPr>
              <w:spacing w:line="240" w:lineRule="auto" w:after="0"/>
            </w:pPr>
            <w:r>
              <w:rPr>
                <w:rFonts w:ascii="Times New Roman" w:hAnsi="Times New Roman"/>
                <w:sz w:val="20"/>
              </w:rPr>
              <w:t xml:space="preserve">2,24</w:t>
            </w:r>
          </w:p>
        </w:tc>
        <w:tc>
          <w:tcPr>
            <w:tcW w:w="1170" w:type="dxa"/>
          </w:tcPr>
          <w:p>
            <w:pPr>
              <w:spacing w:line="240" w:lineRule="auto" w:after="0"/>
            </w:pPr>
            <w:r>
              <w:rPr>
                <w:rFonts w:ascii="Times New Roman" w:hAnsi="Times New Roman"/>
                <w:sz w:val="20"/>
              </w:rPr>
              <w:t xml:space="preserve">0,026</w:t>
            </w:r>
          </w:p>
        </w:tc>
        <w:tc>
          <w:tcPr>
            <w:tcW w:w="1170" w:type="dxa"/>
          </w:tcPr>
          <w:p>
            <w:pPr>
              <w:spacing w:line="240" w:lineRule="auto" w:after="0"/>
            </w:pPr>
            <w:r>
              <w:rPr>
                <w:rFonts w:ascii="Times New Roman" w:hAnsi="Times New Roman"/>
                <w:sz w:val="20"/>
              </w:rPr>
              <w:t xml:space="preserve">0,412</w:t>
            </w:r>
          </w:p>
        </w:tc>
        <w:tc>
          <w:tcPr>
            <w:tcW w:w="1170" w:type="dxa"/>
          </w:tcPr>
          <w:p>
            <w:pPr>
              <w:spacing w:line="240" w:lineRule="auto" w:after="0"/>
            </w:pPr>
            <w:r>
              <w:rPr>
                <w:rFonts w:ascii="Times New Roman" w:hAnsi="Times New Roman"/>
                <w:sz w:val="20"/>
              </w:rPr>
              <w:t xml:space="preserve">0,20</w:t>
            </w:r>
          </w:p>
        </w:tc>
        <w:tc>
          <w:tcPr>
            <w:tcW w:w="1170" w:type="dxa"/>
          </w:tcPr>
          <w:p>
            <w:pPr>
              <w:spacing w:line="240" w:lineRule="auto" w:after="0"/>
            </w:pPr>
            <w:r>
              <w:rPr>
                <w:rFonts w:ascii="Times New Roman" w:hAnsi="Times New Roman"/>
                <w:sz w:val="20"/>
              </w:rPr>
              <w:t xml:space="preserve">[0,02; 0,44]</w:t>
            </w:r>
          </w:p>
        </w:tc>
      </w:tr>
      <w:tr>
        <w:tc>
          <w:tcPr>
            <w:tcW w:w="1170" w:type="dxa"/>
          </w:tcPr>
          <w:p>
            <w:pPr>
              <w:spacing w:line="240" w:lineRule="auto" w:after="0"/>
            </w:pPr>
            <w:r>
              <w:rPr>
                <w:rFonts w:ascii="Times New Roman" w:hAnsi="Times New Roman"/>
                <w:sz w:val="20"/>
              </w:rPr>
              <w:t xml:space="preserve">Axloqiy-psixologik</w:t>
            </w:r>
          </w:p>
        </w:tc>
        <w:tc>
          <w:tcPr>
            <w:tcW w:w="1170" w:type="dxa"/>
          </w:tcPr>
          <w:p>
            <w:pPr>
              <w:spacing w:line="240" w:lineRule="auto" w:after="0"/>
            </w:pPr>
            <w:r>
              <w:rPr>
                <w:rFonts w:ascii="Times New Roman" w:hAnsi="Times New Roman"/>
                <w:sz w:val="20"/>
              </w:rPr>
              <w:t xml:space="preserve">3,11 (1,41)</w:t>
            </w:r>
          </w:p>
        </w:tc>
        <w:tc>
          <w:tcPr>
            <w:tcW w:w="1170" w:type="dxa"/>
          </w:tcPr>
          <w:p>
            <w:pPr>
              <w:spacing w:line="240" w:lineRule="auto" w:after="0"/>
            </w:pPr>
            <w:r>
              <w:rPr>
                <w:rFonts w:ascii="Times New Roman" w:hAnsi="Times New Roman"/>
                <w:sz w:val="20"/>
              </w:rPr>
              <w:t xml:space="preserve">3,17 (1,60)</w:t>
            </w:r>
          </w:p>
        </w:tc>
        <w:tc>
          <w:tcPr>
            <w:tcW w:w="1170" w:type="dxa"/>
          </w:tcPr>
          <w:p>
            <w:pPr>
              <w:spacing w:line="240" w:lineRule="auto" w:after="0"/>
            </w:pPr>
            <w:r>
              <w:rPr>
                <w:rFonts w:ascii="Times New Roman" w:hAnsi="Times New Roman"/>
                <w:sz w:val="20"/>
              </w:rPr>
              <w:t xml:space="preserve">−0,45</w:t>
            </w:r>
          </w:p>
        </w:tc>
        <w:tc>
          <w:tcPr>
            <w:tcW w:w="1170" w:type="dxa"/>
          </w:tcPr>
          <w:p>
            <w:pPr>
              <w:spacing w:line="240" w:lineRule="auto" w:after="0"/>
            </w:pPr>
            <w:r>
              <w:rPr>
                <w:rFonts w:ascii="Times New Roman" w:hAnsi="Times New Roman"/>
                <w:sz w:val="20"/>
              </w:rPr>
              <w:t xml:space="preserve">0,653</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−0,04</w:t>
            </w:r>
          </w:p>
        </w:tc>
        <w:tc>
          <w:tcPr>
            <w:tcW w:w="1170" w:type="dxa"/>
          </w:tcPr>
          <w:p>
            <w:pPr>
              <w:spacing w:line="240" w:lineRule="auto" w:after="0"/>
            </w:pPr>
            <w:r>
              <w:rPr>
                <w:rFonts w:ascii="Times New Roman" w:hAnsi="Times New Roman"/>
                <w:sz w:val="20"/>
              </w:rPr>
              <w:t xml:space="preserve">[−0,32; 0,20]</w:t>
            </w:r>
          </w:p>
        </w:tc>
      </w:tr>
      <w:tr>
        <w:tc>
          <w:tcPr>
            <w:tcW w:w="1170" w:type="dxa"/>
          </w:tcPr>
          <w:p>
            <w:pPr>
              <w:spacing w:line="240" w:lineRule="auto" w:after="0"/>
            </w:pPr>
            <w:r>
              <w:rPr>
                <w:rFonts w:ascii="Times New Roman" w:hAnsi="Times New Roman"/>
                <w:b/>
                <w:i/>
                <w:sz w:val="20"/>
              </w:rPr>
              <w:t xml:space="preserve">Nikohga tayyorlik</w:t>
            </w: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r>
      <w:tr>
        <w:tc>
          <w:tcPr>
            <w:tcW w:w="1170" w:type="dxa"/>
          </w:tcPr>
          <w:p>
            <w:pPr>
              <w:spacing w:line="240" w:lineRule="auto" w:after="0"/>
            </w:pPr>
            <w:r>
              <w:rPr>
                <w:rFonts w:ascii="Times New Roman" w:hAnsi="Times New Roman"/>
                <w:sz w:val="20"/>
              </w:rPr>
              <w:t xml:space="preserve">«Turmushga chiqishga tayyormisiz?»</w:t>
            </w:r>
          </w:p>
        </w:tc>
        <w:tc>
          <w:tcPr>
            <w:tcW w:w="1170" w:type="dxa"/>
          </w:tcPr>
          <w:p>
            <w:pPr>
              <w:spacing w:line="240" w:lineRule="auto" w:after="0"/>
            </w:pPr>
            <w:r>
              <w:rPr>
                <w:rFonts w:ascii="Times New Roman" w:hAnsi="Times New Roman"/>
                <w:sz w:val="20"/>
              </w:rPr>
              <w:t xml:space="preserve">60,60 (12,57)</w:t>
            </w:r>
          </w:p>
        </w:tc>
        <w:tc>
          <w:tcPr>
            <w:tcW w:w="1170" w:type="dxa"/>
          </w:tcPr>
          <w:p>
            <w:pPr>
              <w:spacing w:line="240" w:lineRule="auto" w:after="0"/>
            </w:pPr>
            <w:r>
              <w:rPr>
                <w:rFonts w:ascii="Times New Roman" w:hAnsi="Times New Roman"/>
                <w:sz w:val="20"/>
              </w:rPr>
              <w:t xml:space="preserve">56,60 (11,38)</w:t>
            </w:r>
          </w:p>
        </w:tc>
        <w:tc>
          <w:tcPr>
            <w:tcW w:w="1170" w:type="dxa"/>
          </w:tcPr>
          <w:p>
            <w:pPr>
              <w:spacing w:line="240" w:lineRule="auto" w:after="0"/>
            </w:pPr>
            <w:r>
              <w:rPr>
                <w:rFonts w:ascii="Times New Roman" w:hAnsi="Times New Roman"/>
                <w:sz w:val="20"/>
              </w:rPr>
              <w:t xml:space="preserve">3,76</w:t>
            </w:r>
          </w:p>
        </w:tc>
        <w:tc>
          <w:tcPr>
            <w:tcW w:w="1170" w:type="dxa"/>
          </w:tcPr>
          <w:p>
            <w:pPr>
              <w:spacing w:line="240" w:lineRule="auto" w:after="0"/>
            </w:pPr>
            <w:r>
              <w:rPr>
                <w:rFonts w:ascii="Times New Roman" w:hAnsi="Times New Roman"/>
                <w:sz w:val="20"/>
              </w:rPr>
              <w:t xml:space="preserve">&lt; 0,001</w:t>
            </w:r>
          </w:p>
        </w:tc>
        <w:tc>
          <w:tcPr>
            <w:tcW w:w="1170" w:type="dxa"/>
          </w:tcPr>
          <w:p>
            <w:pPr>
              <w:spacing w:line="240" w:lineRule="auto" w:after="0"/>
            </w:pPr>
            <w:r>
              <w:rPr>
                <w:rFonts w:ascii="Times New Roman" w:hAnsi="Times New Roman"/>
                <w:sz w:val="20"/>
              </w:rPr>
              <w:t xml:space="preserve">0,004</w:t>
            </w:r>
          </w:p>
        </w:tc>
        <w:tc>
          <w:tcPr>
            <w:tcW w:w="1170" w:type="dxa"/>
          </w:tcPr>
          <w:p>
            <w:pPr>
              <w:spacing w:line="240" w:lineRule="auto" w:after="0"/>
            </w:pPr>
            <w:r>
              <w:rPr>
                <w:rFonts w:ascii="Times New Roman" w:hAnsi="Times New Roman"/>
                <w:sz w:val="20"/>
              </w:rPr>
              <w:t xml:space="preserve">0,33</w:t>
            </w:r>
          </w:p>
        </w:tc>
        <w:tc>
          <w:tcPr>
            <w:tcW w:w="1170" w:type="dxa"/>
          </w:tcPr>
          <w:p>
            <w:pPr>
              <w:spacing w:line="240" w:lineRule="auto" w:after="0"/>
            </w:pPr>
            <w:r>
              <w:rPr>
                <w:rFonts w:ascii="Times New Roman" w:hAnsi="Times New Roman"/>
                <w:sz w:val="20"/>
              </w:rPr>
              <w:t xml:space="preserve">[1,83; 6,17]</w:t>
            </w:r>
          </w:p>
        </w:tc>
      </w:tr>
      <w:tr>
        <w:tc>
          <w:tcPr>
            <w:tcW w:w="1170" w:type="dxa"/>
          </w:tcPr>
          <w:p>
            <w:pPr>
              <w:spacing w:line="240" w:lineRule="auto" w:after="0"/>
            </w:pPr>
            <w:r>
              <w:rPr>
                <w:rFonts w:ascii="Times New Roman" w:hAnsi="Times New Roman"/>
                <w:sz w:val="20"/>
              </w:rPr>
              <w:t xml:space="preserve">Nikohga ma'naviy tayyorgarlik</w:t>
            </w:r>
          </w:p>
        </w:tc>
        <w:tc>
          <w:tcPr>
            <w:tcW w:w="1170" w:type="dxa"/>
          </w:tcPr>
          <w:p>
            <w:pPr>
              <w:spacing w:line="240" w:lineRule="auto" w:after="0"/>
            </w:pPr>
            <w:r>
              <w:rPr>
                <w:rFonts w:ascii="Times New Roman" w:hAnsi="Times New Roman"/>
                <w:sz w:val="20"/>
              </w:rPr>
              <w:t xml:space="preserve">30,36 (2,36)</w:t>
            </w:r>
          </w:p>
        </w:tc>
        <w:tc>
          <w:tcPr>
            <w:tcW w:w="1170" w:type="dxa"/>
          </w:tcPr>
          <w:p>
            <w:pPr>
              <w:spacing w:line="240" w:lineRule="auto" w:after="0"/>
            </w:pPr>
            <w:r>
              <w:rPr>
                <w:rFonts w:ascii="Times New Roman" w:hAnsi="Times New Roman"/>
                <w:sz w:val="20"/>
              </w:rPr>
              <w:t xml:space="preserve">29,89 (2,72)</w:t>
            </w:r>
          </w:p>
        </w:tc>
        <w:tc>
          <w:tcPr>
            <w:tcW w:w="1170" w:type="dxa"/>
          </w:tcPr>
          <w:p>
            <w:pPr>
              <w:spacing w:line="240" w:lineRule="auto" w:after="0"/>
            </w:pPr>
            <w:r>
              <w:rPr>
                <w:rFonts w:ascii="Times New Roman" w:hAnsi="Times New Roman"/>
                <w:sz w:val="20"/>
              </w:rPr>
              <w:t xml:space="preserve">2,01</w:t>
            </w:r>
          </w:p>
        </w:tc>
        <w:tc>
          <w:tcPr>
            <w:tcW w:w="1170" w:type="dxa"/>
          </w:tcPr>
          <w:p>
            <w:pPr>
              <w:spacing w:line="240" w:lineRule="auto" w:after="0"/>
            </w:pPr>
            <w:r>
              <w:rPr>
                <w:rFonts w:ascii="Times New Roman" w:hAnsi="Times New Roman"/>
                <w:sz w:val="20"/>
              </w:rPr>
              <w:t xml:space="preserve">0,045</w:t>
            </w:r>
          </w:p>
        </w:tc>
        <w:tc>
          <w:tcPr>
            <w:tcW w:w="1170" w:type="dxa"/>
          </w:tcPr>
          <w:p>
            <w:pPr>
              <w:spacing w:line="240" w:lineRule="auto" w:after="0"/>
            </w:pPr>
            <w:r>
              <w:rPr>
                <w:rFonts w:ascii="Times New Roman" w:hAnsi="Times New Roman"/>
                <w:sz w:val="20"/>
              </w:rPr>
              <w:t xml:space="preserve">0,614</w:t>
            </w:r>
          </w:p>
        </w:tc>
        <w:tc>
          <w:tcPr>
            <w:tcW w:w="1170" w:type="dxa"/>
          </w:tcPr>
          <w:p>
            <w:pPr>
              <w:spacing w:line="240" w:lineRule="auto" w:after="0"/>
            </w:pPr>
            <w:r>
              <w:rPr>
                <w:rFonts w:ascii="Times New Roman" w:hAnsi="Times New Roman"/>
                <w:sz w:val="20"/>
              </w:rPr>
              <w:t xml:space="preserve">0,19</w:t>
            </w:r>
          </w:p>
        </w:tc>
        <w:tc>
          <w:tcPr>
            <w:tcW w:w="1170" w:type="dxa"/>
          </w:tcPr>
          <w:p>
            <w:pPr>
              <w:spacing w:line="240" w:lineRule="auto" w:after="0"/>
            </w:pPr>
            <w:r>
              <w:rPr>
                <w:rFonts w:ascii="Times New Roman" w:hAnsi="Times New Roman"/>
                <w:sz w:val="20"/>
              </w:rPr>
              <w:t xml:space="preserve">[0,03; 0,91]</w:t>
            </w:r>
          </w:p>
        </w:tc>
      </w:tr>
      <w:tr>
        <w:tc>
          <w:tcPr>
            <w:tcW w:w="1170" w:type="dxa"/>
          </w:tcPr>
          <w:p>
            <w:pPr>
              <w:spacing w:line="240" w:lineRule="auto" w:after="0"/>
            </w:pPr>
            <w:r>
              <w:rPr>
                <w:rFonts w:ascii="Times New Roman" w:hAnsi="Times New Roman"/>
                <w:b/>
                <w:i/>
                <w:sz w:val="20"/>
              </w:rPr>
              <w:t xml:space="preserve">Oilaviy uyushganlik (FACES-III)</w:t>
            </w: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r>
      <w:tr>
        <w:tc>
          <w:tcPr>
            <w:tcW w:w="1170" w:type="dxa"/>
          </w:tcPr>
          <w:p>
            <w:pPr>
              <w:spacing w:line="240" w:lineRule="auto" w:after="0"/>
            </w:pPr>
            <w:r>
              <w:rPr>
                <w:rFonts w:ascii="Times New Roman" w:hAnsi="Times New Roman"/>
                <w:sz w:val="20"/>
              </w:rPr>
              <w:t xml:space="preserve">Umumiy uyushganlik</w:t>
            </w:r>
          </w:p>
        </w:tc>
        <w:tc>
          <w:tcPr>
            <w:tcW w:w="1170" w:type="dxa"/>
          </w:tcPr>
          <w:p>
            <w:pPr>
              <w:spacing w:line="240" w:lineRule="auto" w:after="0"/>
            </w:pPr>
            <w:r>
              <w:rPr>
                <w:rFonts w:ascii="Times New Roman" w:hAnsi="Times New Roman"/>
                <w:sz w:val="20"/>
              </w:rPr>
              <w:t xml:space="preserve">40,60 (4,88)</w:t>
            </w:r>
          </w:p>
        </w:tc>
        <w:tc>
          <w:tcPr>
            <w:tcW w:w="1170" w:type="dxa"/>
          </w:tcPr>
          <w:p>
            <w:pPr>
              <w:spacing w:line="240" w:lineRule="auto" w:after="0"/>
            </w:pPr>
            <w:r>
              <w:rPr>
                <w:rFonts w:ascii="Times New Roman" w:hAnsi="Times New Roman"/>
                <w:sz w:val="20"/>
              </w:rPr>
              <w:t xml:space="preserve">39,40 (4,42)</w:t>
            </w:r>
          </w:p>
        </w:tc>
        <w:tc>
          <w:tcPr>
            <w:tcW w:w="1170" w:type="dxa"/>
          </w:tcPr>
          <w:p>
            <w:pPr>
              <w:spacing w:line="240" w:lineRule="auto" w:after="0"/>
            </w:pPr>
            <w:r>
              <w:rPr>
                <w:rFonts w:ascii="Times New Roman" w:hAnsi="Times New Roman"/>
                <w:sz w:val="20"/>
              </w:rPr>
              <w:t xml:space="preserve">2,80</w:t>
            </w:r>
          </w:p>
        </w:tc>
        <w:tc>
          <w:tcPr>
            <w:tcW w:w="1170" w:type="dxa"/>
          </w:tcPr>
          <w:p>
            <w:pPr>
              <w:spacing w:line="240" w:lineRule="auto" w:after="0"/>
            </w:pPr>
            <w:r>
              <w:rPr>
                <w:rFonts w:ascii="Times New Roman" w:hAnsi="Times New Roman"/>
                <w:sz w:val="20"/>
              </w:rPr>
              <w:t xml:space="preserve">0,005</w:t>
            </w:r>
          </w:p>
        </w:tc>
        <w:tc>
          <w:tcPr>
            <w:tcW w:w="1170" w:type="dxa"/>
          </w:tcPr>
          <w:p>
            <w:pPr>
              <w:spacing w:line="240" w:lineRule="auto" w:after="0"/>
            </w:pPr>
            <w:r>
              <w:rPr>
                <w:rFonts w:ascii="Times New Roman" w:hAnsi="Times New Roman"/>
                <w:sz w:val="20"/>
              </w:rPr>
              <w:t xml:space="preserve">0,095</w:t>
            </w:r>
          </w:p>
        </w:tc>
        <w:tc>
          <w:tcPr>
            <w:tcW w:w="1170" w:type="dxa"/>
          </w:tcPr>
          <w:p>
            <w:pPr>
              <w:spacing w:line="240" w:lineRule="auto" w:after="0"/>
            </w:pPr>
            <w:r>
              <w:rPr>
                <w:rFonts w:ascii="Times New Roman" w:hAnsi="Times New Roman"/>
                <w:sz w:val="20"/>
              </w:rPr>
              <w:t xml:space="preserve">0,25</w:t>
            </w:r>
          </w:p>
        </w:tc>
        <w:tc>
          <w:tcPr>
            <w:tcW w:w="1170" w:type="dxa"/>
          </w:tcPr>
          <w:p>
            <w:pPr>
              <w:spacing w:line="240" w:lineRule="auto" w:after="0"/>
            </w:pPr>
            <w:r>
              <w:rPr>
                <w:rFonts w:ascii="Times New Roman" w:hAnsi="Times New Roman"/>
                <w:sz w:val="20"/>
              </w:rPr>
              <w:t xml:space="preserve">[0,36; 2,04]</w:t>
            </w:r>
          </w:p>
        </w:tc>
      </w:tr>
      <w:tr>
        <w:tc>
          <w:tcPr>
            <w:tcW w:w="1170" w:type="dxa"/>
          </w:tcPr>
          <w:p>
            <w:pPr>
              <w:spacing w:line="240" w:lineRule="auto" w:after="0"/>
            </w:pPr>
            <w:r>
              <w:rPr>
                <w:rFonts w:ascii="Times New Roman" w:hAnsi="Times New Roman"/>
                <w:sz w:val="20"/>
              </w:rPr>
              <w:t xml:space="preserve">Hissiy yaqinlik</w:t>
            </w:r>
          </w:p>
        </w:tc>
        <w:tc>
          <w:tcPr>
            <w:tcW w:w="1170" w:type="dxa"/>
          </w:tcPr>
          <w:p>
            <w:pPr>
              <w:spacing w:line="240" w:lineRule="auto" w:after="0"/>
            </w:pPr>
            <w:r>
              <w:rPr>
                <w:rFonts w:ascii="Times New Roman" w:hAnsi="Times New Roman"/>
                <w:sz w:val="20"/>
              </w:rPr>
              <w:t xml:space="preserve">12,73 (1,77)</w:t>
            </w:r>
          </w:p>
        </w:tc>
        <w:tc>
          <w:tcPr>
            <w:tcW w:w="1170" w:type="dxa"/>
          </w:tcPr>
          <w:p>
            <w:pPr>
              <w:spacing w:line="240" w:lineRule="auto" w:after="0"/>
            </w:pPr>
            <w:r>
              <w:rPr>
                <w:rFonts w:ascii="Times New Roman" w:hAnsi="Times New Roman"/>
                <w:sz w:val="20"/>
              </w:rPr>
              <w:t xml:space="preserve">12,47 (1,83)</w:t>
            </w:r>
          </w:p>
        </w:tc>
        <w:tc>
          <w:tcPr>
            <w:tcW w:w="1170" w:type="dxa"/>
          </w:tcPr>
          <w:p>
            <w:pPr>
              <w:spacing w:line="240" w:lineRule="auto" w:after="0"/>
            </w:pPr>
            <w:r>
              <w:rPr>
                <w:rFonts w:ascii="Times New Roman" w:hAnsi="Times New Roman"/>
                <w:sz w:val="20"/>
              </w:rPr>
              <w:t xml:space="preserve">1,59</w:t>
            </w:r>
          </w:p>
        </w:tc>
        <w:tc>
          <w:tcPr>
            <w:tcW w:w="1170" w:type="dxa"/>
          </w:tcPr>
          <w:p>
            <w:pPr>
              <w:spacing w:line="240" w:lineRule="auto" w:after="0"/>
            </w:pPr>
            <w:r>
              <w:rPr>
                <w:rFonts w:ascii="Times New Roman" w:hAnsi="Times New Roman"/>
                <w:sz w:val="20"/>
              </w:rPr>
              <w:t xml:space="preserve">0,112</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0,15</w:t>
            </w:r>
          </w:p>
        </w:tc>
        <w:tc>
          <w:tcPr>
            <w:tcW w:w="1170" w:type="dxa"/>
          </w:tcPr>
          <w:p>
            <w:pPr>
              <w:spacing w:line="240" w:lineRule="auto" w:after="0"/>
            </w:pPr>
            <w:r>
              <w:rPr>
                <w:rFonts w:ascii="Times New Roman" w:hAnsi="Times New Roman"/>
                <w:sz w:val="20"/>
              </w:rPr>
              <w:t xml:space="preserve">[−0,06; 0,58]</w:t>
            </w:r>
          </w:p>
        </w:tc>
      </w:tr>
      <w:tr>
        <w:tc>
          <w:tcPr>
            <w:tcW w:w="1170" w:type="dxa"/>
          </w:tcPr>
          <w:p>
            <w:pPr>
              <w:spacing w:line="240" w:lineRule="auto" w:after="0"/>
            </w:pPr>
            <w:r>
              <w:rPr>
                <w:rFonts w:ascii="Times New Roman" w:hAnsi="Times New Roman"/>
                <w:sz w:val="20"/>
              </w:rPr>
              <w:t xml:space="preserve">Oilaviy munosabat chegarasi</w:t>
            </w:r>
          </w:p>
        </w:tc>
        <w:tc>
          <w:tcPr>
            <w:tcW w:w="1170" w:type="dxa"/>
          </w:tcPr>
          <w:p>
            <w:pPr>
              <w:spacing w:line="240" w:lineRule="auto" w:after="0"/>
            </w:pPr>
            <w:r>
              <w:rPr>
                <w:rFonts w:ascii="Times New Roman" w:hAnsi="Times New Roman"/>
                <w:sz w:val="20"/>
              </w:rPr>
              <w:t xml:space="preserve">8,64 (1,39)</w:t>
            </w:r>
          </w:p>
        </w:tc>
        <w:tc>
          <w:tcPr>
            <w:tcW w:w="1170" w:type="dxa"/>
          </w:tcPr>
          <w:p>
            <w:pPr>
              <w:spacing w:line="240" w:lineRule="auto" w:after="0"/>
            </w:pPr>
            <w:r>
              <w:rPr>
                <w:rFonts w:ascii="Times New Roman" w:hAnsi="Times New Roman"/>
                <w:sz w:val="20"/>
              </w:rPr>
              <w:t xml:space="preserve">8,11 (1,57)</w:t>
            </w:r>
          </w:p>
        </w:tc>
        <w:tc>
          <w:tcPr>
            <w:tcW w:w="1170" w:type="dxa"/>
          </w:tcPr>
          <w:p>
            <w:pPr>
              <w:spacing w:line="240" w:lineRule="auto" w:after="0"/>
            </w:pPr>
            <w:r>
              <w:rPr>
                <w:rFonts w:ascii="Times New Roman" w:hAnsi="Times New Roman"/>
                <w:sz w:val="20"/>
              </w:rPr>
              <w:t xml:space="preserve">4,01</w:t>
            </w:r>
          </w:p>
        </w:tc>
        <w:tc>
          <w:tcPr>
            <w:tcW w:w="1170" w:type="dxa"/>
          </w:tcPr>
          <w:p>
            <w:pPr>
              <w:spacing w:line="240" w:lineRule="auto" w:after="0"/>
            </w:pPr>
            <w:r>
              <w:rPr>
                <w:rFonts w:ascii="Times New Roman" w:hAnsi="Times New Roman"/>
                <w:sz w:val="20"/>
              </w:rPr>
              <w:t xml:space="preserve">&lt; 0,001</w:t>
            </w:r>
          </w:p>
        </w:tc>
        <w:tc>
          <w:tcPr>
            <w:tcW w:w="1170" w:type="dxa"/>
          </w:tcPr>
          <w:p>
            <w:pPr>
              <w:spacing w:line="240" w:lineRule="auto" w:after="0"/>
            </w:pPr>
            <w:r>
              <w:rPr>
                <w:rFonts w:ascii="Times New Roman" w:hAnsi="Times New Roman"/>
                <w:sz w:val="20"/>
              </w:rPr>
              <w:t xml:space="preserve">0,002</w:t>
            </w:r>
          </w:p>
        </w:tc>
        <w:tc>
          <w:tcPr>
            <w:tcW w:w="1170" w:type="dxa"/>
          </w:tcPr>
          <w:p>
            <w:pPr>
              <w:spacing w:line="240" w:lineRule="auto" w:after="0"/>
            </w:pPr>
            <w:r>
              <w:rPr>
                <w:rFonts w:ascii="Times New Roman" w:hAnsi="Times New Roman"/>
                <w:sz w:val="20"/>
              </w:rPr>
              <w:t xml:space="preserve">0,36</w:t>
            </w:r>
          </w:p>
        </w:tc>
        <w:tc>
          <w:tcPr>
            <w:tcW w:w="1170" w:type="dxa"/>
          </w:tcPr>
          <w:p>
            <w:pPr>
              <w:spacing w:line="240" w:lineRule="auto" w:after="0"/>
            </w:pPr>
            <w:r>
              <w:rPr>
                <w:rFonts w:ascii="Times New Roman" w:hAnsi="Times New Roman"/>
                <w:sz w:val="20"/>
              </w:rPr>
              <w:t xml:space="preserve">[0,27; 0,79]</w:t>
            </w:r>
          </w:p>
        </w:tc>
      </w:tr>
      <w:tr>
        <w:tc>
          <w:tcPr>
            <w:tcW w:w="1170" w:type="dxa"/>
          </w:tcPr>
          <w:p>
            <w:pPr>
              <w:spacing w:line="240" w:lineRule="auto" w:after="0"/>
            </w:pPr>
            <w:r>
              <w:rPr>
                <w:rFonts w:ascii="Times New Roman" w:hAnsi="Times New Roman"/>
                <w:sz w:val="20"/>
              </w:rPr>
              <w:t xml:space="preserve">Qaror qabul qilish</w:t>
            </w:r>
          </w:p>
        </w:tc>
        <w:tc>
          <w:tcPr>
            <w:tcW w:w="1170" w:type="dxa"/>
          </w:tcPr>
          <w:p>
            <w:pPr>
              <w:spacing w:line="240" w:lineRule="auto" w:after="0"/>
            </w:pPr>
            <w:r>
              <w:rPr>
                <w:rFonts w:ascii="Times New Roman" w:hAnsi="Times New Roman"/>
                <w:sz w:val="20"/>
              </w:rPr>
              <w:t xml:space="preserve">3,74 (1,19)</w:t>
            </w:r>
          </w:p>
        </w:tc>
        <w:tc>
          <w:tcPr>
            <w:tcW w:w="1170" w:type="dxa"/>
          </w:tcPr>
          <w:p>
            <w:pPr>
              <w:spacing w:line="240" w:lineRule="auto" w:after="0"/>
            </w:pPr>
            <w:r>
              <w:rPr>
                <w:rFonts w:ascii="Times New Roman" w:hAnsi="Times New Roman"/>
                <w:sz w:val="20"/>
              </w:rPr>
              <w:t xml:space="preserve">3,83 (1,10)</w:t>
            </w:r>
          </w:p>
        </w:tc>
        <w:tc>
          <w:tcPr>
            <w:tcW w:w="1170" w:type="dxa"/>
          </w:tcPr>
          <w:p>
            <w:pPr>
              <w:spacing w:line="240" w:lineRule="auto" w:after="0"/>
            </w:pPr>
            <w:r>
              <w:rPr>
                <w:rFonts w:ascii="Times New Roman" w:hAnsi="Times New Roman"/>
                <w:sz w:val="20"/>
              </w:rPr>
              <w:t xml:space="preserve">−0,82</w:t>
            </w:r>
          </w:p>
        </w:tc>
        <w:tc>
          <w:tcPr>
            <w:tcW w:w="1170" w:type="dxa"/>
          </w:tcPr>
          <w:p>
            <w:pPr>
              <w:spacing w:line="240" w:lineRule="auto" w:after="0"/>
            </w:pPr>
            <w:r>
              <w:rPr>
                <w:rFonts w:ascii="Times New Roman" w:hAnsi="Times New Roman"/>
                <w:sz w:val="20"/>
              </w:rPr>
              <w:t xml:space="preserve">0,413</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−0,08</w:t>
            </w:r>
          </w:p>
        </w:tc>
        <w:tc>
          <w:tcPr>
            <w:tcW w:w="1170" w:type="dxa"/>
          </w:tcPr>
          <w:p>
            <w:pPr>
              <w:spacing w:line="240" w:lineRule="auto" w:after="0"/>
            </w:pPr>
            <w:r>
              <w:rPr>
                <w:rFonts w:ascii="Times New Roman" w:hAnsi="Times New Roman"/>
                <w:sz w:val="20"/>
              </w:rPr>
              <w:t xml:space="preserve">[−0,30; 0,12]</w:t>
            </w:r>
          </w:p>
        </w:tc>
      </w:tr>
      <w:tr>
        <w:tc>
          <w:tcPr>
            <w:tcW w:w="1170" w:type="dxa"/>
          </w:tcPr>
          <w:p>
            <w:pPr>
              <w:spacing w:line="240" w:lineRule="auto" w:after="0"/>
            </w:pPr>
            <w:r>
              <w:rPr>
                <w:rFonts w:ascii="Times New Roman" w:hAnsi="Times New Roman"/>
                <w:sz w:val="20"/>
              </w:rPr>
              <w:t xml:space="preserve">Birgalikdagi vaqt</w:t>
            </w:r>
          </w:p>
        </w:tc>
        <w:tc>
          <w:tcPr>
            <w:tcW w:w="1170" w:type="dxa"/>
          </w:tcPr>
          <w:p>
            <w:pPr>
              <w:spacing w:line="240" w:lineRule="auto" w:after="0"/>
            </w:pPr>
            <w:r>
              <w:rPr>
                <w:rFonts w:ascii="Times New Roman" w:hAnsi="Times New Roman"/>
                <w:sz w:val="20"/>
              </w:rPr>
              <w:t xml:space="preserve">4,10 (1,05)</w:t>
            </w:r>
          </w:p>
        </w:tc>
        <w:tc>
          <w:tcPr>
            <w:tcW w:w="1170" w:type="dxa"/>
          </w:tcPr>
          <w:p>
            <w:pPr>
              <w:spacing w:line="240" w:lineRule="auto" w:after="0"/>
            </w:pPr>
            <w:r>
              <w:rPr>
                <w:rFonts w:ascii="Times New Roman" w:hAnsi="Times New Roman"/>
                <w:sz w:val="20"/>
              </w:rPr>
              <w:t xml:space="preserve">4,05 (1,07)</w:t>
            </w:r>
          </w:p>
        </w:tc>
        <w:tc>
          <w:tcPr>
            <w:tcW w:w="1170" w:type="dxa"/>
          </w:tcPr>
          <w:p>
            <w:pPr>
              <w:spacing w:line="240" w:lineRule="auto" w:after="0"/>
            </w:pPr>
            <w:r>
              <w:rPr>
                <w:rFonts w:ascii="Times New Roman" w:hAnsi="Times New Roman"/>
                <w:sz w:val="20"/>
              </w:rPr>
              <w:t xml:space="preserve">0,57</w:t>
            </w:r>
          </w:p>
        </w:tc>
        <w:tc>
          <w:tcPr>
            <w:tcW w:w="1170" w:type="dxa"/>
          </w:tcPr>
          <w:p>
            <w:pPr>
              <w:spacing w:line="240" w:lineRule="auto" w:after="0"/>
            </w:pPr>
            <w:r>
              <w:rPr>
                <w:rFonts w:ascii="Times New Roman" w:hAnsi="Times New Roman"/>
                <w:sz w:val="20"/>
              </w:rPr>
              <w:t xml:space="preserve">0,569</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0,05</w:t>
            </w:r>
          </w:p>
        </w:tc>
        <w:tc>
          <w:tcPr>
            <w:tcW w:w="1170" w:type="dxa"/>
          </w:tcPr>
          <w:p>
            <w:pPr>
              <w:spacing w:line="240" w:lineRule="auto" w:after="0"/>
            </w:pPr>
            <w:r>
              <w:rPr>
                <w:rFonts w:ascii="Times New Roman" w:hAnsi="Times New Roman"/>
                <w:sz w:val="20"/>
              </w:rPr>
              <w:t xml:space="preserve">[−0,14; 0,24]</w:t>
            </w:r>
          </w:p>
        </w:tc>
      </w:tr>
      <w:tr>
        <w:tc>
          <w:tcPr>
            <w:tcW w:w="1170" w:type="dxa"/>
          </w:tcPr>
          <w:p>
            <w:pPr>
              <w:spacing w:line="240" w:lineRule="auto" w:after="0"/>
            </w:pPr>
            <w:r>
              <w:rPr>
                <w:rFonts w:ascii="Times New Roman" w:hAnsi="Times New Roman"/>
                <w:sz w:val="20"/>
              </w:rPr>
              <w:t xml:space="preserve">Umumiy do'stlar</w:t>
            </w:r>
          </w:p>
        </w:tc>
        <w:tc>
          <w:tcPr>
            <w:tcW w:w="1170" w:type="dxa"/>
          </w:tcPr>
          <w:p>
            <w:pPr>
              <w:spacing w:line="240" w:lineRule="auto" w:after="0"/>
            </w:pPr>
            <w:r>
              <w:rPr>
                <w:rFonts w:ascii="Times New Roman" w:hAnsi="Times New Roman"/>
                <w:sz w:val="20"/>
              </w:rPr>
              <w:t xml:space="preserve">3,78 (1,04)</w:t>
            </w:r>
          </w:p>
        </w:tc>
        <w:tc>
          <w:tcPr>
            <w:tcW w:w="1170" w:type="dxa"/>
          </w:tcPr>
          <w:p>
            <w:pPr>
              <w:spacing w:line="240" w:lineRule="auto" w:after="0"/>
            </w:pPr>
            <w:r>
              <w:rPr>
                <w:rFonts w:ascii="Times New Roman" w:hAnsi="Times New Roman"/>
                <w:sz w:val="20"/>
              </w:rPr>
              <w:t xml:space="preserve">3,73 (1,07)</w:t>
            </w:r>
          </w:p>
        </w:tc>
        <w:tc>
          <w:tcPr>
            <w:tcW w:w="1170" w:type="dxa"/>
          </w:tcPr>
          <w:p>
            <w:pPr>
              <w:spacing w:line="240" w:lineRule="auto" w:after="0"/>
            </w:pPr>
            <w:r>
              <w:rPr>
                <w:rFonts w:ascii="Times New Roman" w:hAnsi="Times New Roman"/>
                <w:sz w:val="20"/>
              </w:rPr>
              <w:t xml:space="preserve">0,52</w:t>
            </w:r>
          </w:p>
        </w:tc>
        <w:tc>
          <w:tcPr>
            <w:tcW w:w="1170" w:type="dxa"/>
          </w:tcPr>
          <w:p>
            <w:pPr>
              <w:spacing w:line="240" w:lineRule="auto" w:after="0"/>
            </w:pPr>
            <w:r>
              <w:rPr>
                <w:rFonts w:ascii="Times New Roman" w:hAnsi="Times New Roman"/>
                <w:sz w:val="20"/>
              </w:rPr>
              <w:t xml:space="preserve">0,603</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0,05</w:t>
            </w:r>
          </w:p>
        </w:tc>
        <w:tc>
          <w:tcPr>
            <w:tcW w:w="1170" w:type="dxa"/>
          </w:tcPr>
          <w:p>
            <w:pPr>
              <w:spacing w:line="240" w:lineRule="auto" w:after="0"/>
            </w:pPr>
            <w:r>
              <w:rPr>
                <w:rFonts w:ascii="Times New Roman" w:hAnsi="Times New Roman"/>
                <w:sz w:val="20"/>
              </w:rPr>
              <w:t xml:space="preserve">[−0,14; 0,24]</w:t>
            </w:r>
          </w:p>
        </w:tc>
      </w:tr>
      <w:tr>
        <w:tc>
          <w:tcPr>
            <w:tcW w:w="1170" w:type="dxa"/>
          </w:tcPr>
          <w:p>
            <w:pPr>
              <w:spacing w:line="240" w:lineRule="auto" w:after="0"/>
            </w:pPr>
            <w:r>
              <w:rPr>
                <w:rFonts w:ascii="Times New Roman" w:hAnsi="Times New Roman"/>
                <w:sz w:val="20"/>
              </w:rPr>
              <w:t xml:space="preserve">Qiziqishlar va bo'sh vaqt</w:t>
            </w:r>
          </w:p>
        </w:tc>
        <w:tc>
          <w:tcPr>
            <w:tcW w:w="1170" w:type="dxa"/>
          </w:tcPr>
          <w:p>
            <w:pPr>
              <w:spacing w:line="240" w:lineRule="auto" w:after="0"/>
            </w:pPr>
            <w:r>
              <w:rPr>
                <w:rFonts w:ascii="Times New Roman" w:hAnsi="Times New Roman"/>
                <w:sz w:val="20"/>
              </w:rPr>
              <w:t xml:space="preserve">7,63 (1,84)</w:t>
            </w:r>
          </w:p>
        </w:tc>
        <w:tc>
          <w:tcPr>
            <w:tcW w:w="1170" w:type="dxa"/>
          </w:tcPr>
          <w:p>
            <w:pPr>
              <w:spacing w:line="240" w:lineRule="auto" w:after="0"/>
            </w:pPr>
            <w:r>
              <w:rPr>
                <w:rFonts w:ascii="Times New Roman" w:hAnsi="Times New Roman"/>
                <w:sz w:val="20"/>
              </w:rPr>
              <w:t xml:space="preserve">7,25 (1,85)</w:t>
            </w:r>
          </w:p>
        </w:tc>
        <w:tc>
          <w:tcPr>
            <w:tcW w:w="1170" w:type="dxa"/>
          </w:tcPr>
          <w:p>
            <w:pPr>
              <w:spacing w:line="240" w:lineRule="auto" w:after="0"/>
            </w:pPr>
            <w:r>
              <w:rPr>
                <w:rFonts w:ascii="Times New Roman" w:hAnsi="Times New Roman"/>
                <w:sz w:val="20"/>
              </w:rPr>
              <w:t xml:space="preserve">2,26</w:t>
            </w:r>
          </w:p>
        </w:tc>
        <w:tc>
          <w:tcPr>
            <w:tcW w:w="1170" w:type="dxa"/>
          </w:tcPr>
          <w:p>
            <w:pPr>
              <w:spacing w:line="240" w:lineRule="auto" w:after="0"/>
            </w:pPr>
            <w:r>
              <w:rPr>
                <w:rFonts w:ascii="Times New Roman" w:hAnsi="Times New Roman"/>
                <w:sz w:val="20"/>
              </w:rPr>
              <w:t xml:space="preserve">0,024</w:t>
            </w:r>
          </w:p>
        </w:tc>
        <w:tc>
          <w:tcPr>
            <w:tcW w:w="1170" w:type="dxa"/>
          </w:tcPr>
          <w:p>
            <w:pPr>
              <w:spacing w:line="240" w:lineRule="auto" w:after="0"/>
            </w:pPr>
            <w:r>
              <w:rPr>
                <w:rFonts w:ascii="Times New Roman" w:hAnsi="Times New Roman"/>
                <w:sz w:val="20"/>
              </w:rPr>
              <w:t xml:space="preserve">0,412</w:t>
            </w:r>
          </w:p>
        </w:tc>
        <w:tc>
          <w:tcPr>
            <w:tcW w:w="1170" w:type="dxa"/>
          </w:tcPr>
          <w:p>
            <w:pPr>
              <w:spacing w:line="240" w:lineRule="auto" w:after="0"/>
            </w:pPr>
            <w:r>
              <w:rPr>
                <w:rFonts w:ascii="Times New Roman" w:hAnsi="Times New Roman"/>
                <w:sz w:val="20"/>
              </w:rPr>
              <w:t xml:space="preserve">0,21</w:t>
            </w:r>
          </w:p>
        </w:tc>
        <w:tc>
          <w:tcPr>
            <w:tcW w:w="1170" w:type="dxa"/>
          </w:tcPr>
          <w:p>
            <w:pPr>
              <w:spacing w:line="240" w:lineRule="auto" w:after="0"/>
            </w:pPr>
            <w:r>
              <w:rPr>
                <w:rFonts w:ascii="Times New Roman" w:hAnsi="Times New Roman"/>
                <w:sz w:val="20"/>
              </w:rPr>
              <w:t xml:space="preserve">[0,05; 0,71]</w:t>
            </w:r>
          </w:p>
        </w:tc>
      </w:tr>
      <w:tr>
        <w:tc>
          <w:tcPr>
            <w:tcW w:w="1170" w:type="dxa"/>
          </w:tcPr>
          <w:p>
            <w:pPr>
              <w:spacing w:line="240" w:lineRule="auto" w:after="0"/>
            </w:pPr>
            <w:r>
              <w:rPr>
                <w:rFonts w:ascii="Times New Roman" w:hAnsi="Times New Roman"/>
                <w:b/>
                <w:i/>
                <w:sz w:val="20"/>
              </w:rPr>
              <w:t xml:space="preserve">Oilaviy egiluvchanlik (FACES-III)</w:t>
            </w: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c>
          <w:tcPr>
            <w:tcW w:w="1170" w:type="dxa"/>
          </w:tcPr>
          <w:p>
            <w:pPr>
              <w:spacing w:line="240" w:lineRule="auto" w:after="0"/>
            </w:pPr>
          </w:p>
        </w:tc>
      </w:tr>
      <w:tr>
        <w:tc>
          <w:tcPr>
            <w:tcW w:w="1170" w:type="dxa"/>
          </w:tcPr>
          <w:p>
            <w:pPr>
              <w:spacing w:line="240" w:lineRule="auto" w:after="0"/>
            </w:pPr>
            <w:r>
              <w:rPr>
                <w:rFonts w:ascii="Times New Roman" w:hAnsi="Times New Roman"/>
                <w:sz w:val="20"/>
              </w:rPr>
              <w:t xml:space="preserve">Liderlik</w:t>
            </w:r>
          </w:p>
        </w:tc>
        <w:tc>
          <w:tcPr>
            <w:tcW w:w="1170" w:type="dxa"/>
          </w:tcPr>
          <w:p>
            <w:pPr>
              <w:spacing w:line="240" w:lineRule="auto" w:after="0"/>
            </w:pPr>
            <w:r>
              <w:rPr>
                <w:rFonts w:ascii="Times New Roman" w:hAnsi="Times New Roman"/>
                <w:sz w:val="20"/>
              </w:rPr>
              <w:t xml:space="preserve">7,45 (1,65)</w:t>
            </w:r>
          </w:p>
        </w:tc>
        <w:tc>
          <w:tcPr>
            <w:tcW w:w="1170" w:type="dxa"/>
          </w:tcPr>
          <w:p>
            <w:pPr>
              <w:spacing w:line="240" w:lineRule="auto" w:after="0"/>
            </w:pPr>
            <w:r>
              <w:rPr>
                <w:rFonts w:ascii="Times New Roman" w:hAnsi="Times New Roman"/>
                <w:sz w:val="20"/>
              </w:rPr>
              <w:t xml:space="preserve">7,13 (1,74)</w:t>
            </w:r>
          </w:p>
        </w:tc>
        <w:tc>
          <w:tcPr>
            <w:tcW w:w="1170" w:type="dxa"/>
          </w:tcPr>
          <w:p>
            <w:pPr>
              <w:spacing w:line="240" w:lineRule="auto" w:after="0"/>
            </w:pPr>
            <w:r>
              <w:rPr>
                <w:rFonts w:ascii="Times New Roman" w:hAnsi="Times New Roman"/>
                <w:sz w:val="20"/>
              </w:rPr>
              <w:t xml:space="preserve">2,08</w:t>
            </w:r>
          </w:p>
        </w:tc>
        <w:tc>
          <w:tcPr>
            <w:tcW w:w="1170" w:type="dxa"/>
          </w:tcPr>
          <w:p>
            <w:pPr>
              <w:spacing w:line="240" w:lineRule="auto" w:after="0"/>
            </w:pPr>
            <w:r>
              <w:rPr>
                <w:rFonts w:ascii="Times New Roman" w:hAnsi="Times New Roman"/>
                <w:sz w:val="20"/>
              </w:rPr>
              <w:t xml:space="preserve">0,038</w:t>
            </w:r>
          </w:p>
        </w:tc>
        <w:tc>
          <w:tcPr>
            <w:tcW w:w="1170" w:type="dxa"/>
          </w:tcPr>
          <w:p>
            <w:pPr>
              <w:spacing w:line="240" w:lineRule="auto" w:after="0"/>
            </w:pPr>
            <w:r>
              <w:rPr>
                <w:rFonts w:ascii="Times New Roman" w:hAnsi="Times New Roman"/>
                <w:sz w:val="20"/>
              </w:rPr>
              <w:t xml:space="preserve">0,570</w:t>
            </w:r>
          </w:p>
        </w:tc>
        <w:tc>
          <w:tcPr>
            <w:tcW w:w="1170" w:type="dxa"/>
          </w:tcPr>
          <w:p>
            <w:pPr>
              <w:spacing w:line="240" w:lineRule="auto" w:after="0"/>
            </w:pPr>
            <w:r>
              <w:rPr>
                <w:rFonts w:ascii="Times New Roman" w:hAnsi="Times New Roman"/>
                <w:sz w:val="20"/>
              </w:rPr>
              <w:t xml:space="preserve">0,19</w:t>
            </w:r>
          </w:p>
        </w:tc>
        <w:tc>
          <w:tcPr>
            <w:tcW w:w="1170" w:type="dxa"/>
          </w:tcPr>
          <w:p>
            <w:pPr>
              <w:spacing w:line="240" w:lineRule="auto" w:after="0"/>
            </w:pPr>
            <w:r>
              <w:rPr>
                <w:rFonts w:ascii="Times New Roman" w:hAnsi="Times New Roman"/>
                <w:sz w:val="20"/>
              </w:rPr>
              <w:t xml:space="preserve">[0,02; 0,62]</w:t>
            </w:r>
          </w:p>
        </w:tc>
      </w:tr>
      <w:tr>
        <w:tc>
          <w:tcPr>
            <w:tcW w:w="1170" w:type="dxa"/>
          </w:tcPr>
          <w:p>
            <w:pPr>
              <w:spacing w:line="240" w:lineRule="auto" w:after="0"/>
            </w:pPr>
            <w:r>
              <w:rPr>
                <w:rFonts w:ascii="Times New Roman" w:hAnsi="Times New Roman"/>
                <w:sz w:val="20"/>
              </w:rPr>
              <w:t xml:space="preserve">Nazorat</w:t>
            </w:r>
          </w:p>
        </w:tc>
        <w:tc>
          <w:tcPr>
            <w:tcW w:w="1170" w:type="dxa"/>
          </w:tcPr>
          <w:p>
            <w:pPr>
              <w:spacing w:line="240" w:lineRule="auto" w:after="0"/>
            </w:pPr>
            <w:r>
              <w:rPr>
                <w:rFonts w:ascii="Times New Roman" w:hAnsi="Times New Roman"/>
                <w:sz w:val="20"/>
              </w:rPr>
              <w:t xml:space="preserve">7,15 (1,73)</w:t>
            </w:r>
          </w:p>
        </w:tc>
        <w:tc>
          <w:tcPr>
            <w:tcW w:w="1170" w:type="dxa"/>
          </w:tcPr>
          <w:p>
            <w:pPr>
              <w:spacing w:line="240" w:lineRule="auto" w:after="0"/>
            </w:pPr>
            <w:r>
              <w:rPr>
                <w:rFonts w:ascii="Times New Roman" w:hAnsi="Times New Roman"/>
                <w:sz w:val="20"/>
              </w:rPr>
              <w:t xml:space="preserve">6,71 (1,68)</w:t>
            </w:r>
          </w:p>
        </w:tc>
        <w:tc>
          <w:tcPr>
            <w:tcW w:w="1170" w:type="dxa"/>
          </w:tcPr>
          <w:p>
            <w:pPr>
              <w:spacing w:line="240" w:lineRule="auto" w:after="0"/>
            </w:pPr>
            <w:r>
              <w:rPr>
                <w:rFonts w:ascii="Times New Roman" w:hAnsi="Times New Roman"/>
                <w:sz w:val="20"/>
              </w:rPr>
              <w:t xml:space="preserve">2,85</w:t>
            </w:r>
          </w:p>
        </w:tc>
        <w:tc>
          <w:tcPr>
            <w:tcW w:w="1170" w:type="dxa"/>
          </w:tcPr>
          <w:p>
            <w:pPr>
              <w:spacing w:line="240" w:lineRule="auto" w:after="0"/>
            </w:pPr>
            <w:r>
              <w:rPr>
                <w:rFonts w:ascii="Times New Roman" w:hAnsi="Times New Roman"/>
                <w:sz w:val="20"/>
              </w:rPr>
              <w:t xml:space="preserve">0,005</w:t>
            </w:r>
          </w:p>
        </w:tc>
        <w:tc>
          <w:tcPr>
            <w:tcW w:w="1170" w:type="dxa"/>
          </w:tcPr>
          <w:p>
            <w:pPr>
              <w:spacing w:line="240" w:lineRule="auto" w:after="0"/>
            </w:pPr>
            <w:r>
              <w:rPr>
                <w:rFonts w:ascii="Times New Roman" w:hAnsi="Times New Roman"/>
                <w:sz w:val="20"/>
              </w:rPr>
              <w:t xml:space="preserve">0,086</w:t>
            </w:r>
          </w:p>
        </w:tc>
        <w:tc>
          <w:tcPr>
            <w:tcW w:w="1170" w:type="dxa"/>
          </w:tcPr>
          <w:p>
            <w:pPr>
              <w:spacing w:line="240" w:lineRule="auto" w:after="0"/>
            </w:pPr>
            <w:r>
              <w:rPr>
                <w:rFonts w:ascii="Times New Roman" w:hAnsi="Times New Roman"/>
                <w:sz w:val="20"/>
              </w:rPr>
              <w:t xml:space="preserve">0,26</w:t>
            </w:r>
          </w:p>
        </w:tc>
        <w:tc>
          <w:tcPr>
            <w:tcW w:w="1170" w:type="dxa"/>
          </w:tcPr>
          <w:p>
            <w:pPr>
              <w:spacing w:line="240" w:lineRule="auto" w:after="0"/>
            </w:pPr>
            <w:r>
              <w:rPr>
                <w:rFonts w:ascii="Times New Roman" w:hAnsi="Times New Roman"/>
                <w:sz w:val="20"/>
              </w:rPr>
              <w:t xml:space="preserve">[0,13; 0,75]</w:t>
            </w:r>
          </w:p>
        </w:tc>
      </w:tr>
      <w:tr>
        <w:tc>
          <w:tcPr>
            <w:tcW w:w="1170" w:type="dxa"/>
          </w:tcPr>
          <w:p>
            <w:pPr>
              <w:spacing w:line="240" w:lineRule="auto" w:after="0"/>
            </w:pPr>
            <w:r>
              <w:rPr>
                <w:rFonts w:ascii="Times New Roman" w:hAnsi="Times New Roman"/>
                <w:sz w:val="20"/>
              </w:rPr>
              <w:t xml:space="preserve">Intizom</w:t>
            </w:r>
          </w:p>
        </w:tc>
        <w:tc>
          <w:tcPr>
            <w:tcW w:w="1170" w:type="dxa"/>
          </w:tcPr>
          <w:p>
            <w:pPr>
              <w:spacing w:line="240" w:lineRule="auto" w:after="0"/>
            </w:pPr>
            <w:r>
              <w:rPr>
                <w:rFonts w:ascii="Times New Roman" w:hAnsi="Times New Roman"/>
                <w:sz w:val="20"/>
              </w:rPr>
              <w:t xml:space="preserve">6,80 (1,66)</w:t>
            </w:r>
          </w:p>
        </w:tc>
        <w:tc>
          <w:tcPr>
            <w:tcW w:w="1170" w:type="dxa"/>
          </w:tcPr>
          <w:p>
            <w:pPr>
              <w:spacing w:line="240" w:lineRule="auto" w:after="0"/>
            </w:pPr>
            <w:r>
              <w:rPr>
                <w:rFonts w:ascii="Times New Roman" w:hAnsi="Times New Roman"/>
                <w:sz w:val="20"/>
              </w:rPr>
              <w:t xml:space="preserve">6,69 (1,61)</w:t>
            </w:r>
          </w:p>
        </w:tc>
        <w:tc>
          <w:tcPr>
            <w:tcW w:w="1170" w:type="dxa"/>
          </w:tcPr>
          <w:p>
            <w:pPr>
              <w:spacing w:line="240" w:lineRule="auto" w:after="0"/>
            </w:pPr>
            <w:r>
              <w:rPr>
                <w:rFonts w:ascii="Times New Roman" w:hAnsi="Times New Roman"/>
                <w:sz w:val="20"/>
              </w:rPr>
              <w:t xml:space="preserve">0,72</w:t>
            </w:r>
          </w:p>
        </w:tc>
        <w:tc>
          <w:tcPr>
            <w:tcW w:w="1170" w:type="dxa"/>
          </w:tcPr>
          <w:p>
            <w:pPr>
              <w:spacing w:line="240" w:lineRule="auto" w:after="0"/>
            </w:pPr>
            <w:r>
              <w:rPr>
                <w:rFonts w:ascii="Times New Roman" w:hAnsi="Times New Roman"/>
                <w:sz w:val="20"/>
              </w:rPr>
              <w:t xml:space="preserve">0,472</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0,07</w:t>
            </w:r>
          </w:p>
        </w:tc>
        <w:tc>
          <w:tcPr>
            <w:tcW w:w="1170" w:type="dxa"/>
          </w:tcPr>
          <w:p>
            <w:pPr>
              <w:spacing w:line="240" w:lineRule="auto" w:after="0"/>
            </w:pPr>
            <w:r>
              <w:rPr>
                <w:rFonts w:ascii="Times New Roman" w:hAnsi="Times New Roman"/>
                <w:sz w:val="20"/>
              </w:rPr>
              <w:t xml:space="preserve">[−0,18; 0,40]</w:t>
            </w:r>
          </w:p>
        </w:tc>
      </w:tr>
      <w:tr>
        <w:tc>
          <w:tcPr>
            <w:tcW w:w="1170" w:type="dxa"/>
          </w:tcPr>
          <w:p>
            <w:pPr>
              <w:spacing w:line="240" w:lineRule="auto" w:after="0"/>
            </w:pPr>
            <w:r>
              <w:rPr>
                <w:rFonts w:ascii="Times New Roman" w:hAnsi="Times New Roman"/>
                <w:sz w:val="20"/>
              </w:rPr>
              <w:t xml:space="preserve">Oilaviy rollar</w:t>
            </w:r>
          </w:p>
        </w:tc>
        <w:tc>
          <w:tcPr>
            <w:tcW w:w="1170" w:type="dxa"/>
          </w:tcPr>
          <w:p>
            <w:pPr>
              <w:spacing w:line="240" w:lineRule="auto" w:after="0"/>
            </w:pPr>
            <w:r>
              <w:rPr>
                <w:rFonts w:ascii="Times New Roman" w:hAnsi="Times New Roman"/>
                <w:sz w:val="20"/>
              </w:rPr>
              <w:t xml:space="preserve">9,59 (2,95)</w:t>
            </w:r>
          </w:p>
        </w:tc>
        <w:tc>
          <w:tcPr>
            <w:tcW w:w="1170" w:type="dxa"/>
          </w:tcPr>
          <w:p>
            <w:pPr>
              <w:spacing w:line="240" w:lineRule="auto" w:after="0"/>
            </w:pPr>
            <w:r>
              <w:rPr>
                <w:rFonts w:ascii="Times New Roman" w:hAnsi="Times New Roman"/>
                <w:sz w:val="20"/>
              </w:rPr>
              <w:t xml:space="preserve">8,60 (2,66)</w:t>
            </w:r>
          </w:p>
        </w:tc>
        <w:tc>
          <w:tcPr>
            <w:tcW w:w="1170" w:type="dxa"/>
          </w:tcPr>
          <w:p>
            <w:pPr>
              <w:spacing w:line="240" w:lineRule="auto" w:after="0"/>
            </w:pPr>
            <w:r>
              <w:rPr>
                <w:rFonts w:ascii="Times New Roman" w:hAnsi="Times New Roman"/>
                <w:sz w:val="20"/>
              </w:rPr>
              <w:t xml:space="preserve">3,80</w:t>
            </w:r>
          </w:p>
        </w:tc>
        <w:tc>
          <w:tcPr>
            <w:tcW w:w="1170" w:type="dxa"/>
          </w:tcPr>
          <w:p>
            <w:pPr>
              <w:spacing w:line="240" w:lineRule="auto" w:after="0"/>
            </w:pPr>
            <w:r>
              <w:rPr>
                <w:rFonts w:ascii="Times New Roman" w:hAnsi="Times New Roman"/>
                <w:sz w:val="20"/>
              </w:rPr>
              <w:t xml:space="preserve">&lt; 0,001</w:t>
            </w:r>
          </w:p>
        </w:tc>
        <w:tc>
          <w:tcPr>
            <w:tcW w:w="1170" w:type="dxa"/>
          </w:tcPr>
          <w:p>
            <w:pPr>
              <w:spacing w:line="240" w:lineRule="auto" w:after="0"/>
            </w:pPr>
            <w:r>
              <w:rPr>
                <w:rFonts w:ascii="Times New Roman" w:hAnsi="Times New Roman"/>
                <w:sz w:val="20"/>
              </w:rPr>
              <w:t xml:space="preserve">0,004</w:t>
            </w:r>
          </w:p>
        </w:tc>
        <w:tc>
          <w:tcPr>
            <w:tcW w:w="1170" w:type="dxa"/>
          </w:tcPr>
          <w:p>
            <w:pPr>
              <w:spacing w:line="240" w:lineRule="auto" w:after="0"/>
            </w:pPr>
            <w:r>
              <w:rPr>
                <w:rFonts w:ascii="Times New Roman" w:hAnsi="Times New Roman"/>
                <w:sz w:val="20"/>
              </w:rPr>
              <w:t xml:space="preserve">0,35</w:t>
            </w:r>
          </w:p>
        </w:tc>
        <w:tc>
          <w:tcPr>
            <w:tcW w:w="1170" w:type="dxa"/>
          </w:tcPr>
          <w:p>
            <w:pPr>
              <w:spacing w:line="240" w:lineRule="auto" w:after="0"/>
            </w:pPr>
            <w:r>
              <w:rPr>
                <w:rFonts w:ascii="Times New Roman" w:hAnsi="Times New Roman"/>
                <w:sz w:val="20"/>
              </w:rPr>
              <w:t xml:space="preserve">[0,48; 1,50]</w:t>
            </w:r>
          </w:p>
        </w:tc>
      </w:tr>
      <w:tr>
        <w:tc>
          <w:tcPr>
            <w:tcW w:w="1170" w:type="dxa"/>
          </w:tcPr>
          <w:p>
            <w:pPr>
              <w:spacing w:line="240" w:lineRule="auto" w:after="0"/>
            </w:pPr>
            <w:r>
              <w:rPr>
                <w:rFonts w:ascii="Times New Roman" w:hAnsi="Times New Roman"/>
                <w:sz w:val="20"/>
              </w:rPr>
              <w:t xml:space="preserve">Oiladagi qoidalar</w:t>
            </w:r>
          </w:p>
        </w:tc>
        <w:tc>
          <w:tcPr>
            <w:tcW w:w="1170" w:type="dxa"/>
          </w:tcPr>
          <w:p>
            <w:pPr>
              <w:spacing w:line="240" w:lineRule="auto" w:after="0"/>
            </w:pPr>
            <w:r>
              <w:rPr>
                <w:rFonts w:ascii="Times New Roman" w:hAnsi="Times New Roman"/>
                <w:sz w:val="20"/>
              </w:rPr>
              <w:t xml:space="preserve">3,08 (0,94)</w:t>
            </w:r>
          </w:p>
        </w:tc>
        <w:tc>
          <w:tcPr>
            <w:tcW w:w="1170" w:type="dxa"/>
          </w:tcPr>
          <w:p>
            <w:pPr>
              <w:spacing w:line="240" w:lineRule="auto" w:after="0"/>
            </w:pPr>
            <w:r>
              <w:rPr>
                <w:rFonts w:ascii="Times New Roman" w:hAnsi="Times New Roman"/>
                <w:sz w:val="20"/>
              </w:rPr>
              <w:t xml:space="preserve">3,05 (0,99)</w:t>
            </w:r>
          </w:p>
        </w:tc>
        <w:tc>
          <w:tcPr>
            <w:tcW w:w="1170" w:type="dxa"/>
          </w:tcPr>
          <w:p>
            <w:pPr>
              <w:spacing w:line="240" w:lineRule="auto" w:after="0"/>
            </w:pPr>
            <w:r>
              <w:rPr>
                <w:rFonts w:ascii="Times New Roman" w:hAnsi="Times New Roman"/>
                <w:sz w:val="20"/>
              </w:rPr>
              <w:t xml:space="preserve">0,31</w:t>
            </w:r>
          </w:p>
        </w:tc>
        <w:tc>
          <w:tcPr>
            <w:tcW w:w="1170" w:type="dxa"/>
          </w:tcPr>
          <w:p>
            <w:pPr>
              <w:spacing w:line="240" w:lineRule="auto" w:after="0"/>
            </w:pPr>
            <w:r>
              <w:rPr>
                <w:rFonts w:ascii="Times New Roman" w:hAnsi="Times New Roman"/>
                <w:sz w:val="20"/>
              </w:rPr>
              <w:t xml:space="preserve">0,757</w:t>
            </w:r>
          </w:p>
        </w:tc>
        <w:tc>
          <w:tcPr>
            <w:tcW w:w="1170" w:type="dxa"/>
          </w:tcPr>
          <w:p>
            <w:pPr>
              <w:spacing w:line="240" w:lineRule="auto" w:after="0"/>
            </w:pPr>
            <w:r>
              <w:rPr>
                <w:rFonts w:ascii="Times New Roman" w:hAnsi="Times New Roman"/>
                <w:sz w:val="20"/>
              </w:rPr>
              <w:t xml:space="preserve">1,000</w:t>
            </w:r>
          </w:p>
        </w:tc>
        <w:tc>
          <w:tcPr>
            <w:tcW w:w="1170" w:type="dxa"/>
          </w:tcPr>
          <w:p>
            <w:pPr>
              <w:spacing w:line="240" w:lineRule="auto" w:after="0"/>
            </w:pPr>
            <w:r>
              <w:rPr>
                <w:rFonts w:ascii="Times New Roman" w:hAnsi="Times New Roman"/>
                <w:sz w:val="20"/>
              </w:rPr>
              <w:t xml:space="preserve">0,03</w:t>
            </w:r>
          </w:p>
        </w:tc>
        <w:tc>
          <w:tcPr>
            <w:tcW w:w="1170" w:type="dxa"/>
          </w:tcPr>
          <w:p>
            <w:pPr>
              <w:spacing w:line="240" w:lineRule="auto" w:after="0"/>
            </w:pPr>
            <w:r>
              <w:rPr>
                <w:rFonts w:ascii="Times New Roman" w:hAnsi="Times New Roman"/>
                <w:sz w:val="20"/>
              </w:rPr>
              <w:t xml:space="preserve">[−0,14; 0,20]</w:t>
            </w:r>
          </w:p>
        </w:tc>
      </w:tr>
    </w:tbl>
    <w:p>
      <w:pPr>
        <w:spacing w:line="360" w:lineRule="auto" w:after="120"/>
        <w:jc w:val="both"/>
      </w:pPr>
      <w:r>
        <w:rPr>
          <w:rFonts w:ascii="Times New Roman" w:hAnsi="Times New Roman"/>
          <w:i/>
        </w:rPr>
        <w:t xml:space="preserve">Izoh.</w:t>
      </w:r>
      <w:r>
        <w:rPr>
          <w:rFonts w:ascii="Times New Roman" w:hAnsi="Times New Roman"/>
        </w:rPr>
        <w:t xml:space="preserve"> d — Koen ko'rsatkichi (o'zbek minus qirg'iz, birlashtirilgan SD). Xolm tuzatishi 23 ta qiyos bo'yicha qo'llanildi. IO — ishonch oralig'i. ᵃ Past ball aniqroq va to'laroq shakllangan tasavvurni bildiradi.</w:t>
      </w:r>
    </w:p>
    <w:p>
      <w:pPr>
        <w:pStyle w:val="Heading3"/>
        <w:spacing w:before="240" w:after="120"/>
      </w:pPr>
      <w:r>
        <w:rPr>
          <w:rFonts w:ascii="Times New Roman" w:hAnsi="Times New Roman"/>
        </w:rPr>
        <w:t xml:space="preserve">4.1. Oilaviy hayot haqidagi ijtimoiy tasavvurlar</w:t>
      </w:r>
    </w:p>
    <w:p>
      <w:pPr>
        <w:spacing w:line="360" w:lineRule="auto" w:after="120"/>
        <w:jc w:val="both"/>
      </w:pPr>
      <w:r>
        <w:rPr>
          <w:rFonts w:ascii="Times New Roman" w:hAnsi="Times New Roman"/>
        </w:rPr>
        <w:t xml:space="preserve">Guruhlar tasavvurlarning umumiy darajasi, baxtli oila uchun zarur bilimlar va ayol roliga tayyorlik bo'yicha farqlanmadi. Qirg'iz respondentlar onalik mas'uliyatiga tayyorlik shkalasida yuqoriroq ball oldi (d = −0,31); bu tuzatishdan keyin saqlanib qolgan yagona tasavvur farqidir. Past ball aniqroq tasavvurni bildirgani uchun bu natija qirg'iz guruhida onalikka tayyorlik kamroq shakllanganini ko'rsatadi. Mustahkam oila qurishdagi ustuvorliklar bo'yicha farq (d = −0,18) tuzatishdan keyin saqlanmadi.</w:t>
      </w:r>
    </w:p>
    <w:p>
      <w:pPr>
        <w:spacing w:line="360" w:lineRule="auto" w:after="120"/>
        <w:jc w:val="both"/>
      </w:pPr>
      <w:r>
        <w:rPr>
          <w:rFonts w:ascii="Times New Roman" w:hAnsi="Times New Roman"/>
        </w:rPr>
        <w:t xml:space="preserve">Javob variantlarining chastotasi bu ballarning mazmunini ochib berdi. Mustahkam oila qurishda nimaga e'tibor berish kerakligi so'ralganda, o'zbek respondentlar birinchi o'ringa psixologik va huquqiy bilimlarni, qirg'iz respondentlar esa diniy bilim, ma'naviy bilim va salomatlikni qo'ydi. Baxtli oila uchun nimani bilish istagi so'ralganda o'zbek respondentlar ko'proq xo'jalik yuritishni, qirg'iz respondentlar esa xulq-atvor qoidalari va nizolarni bartaraf etishni tanladi. Viloyatlar kesimidagi qiyos (Farg'ona va Andijon) faqat bitta shkala — baxtli oila uchun zarur bilimlar bo'yicha ahamiyatli farq berdi (t = −2,54; p = 0,011).</w:t>
      </w:r>
    </w:p>
    <w:p>
      <w:pPr>
        <w:pStyle w:val="Heading3"/>
        <w:spacing w:before="240" w:after="120"/>
      </w:pPr>
      <w:r>
        <w:rPr>
          <w:rFonts w:ascii="Times New Roman" w:hAnsi="Times New Roman"/>
        </w:rPr>
        <w:t xml:space="preserve">4.2. Maqollar orqali uzatiladigan an'anaviy ustanovkalar</w:t>
      </w:r>
    </w:p>
    <w:p>
      <w:pPr>
        <w:spacing w:line="360" w:lineRule="auto" w:after="120"/>
        <w:jc w:val="both"/>
      </w:pPr>
      <w:r>
        <w:rPr>
          <w:rFonts w:ascii="Times New Roman" w:hAnsi="Times New Roman"/>
        </w:rPr>
        <w:t xml:space="preserve">Har ikki guruhda javoblarning modal andozasi eng yuqori talqin oralig'iga tushdi (2-jadval). O'n beshta maqoldan to'qqiztasi o'zbek, sakkiztasi qirg'iz respondentlarda 37–50 ball oralig'iga chiqdi. Bu qiz bolaning xulqi va turmushga chiqishiga oid an'anaviy ustanovkalar mustahkam o'rnashganini ko'rsatadi. Eng yuqori oraliqdagi maqollarning birortasi bo'yicha har ikki guruhda «unchalik qo'shilmayman» va «mutlaqo qo'shilmayman» javoblari tanlanmadi.</w:t>
      </w:r>
    </w:p>
    <w:p>
      <w:pPr>
        <w:spacing w:line="360" w:lineRule="auto" w:after="120"/>
      </w:pPr>
      <w:r>
        <w:rPr>
          <w:rFonts w:ascii="Times New Roman" w:hAnsi="Times New Roman"/>
          <w:b/>
        </w:rPr>
        <w:t xml:space="preserve">2-jadval.</w:t>
      </w:r>
      <w:r>
        <w:rPr>
          <w:rFonts w:ascii="Times New Roman" w:hAnsi="Times New Roman"/>
        </w:rPr>
        <w:t xml:space="preserve"> Qiz bolaga oid maqollarning jamlangan bahosi, guruhlar kesimida</w:t>
      </w:r>
    </w:p>
    <w:tbl>
      <w:tblPr>
        <w:tblStyle w:val="TableGrid"/>
        <w:tblW w:w="0" w:type="auto"/>
        <w:tblLayout w:type="fixed"/>
        <w:tblLook w:val="04A0" w:firstRow="1" w:lastRow="0" w:firstColumn="0"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rPr>
          <w:tblHeader/>
        </w:trPr>
        <w:tc>
          <w:tcPr>
            <w:tcW w:w="2340" w:type="dxa"/>
            <w:shd w:val="clear" w:color="auto" w:fill="F2F2F2"/>
          </w:tcPr>
          <w:p>
            <w:pPr>
              <w:spacing w:line="240" w:lineRule="auto" w:after="0"/>
            </w:pPr>
            <w:r>
              <w:rPr>
                <w:rFonts w:ascii="Times New Roman" w:hAnsi="Times New Roman"/>
                <w:sz w:val="20"/>
              </w:rPr>
              <w:t xml:space="preserve">Maqol</w:t>
            </w:r>
          </w:p>
        </w:tc>
        <w:tc>
          <w:tcPr>
            <w:tcW w:w="2340" w:type="dxa"/>
            <w:shd w:val="clear" w:color="auto" w:fill="F2F2F2"/>
          </w:tcPr>
          <w:p>
            <w:pPr>
              <w:spacing w:line="240" w:lineRule="auto" w:after="0"/>
            </w:pPr>
            <w:r>
              <w:rPr>
                <w:rFonts w:ascii="Times New Roman" w:hAnsi="Times New Roman"/>
                <w:sz w:val="20"/>
              </w:rPr>
              <w:t xml:space="preserve">O'zbek</w:t>
            </w:r>
          </w:p>
        </w:tc>
        <w:tc>
          <w:tcPr>
            <w:tcW w:w="2340" w:type="dxa"/>
            <w:shd w:val="clear" w:color="auto" w:fill="F2F2F2"/>
          </w:tcPr>
          <w:p>
            <w:pPr>
              <w:spacing w:line="240" w:lineRule="auto" w:after="0"/>
            </w:pPr>
            <w:r>
              <w:rPr>
                <w:rFonts w:ascii="Times New Roman" w:hAnsi="Times New Roman"/>
                <w:sz w:val="20"/>
              </w:rPr>
              <w:t xml:space="preserve">Qirg'iz</w:t>
            </w:r>
          </w:p>
        </w:tc>
        <w:tc>
          <w:tcPr>
            <w:tcW w:w="2340" w:type="dxa"/>
            <w:shd w:val="clear" w:color="auto" w:fill="F2F2F2"/>
          </w:tcPr>
          <w:p>
            <w:pPr>
              <w:spacing w:line="240" w:lineRule="auto" w:after="0"/>
            </w:pPr>
            <w:r>
              <w:rPr>
                <w:rFonts w:ascii="Times New Roman" w:hAnsi="Times New Roman"/>
                <w:sz w:val="20"/>
              </w:rPr>
              <w:t xml:space="preserve">Oraliq (o'zbek / qirg'iz)</w:t>
            </w:r>
          </w:p>
        </w:tc>
      </w:tr>
      <w:tr>
        <w:tc>
          <w:tcPr>
            <w:tcW w:w="2340" w:type="dxa"/>
          </w:tcPr>
          <w:p>
            <w:pPr>
              <w:spacing w:line="240" w:lineRule="auto" w:after="0"/>
            </w:pPr>
            <w:r>
              <w:rPr>
                <w:rFonts w:ascii="Times New Roman" w:hAnsi="Times New Roman"/>
                <w:sz w:val="20"/>
              </w:rPr>
              <w:t xml:space="preserve">Pardali qiz pariga tengsiz</w:t>
            </w:r>
          </w:p>
        </w:tc>
        <w:tc>
          <w:tcPr>
            <w:tcW w:w="2340" w:type="dxa"/>
          </w:tcPr>
          <w:p>
            <w:pPr>
              <w:spacing w:line="240" w:lineRule="auto" w:after="0"/>
            </w:pPr>
            <w:r>
              <w:rPr>
                <w:rFonts w:ascii="Times New Roman" w:hAnsi="Times New Roman"/>
                <w:sz w:val="20"/>
              </w:rPr>
              <w:t xml:space="preserve">50</w:t>
            </w:r>
          </w:p>
        </w:tc>
        <w:tc>
          <w:tcPr>
            <w:tcW w:w="2340" w:type="dxa"/>
          </w:tcPr>
          <w:p>
            <w:pPr>
              <w:spacing w:line="240" w:lineRule="auto" w:after="0"/>
            </w:pPr>
            <w:r>
              <w:rPr>
                <w:rFonts w:ascii="Times New Roman" w:hAnsi="Times New Roman"/>
                <w:sz w:val="20"/>
              </w:rPr>
              <w:t xml:space="preserve">45</w:t>
            </w:r>
          </w:p>
        </w:tc>
        <w:tc>
          <w:tcPr>
            <w:tcW w:w="2340" w:type="dxa"/>
          </w:tcPr>
          <w:p>
            <w:pPr>
              <w:spacing w:line="240" w:lineRule="auto" w:after="0"/>
            </w:pPr>
            <w:r>
              <w:rPr>
                <w:rFonts w:ascii="Times New Roman" w:hAnsi="Times New Roman"/>
                <w:sz w:val="20"/>
              </w:rPr>
              <w:t xml:space="preserve">Yuqori / Yuqori</w:t>
            </w:r>
          </w:p>
        </w:tc>
      </w:tr>
      <w:tr>
        <w:tc>
          <w:tcPr>
            <w:tcW w:w="2340" w:type="dxa"/>
          </w:tcPr>
          <w:p>
            <w:pPr>
              <w:spacing w:line="240" w:lineRule="auto" w:after="0"/>
            </w:pPr>
            <w:r>
              <w:rPr>
                <w:rFonts w:ascii="Times New Roman" w:hAnsi="Times New Roman"/>
                <w:sz w:val="20"/>
              </w:rPr>
              <w:t xml:space="preserve">Seplini olma, eplini ol</w:t>
            </w:r>
          </w:p>
        </w:tc>
        <w:tc>
          <w:tcPr>
            <w:tcW w:w="2340" w:type="dxa"/>
          </w:tcPr>
          <w:p>
            <w:pPr>
              <w:spacing w:line="240" w:lineRule="auto" w:after="0"/>
            </w:pPr>
            <w:r>
              <w:rPr>
                <w:rFonts w:ascii="Times New Roman" w:hAnsi="Times New Roman"/>
                <w:sz w:val="20"/>
              </w:rPr>
              <w:t xml:space="preserve">50</w:t>
            </w:r>
          </w:p>
        </w:tc>
        <w:tc>
          <w:tcPr>
            <w:tcW w:w="2340" w:type="dxa"/>
          </w:tcPr>
          <w:p>
            <w:pPr>
              <w:spacing w:line="240" w:lineRule="auto" w:after="0"/>
            </w:pPr>
            <w:r>
              <w:rPr>
                <w:rFonts w:ascii="Times New Roman" w:hAnsi="Times New Roman"/>
                <w:sz w:val="20"/>
              </w:rPr>
              <w:t xml:space="preserve">30</w:t>
            </w:r>
          </w:p>
        </w:tc>
        <w:tc>
          <w:tcPr>
            <w:tcW w:w="2340" w:type="dxa"/>
          </w:tcPr>
          <w:p>
            <w:pPr>
              <w:spacing w:line="240" w:lineRule="auto" w:after="0"/>
            </w:pPr>
            <w:r>
              <w:rPr>
                <w:rFonts w:ascii="Times New Roman" w:hAnsi="Times New Roman"/>
                <w:sz w:val="20"/>
              </w:rPr>
              <w:t xml:space="preserve">Yuqori / Qisman</w:t>
            </w:r>
          </w:p>
        </w:tc>
      </w:tr>
      <w:tr>
        <w:tc>
          <w:tcPr>
            <w:tcW w:w="2340" w:type="dxa"/>
          </w:tcPr>
          <w:p>
            <w:pPr>
              <w:spacing w:line="240" w:lineRule="auto" w:after="0"/>
            </w:pPr>
            <w:r>
              <w:rPr>
                <w:rFonts w:ascii="Times New Roman" w:hAnsi="Times New Roman"/>
                <w:sz w:val="20"/>
              </w:rPr>
              <w:t xml:space="preserve">Qiz saqlasang tuz saqla</w:t>
            </w:r>
          </w:p>
        </w:tc>
        <w:tc>
          <w:tcPr>
            <w:tcW w:w="2340" w:type="dxa"/>
          </w:tcPr>
          <w:p>
            <w:pPr>
              <w:spacing w:line="240" w:lineRule="auto" w:after="0"/>
            </w:pPr>
            <w:r>
              <w:rPr>
                <w:rFonts w:ascii="Times New Roman" w:hAnsi="Times New Roman"/>
                <w:sz w:val="20"/>
              </w:rPr>
              <w:t xml:space="preserve">48</w:t>
            </w:r>
          </w:p>
        </w:tc>
        <w:tc>
          <w:tcPr>
            <w:tcW w:w="2340" w:type="dxa"/>
          </w:tcPr>
          <w:p>
            <w:pPr>
              <w:spacing w:line="240" w:lineRule="auto" w:after="0"/>
            </w:pPr>
            <w:r>
              <w:rPr>
                <w:rFonts w:ascii="Times New Roman" w:hAnsi="Times New Roman"/>
                <w:sz w:val="20"/>
              </w:rPr>
              <w:t xml:space="preserve">36</w:t>
            </w:r>
          </w:p>
        </w:tc>
        <w:tc>
          <w:tcPr>
            <w:tcW w:w="2340" w:type="dxa"/>
          </w:tcPr>
          <w:p>
            <w:pPr>
              <w:spacing w:line="240" w:lineRule="auto" w:after="0"/>
            </w:pPr>
            <w:r>
              <w:rPr>
                <w:rFonts w:ascii="Times New Roman" w:hAnsi="Times New Roman"/>
                <w:sz w:val="20"/>
              </w:rPr>
              <w:t xml:space="preserve">Yuqori / Qisman</w:t>
            </w:r>
          </w:p>
        </w:tc>
      </w:tr>
      <w:tr>
        <w:tc>
          <w:tcPr>
            <w:tcW w:w="2340" w:type="dxa"/>
          </w:tcPr>
          <w:p>
            <w:pPr>
              <w:spacing w:line="240" w:lineRule="auto" w:after="0"/>
            </w:pPr>
            <w:r>
              <w:rPr>
                <w:rFonts w:ascii="Times New Roman" w:hAnsi="Times New Roman"/>
                <w:sz w:val="20"/>
              </w:rPr>
              <w:t xml:space="preserve">Hayo ketdi, balo yetdi</w:t>
            </w:r>
          </w:p>
        </w:tc>
        <w:tc>
          <w:tcPr>
            <w:tcW w:w="2340" w:type="dxa"/>
          </w:tcPr>
          <w:p>
            <w:pPr>
              <w:spacing w:line="240" w:lineRule="auto" w:after="0"/>
            </w:pPr>
            <w:r>
              <w:rPr>
                <w:rFonts w:ascii="Times New Roman" w:hAnsi="Times New Roman"/>
                <w:sz w:val="20"/>
              </w:rPr>
              <w:t xml:space="preserve">46</w:t>
            </w:r>
          </w:p>
        </w:tc>
        <w:tc>
          <w:tcPr>
            <w:tcW w:w="2340" w:type="dxa"/>
          </w:tcPr>
          <w:p>
            <w:pPr>
              <w:spacing w:line="240" w:lineRule="auto" w:after="0"/>
            </w:pPr>
            <w:r>
              <w:rPr>
                <w:rFonts w:ascii="Times New Roman" w:hAnsi="Times New Roman"/>
                <w:sz w:val="20"/>
              </w:rPr>
              <w:t xml:space="preserve">38</w:t>
            </w:r>
          </w:p>
        </w:tc>
        <w:tc>
          <w:tcPr>
            <w:tcW w:w="2340" w:type="dxa"/>
          </w:tcPr>
          <w:p>
            <w:pPr>
              <w:spacing w:line="240" w:lineRule="auto" w:after="0"/>
            </w:pPr>
            <w:r>
              <w:rPr>
                <w:rFonts w:ascii="Times New Roman" w:hAnsi="Times New Roman"/>
                <w:sz w:val="20"/>
              </w:rPr>
              <w:t xml:space="preserve">Yuqori / Yuqori</w:t>
            </w:r>
          </w:p>
        </w:tc>
      </w:tr>
      <w:tr>
        <w:tc>
          <w:tcPr>
            <w:tcW w:w="2340" w:type="dxa"/>
          </w:tcPr>
          <w:p>
            <w:pPr>
              <w:spacing w:line="240" w:lineRule="auto" w:after="0"/>
            </w:pPr>
            <w:r>
              <w:rPr>
                <w:rFonts w:ascii="Times New Roman" w:hAnsi="Times New Roman"/>
                <w:sz w:val="20"/>
              </w:rPr>
              <w:t xml:space="preserve">Onasi maqtagan qizni olma, yangasi maqtagan qizdan qolma</w:t>
            </w:r>
          </w:p>
        </w:tc>
        <w:tc>
          <w:tcPr>
            <w:tcW w:w="2340" w:type="dxa"/>
          </w:tcPr>
          <w:p>
            <w:pPr>
              <w:spacing w:line="240" w:lineRule="auto" w:after="0"/>
            </w:pPr>
            <w:r>
              <w:rPr>
                <w:rFonts w:ascii="Times New Roman" w:hAnsi="Times New Roman"/>
                <w:sz w:val="20"/>
              </w:rPr>
              <w:t xml:space="preserve">46</w:t>
            </w:r>
          </w:p>
        </w:tc>
        <w:tc>
          <w:tcPr>
            <w:tcW w:w="2340" w:type="dxa"/>
          </w:tcPr>
          <w:p>
            <w:pPr>
              <w:spacing w:line="240" w:lineRule="auto" w:after="0"/>
            </w:pPr>
            <w:r>
              <w:rPr>
                <w:rFonts w:ascii="Times New Roman" w:hAnsi="Times New Roman"/>
                <w:sz w:val="20"/>
              </w:rPr>
              <w:t xml:space="preserve">28</w:t>
            </w:r>
          </w:p>
        </w:tc>
        <w:tc>
          <w:tcPr>
            <w:tcW w:w="2340" w:type="dxa"/>
          </w:tcPr>
          <w:p>
            <w:pPr>
              <w:spacing w:line="240" w:lineRule="auto" w:after="0"/>
            </w:pPr>
            <w:r>
              <w:rPr>
                <w:rFonts w:ascii="Times New Roman" w:hAnsi="Times New Roman"/>
                <w:sz w:val="20"/>
              </w:rPr>
              <w:t xml:space="preserve">Yuqori / Qisman</w:t>
            </w:r>
          </w:p>
        </w:tc>
      </w:tr>
      <w:tr>
        <w:tc>
          <w:tcPr>
            <w:tcW w:w="2340" w:type="dxa"/>
          </w:tcPr>
          <w:p>
            <w:pPr>
              <w:spacing w:line="240" w:lineRule="auto" w:after="0"/>
            </w:pPr>
            <w:r>
              <w:rPr>
                <w:rFonts w:ascii="Times New Roman" w:hAnsi="Times New Roman"/>
                <w:sz w:val="20"/>
              </w:rPr>
              <w:t xml:space="preserve">Bir qizga yetti qo'shni ota-ona</w:t>
            </w:r>
          </w:p>
        </w:tc>
        <w:tc>
          <w:tcPr>
            <w:tcW w:w="2340" w:type="dxa"/>
          </w:tcPr>
          <w:p>
            <w:pPr>
              <w:spacing w:line="240" w:lineRule="auto" w:after="0"/>
            </w:pPr>
            <w:r>
              <w:rPr>
                <w:rFonts w:ascii="Times New Roman" w:hAnsi="Times New Roman"/>
                <w:sz w:val="20"/>
              </w:rPr>
              <w:t xml:space="preserve">45</w:t>
            </w:r>
          </w:p>
        </w:tc>
        <w:tc>
          <w:tcPr>
            <w:tcW w:w="2340" w:type="dxa"/>
          </w:tcPr>
          <w:p>
            <w:pPr>
              <w:spacing w:line="240" w:lineRule="auto" w:after="0"/>
            </w:pPr>
            <w:r>
              <w:rPr>
                <w:rFonts w:ascii="Times New Roman" w:hAnsi="Times New Roman"/>
                <w:sz w:val="20"/>
              </w:rPr>
              <w:t xml:space="preserve">40</w:t>
            </w:r>
          </w:p>
        </w:tc>
        <w:tc>
          <w:tcPr>
            <w:tcW w:w="2340" w:type="dxa"/>
          </w:tcPr>
          <w:p>
            <w:pPr>
              <w:spacing w:line="240" w:lineRule="auto" w:after="0"/>
            </w:pPr>
            <w:r>
              <w:rPr>
                <w:rFonts w:ascii="Times New Roman" w:hAnsi="Times New Roman"/>
                <w:sz w:val="20"/>
              </w:rPr>
              <w:t xml:space="preserve">Yuqori / Yuqori</w:t>
            </w:r>
          </w:p>
        </w:tc>
      </w:tr>
      <w:tr>
        <w:tc>
          <w:tcPr>
            <w:tcW w:w="2340" w:type="dxa"/>
          </w:tcPr>
          <w:p>
            <w:pPr>
              <w:spacing w:line="240" w:lineRule="auto" w:after="0"/>
            </w:pPr>
            <w:r>
              <w:rPr>
                <w:rFonts w:ascii="Times New Roman" w:hAnsi="Times New Roman"/>
                <w:sz w:val="20"/>
              </w:rPr>
              <w:t xml:space="preserve">Qiz bola birovning xasmi</w:t>
            </w:r>
          </w:p>
        </w:tc>
        <w:tc>
          <w:tcPr>
            <w:tcW w:w="2340" w:type="dxa"/>
          </w:tcPr>
          <w:p>
            <w:pPr>
              <w:spacing w:line="240" w:lineRule="auto" w:after="0"/>
            </w:pPr>
            <w:r>
              <w:rPr>
                <w:rFonts w:ascii="Times New Roman" w:hAnsi="Times New Roman"/>
                <w:sz w:val="20"/>
              </w:rPr>
              <w:t xml:space="preserve">40</w:t>
            </w:r>
          </w:p>
        </w:tc>
        <w:tc>
          <w:tcPr>
            <w:tcW w:w="2340" w:type="dxa"/>
          </w:tcPr>
          <w:p>
            <w:pPr>
              <w:spacing w:line="240" w:lineRule="auto" w:after="0"/>
            </w:pPr>
            <w:r>
              <w:rPr>
                <w:rFonts w:ascii="Times New Roman" w:hAnsi="Times New Roman"/>
                <w:sz w:val="20"/>
              </w:rPr>
              <w:t xml:space="preserve">38</w:t>
            </w:r>
          </w:p>
        </w:tc>
        <w:tc>
          <w:tcPr>
            <w:tcW w:w="2340" w:type="dxa"/>
          </w:tcPr>
          <w:p>
            <w:pPr>
              <w:spacing w:line="240" w:lineRule="auto" w:after="0"/>
            </w:pPr>
            <w:r>
              <w:rPr>
                <w:rFonts w:ascii="Times New Roman" w:hAnsi="Times New Roman"/>
                <w:sz w:val="20"/>
              </w:rPr>
              <w:t xml:space="preserve">Yuqori / Yuqori</w:t>
            </w:r>
          </w:p>
        </w:tc>
      </w:tr>
      <w:tr>
        <w:tc>
          <w:tcPr>
            <w:tcW w:w="2340" w:type="dxa"/>
          </w:tcPr>
          <w:p>
            <w:pPr>
              <w:spacing w:line="240" w:lineRule="auto" w:after="0"/>
            </w:pPr>
            <w:r>
              <w:rPr>
                <w:rFonts w:ascii="Times New Roman" w:hAnsi="Times New Roman"/>
                <w:sz w:val="20"/>
              </w:rPr>
              <w:t xml:space="preserve">Qizning boshi palaxmon toshi</w:t>
            </w:r>
          </w:p>
        </w:tc>
        <w:tc>
          <w:tcPr>
            <w:tcW w:w="2340" w:type="dxa"/>
          </w:tcPr>
          <w:p>
            <w:pPr>
              <w:spacing w:line="240" w:lineRule="auto" w:after="0"/>
            </w:pPr>
            <w:r>
              <w:rPr>
                <w:rFonts w:ascii="Times New Roman" w:hAnsi="Times New Roman"/>
                <w:sz w:val="20"/>
              </w:rPr>
              <w:t xml:space="preserve">40</w:t>
            </w:r>
          </w:p>
        </w:tc>
        <w:tc>
          <w:tcPr>
            <w:tcW w:w="2340" w:type="dxa"/>
          </w:tcPr>
          <w:p>
            <w:pPr>
              <w:spacing w:line="240" w:lineRule="auto" w:after="0"/>
            </w:pPr>
            <w:r>
              <w:rPr>
                <w:rFonts w:ascii="Times New Roman" w:hAnsi="Times New Roman"/>
                <w:sz w:val="20"/>
              </w:rPr>
              <w:t xml:space="preserve">38</w:t>
            </w:r>
          </w:p>
        </w:tc>
        <w:tc>
          <w:tcPr>
            <w:tcW w:w="2340" w:type="dxa"/>
          </w:tcPr>
          <w:p>
            <w:pPr>
              <w:spacing w:line="240" w:lineRule="auto" w:after="0"/>
            </w:pPr>
            <w:r>
              <w:rPr>
                <w:rFonts w:ascii="Times New Roman" w:hAnsi="Times New Roman"/>
                <w:sz w:val="20"/>
              </w:rPr>
              <w:t xml:space="preserve">Yuqori / Yuqori</w:t>
            </w:r>
          </w:p>
        </w:tc>
      </w:tr>
      <w:tr>
        <w:tc>
          <w:tcPr>
            <w:tcW w:w="2340" w:type="dxa"/>
          </w:tcPr>
          <w:p>
            <w:pPr>
              <w:spacing w:line="240" w:lineRule="auto" w:after="0"/>
            </w:pPr>
            <w:r>
              <w:rPr>
                <w:rFonts w:ascii="Times New Roman" w:hAnsi="Times New Roman"/>
                <w:sz w:val="20"/>
              </w:rPr>
              <w:t xml:space="preserve">Oilali ayol qancha nozlanmasin, qizdek bo'lolmaydi</w:t>
            </w:r>
          </w:p>
        </w:tc>
        <w:tc>
          <w:tcPr>
            <w:tcW w:w="2340" w:type="dxa"/>
          </w:tcPr>
          <w:p>
            <w:pPr>
              <w:spacing w:line="240" w:lineRule="auto" w:after="0"/>
            </w:pPr>
            <w:r>
              <w:rPr>
                <w:rFonts w:ascii="Times New Roman" w:hAnsi="Times New Roman"/>
                <w:sz w:val="20"/>
              </w:rPr>
              <w:t xml:space="preserve">40</w:t>
            </w:r>
          </w:p>
        </w:tc>
        <w:tc>
          <w:tcPr>
            <w:tcW w:w="2340" w:type="dxa"/>
          </w:tcPr>
          <w:p>
            <w:pPr>
              <w:spacing w:line="240" w:lineRule="auto" w:after="0"/>
            </w:pPr>
            <w:r>
              <w:rPr>
                <w:rFonts w:ascii="Times New Roman" w:hAnsi="Times New Roman"/>
                <w:sz w:val="20"/>
              </w:rPr>
              <w:t xml:space="preserve">37</w:t>
            </w:r>
          </w:p>
        </w:tc>
        <w:tc>
          <w:tcPr>
            <w:tcW w:w="2340" w:type="dxa"/>
          </w:tcPr>
          <w:p>
            <w:pPr>
              <w:spacing w:line="240" w:lineRule="auto" w:after="0"/>
            </w:pPr>
            <w:r>
              <w:rPr>
                <w:rFonts w:ascii="Times New Roman" w:hAnsi="Times New Roman"/>
                <w:sz w:val="20"/>
              </w:rPr>
              <w:t xml:space="preserve">Yuqori / Yuqori</w:t>
            </w:r>
          </w:p>
        </w:tc>
      </w:tr>
      <w:tr>
        <w:tc>
          <w:tcPr>
            <w:tcW w:w="2340" w:type="dxa"/>
          </w:tcPr>
          <w:p>
            <w:pPr>
              <w:spacing w:line="240" w:lineRule="auto" w:after="0"/>
            </w:pPr>
            <w:r>
              <w:rPr>
                <w:rFonts w:ascii="Times New Roman" w:hAnsi="Times New Roman"/>
                <w:sz w:val="20"/>
              </w:rPr>
              <w:t xml:space="preserve">Qizning joni qirqta</w:t>
            </w:r>
          </w:p>
        </w:tc>
        <w:tc>
          <w:tcPr>
            <w:tcW w:w="2340" w:type="dxa"/>
          </w:tcPr>
          <w:p>
            <w:pPr>
              <w:spacing w:line="240" w:lineRule="auto" w:after="0"/>
            </w:pPr>
            <w:r>
              <w:rPr>
                <w:rFonts w:ascii="Times New Roman" w:hAnsi="Times New Roman"/>
                <w:sz w:val="20"/>
              </w:rPr>
              <w:t xml:space="preserve">39</w:t>
            </w:r>
          </w:p>
        </w:tc>
        <w:tc>
          <w:tcPr>
            <w:tcW w:w="2340" w:type="dxa"/>
          </w:tcPr>
          <w:p>
            <w:pPr>
              <w:spacing w:line="240" w:lineRule="auto" w:after="0"/>
            </w:pPr>
            <w:r>
              <w:rPr>
                <w:rFonts w:ascii="Times New Roman" w:hAnsi="Times New Roman"/>
                <w:sz w:val="20"/>
              </w:rPr>
              <w:t xml:space="preserve">35</w:t>
            </w:r>
          </w:p>
        </w:tc>
        <w:tc>
          <w:tcPr>
            <w:tcW w:w="2340" w:type="dxa"/>
          </w:tcPr>
          <w:p>
            <w:pPr>
              <w:spacing w:line="240" w:lineRule="auto" w:after="0"/>
            </w:pPr>
            <w:r>
              <w:rPr>
                <w:rFonts w:ascii="Times New Roman" w:hAnsi="Times New Roman"/>
                <w:sz w:val="20"/>
              </w:rPr>
              <w:t xml:space="preserve">Yuqori / Qisman</w:t>
            </w:r>
          </w:p>
        </w:tc>
      </w:tr>
      <w:tr>
        <w:tc>
          <w:tcPr>
            <w:tcW w:w="2340" w:type="dxa"/>
          </w:tcPr>
          <w:p>
            <w:pPr>
              <w:spacing w:line="240" w:lineRule="auto" w:after="0"/>
            </w:pPr>
            <w:r>
              <w:rPr>
                <w:rFonts w:ascii="Times New Roman" w:hAnsi="Times New Roman"/>
                <w:sz w:val="20"/>
              </w:rPr>
              <w:t xml:space="preserve">Chiroyi emas, chimmati kerak</w:t>
            </w:r>
          </w:p>
        </w:tc>
        <w:tc>
          <w:tcPr>
            <w:tcW w:w="2340" w:type="dxa"/>
          </w:tcPr>
          <w:p>
            <w:pPr>
              <w:spacing w:line="240" w:lineRule="auto" w:after="0"/>
            </w:pPr>
            <w:r>
              <w:rPr>
                <w:rFonts w:ascii="Times New Roman" w:hAnsi="Times New Roman"/>
                <w:sz w:val="20"/>
              </w:rPr>
              <w:t xml:space="preserve">38</w:t>
            </w:r>
          </w:p>
        </w:tc>
        <w:tc>
          <w:tcPr>
            <w:tcW w:w="2340" w:type="dxa"/>
          </w:tcPr>
          <w:p>
            <w:pPr>
              <w:spacing w:line="240" w:lineRule="auto" w:after="0"/>
            </w:pPr>
            <w:r>
              <w:rPr>
                <w:rFonts w:ascii="Times New Roman" w:hAnsi="Times New Roman"/>
                <w:sz w:val="20"/>
              </w:rPr>
              <w:t xml:space="preserve">28</w:t>
            </w:r>
          </w:p>
        </w:tc>
        <w:tc>
          <w:tcPr>
            <w:tcW w:w="2340" w:type="dxa"/>
          </w:tcPr>
          <w:p>
            <w:pPr>
              <w:spacing w:line="240" w:lineRule="auto" w:after="0"/>
            </w:pPr>
            <w:r>
              <w:rPr>
                <w:rFonts w:ascii="Times New Roman" w:hAnsi="Times New Roman"/>
                <w:sz w:val="20"/>
              </w:rPr>
              <w:t xml:space="preserve">Yuqori / Qisman</w:t>
            </w:r>
          </w:p>
        </w:tc>
      </w:tr>
      <w:tr>
        <w:tc>
          <w:tcPr>
            <w:tcW w:w="2340" w:type="dxa"/>
          </w:tcPr>
          <w:p>
            <w:pPr>
              <w:spacing w:line="240" w:lineRule="auto" w:after="0"/>
            </w:pPr>
            <w:r>
              <w:rPr>
                <w:rFonts w:ascii="Times New Roman" w:hAnsi="Times New Roman"/>
                <w:sz w:val="20"/>
              </w:rPr>
              <w:t xml:space="preserve">Yoshi tez egiladi</w:t>
            </w:r>
          </w:p>
        </w:tc>
        <w:tc>
          <w:tcPr>
            <w:tcW w:w="2340" w:type="dxa"/>
          </w:tcPr>
          <w:p>
            <w:pPr>
              <w:spacing w:line="240" w:lineRule="auto" w:after="0"/>
            </w:pPr>
            <w:r>
              <w:rPr>
                <w:rFonts w:ascii="Times New Roman" w:hAnsi="Times New Roman"/>
                <w:sz w:val="20"/>
              </w:rPr>
              <w:t xml:space="preserve">37</w:t>
            </w:r>
          </w:p>
        </w:tc>
        <w:tc>
          <w:tcPr>
            <w:tcW w:w="2340" w:type="dxa"/>
          </w:tcPr>
          <w:p>
            <w:pPr>
              <w:spacing w:line="240" w:lineRule="auto" w:after="0"/>
            </w:pPr>
            <w:r>
              <w:rPr>
                <w:rFonts w:ascii="Times New Roman" w:hAnsi="Times New Roman"/>
                <w:sz w:val="20"/>
              </w:rPr>
              <w:t xml:space="preserve">35</w:t>
            </w:r>
          </w:p>
        </w:tc>
        <w:tc>
          <w:tcPr>
            <w:tcW w:w="2340" w:type="dxa"/>
          </w:tcPr>
          <w:p>
            <w:pPr>
              <w:spacing w:line="240" w:lineRule="auto" w:after="0"/>
            </w:pPr>
            <w:r>
              <w:rPr>
                <w:rFonts w:ascii="Times New Roman" w:hAnsi="Times New Roman"/>
                <w:sz w:val="20"/>
              </w:rPr>
              <w:t xml:space="preserve">Yuqori / Qisman</w:t>
            </w:r>
          </w:p>
        </w:tc>
      </w:tr>
      <w:tr>
        <w:tc>
          <w:tcPr>
            <w:tcW w:w="2340" w:type="dxa"/>
          </w:tcPr>
          <w:p>
            <w:pPr>
              <w:spacing w:line="240" w:lineRule="auto" w:after="0"/>
            </w:pPr>
            <w:r>
              <w:rPr>
                <w:rFonts w:ascii="Times New Roman" w:hAnsi="Times New Roman"/>
                <w:sz w:val="20"/>
              </w:rPr>
              <w:t xml:space="preserve">Qizin tiymagan tizin quchoqlar</w:t>
            </w:r>
          </w:p>
        </w:tc>
        <w:tc>
          <w:tcPr>
            <w:tcW w:w="2340" w:type="dxa"/>
          </w:tcPr>
          <w:p>
            <w:pPr>
              <w:spacing w:line="240" w:lineRule="auto" w:after="0"/>
            </w:pPr>
            <w:r>
              <w:rPr>
                <w:rFonts w:ascii="Times New Roman" w:hAnsi="Times New Roman"/>
                <w:sz w:val="20"/>
              </w:rPr>
              <w:t xml:space="preserve">30</w:t>
            </w:r>
          </w:p>
        </w:tc>
        <w:tc>
          <w:tcPr>
            <w:tcW w:w="2340" w:type="dxa"/>
          </w:tcPr>
          <w:p>
            <w:pPr>
              <w:spacing w:line="240" w:lineRule="auto" w:after="0"/>
            </w:pPr>
            <w:r>
              <w:rPr>
                <w:rFonts w:ascii="Times New Roman" w:hAnsi="Times New Roman"/>
                <w:sz w:val="20"/>
              </w:rPr>
              <w:t xml:space="preserve">18</w:t>
            </w:r>
          </w:p>
        </w:tc>
        <w:tc>
          <w:tcPr>
            <w:tcW w:w="2340" w:type="dxa"/>
          </w:tcPr>
          <w:p>
            <w:pPr>
              <w:spacing w:line="240" w:lineRule="auto" w:after="0"/>
            </w:pPr>
            <w:r>
              <w:rPr>
                <w:rFonts w:ascii="Times New Roman" w:hAnsi="Times New Roman"/>
                <w:sz w:val="20"/>
              </w:rPr>
              <w:t xml:space="preserve">Qisman / Egalitar</w:t>
            </w:r>
          </w:p>
        </w:tc>
      </w:tr>
      <w:tr>
        <w:tc>
          <w:tcPr>
            <w:tcW w:w="2340" w:type="dxa"/>
          </w:tcPr>
          <w:p>
            <w:pPr>
              <w:spacing w:line="240" w:lineRule="auto" w:after="0"/>
            </w:pPr>
            <w:r>
              <w:rPr>
                <w:rFonts w:ascii="Times New Roman" w:hAnsi="Times New Roman"/>
                <w:sz w:val="20"/>
              </w:rPr>
              <w:t xml:space="preserve">Qizning qilig'i ko'chada bilinadi</w:t>
            </w:r>
          </w:p>
        </w:tc>
        <w:tc>
          <w:tcPr>
            <w:tcW w:w="2340" w:type="dxa"/>
          </w:tcPr>
          <w:p>
            <w:pPr>
              <w:spacing w:line="240" w:lineRule="auto" w:after="0"/>
            </w:pPr>
            <w:r>
              <w:rPr>
                <w:rFonts w:ascii="Times New Roman" w:hAnsi="Times New Roman"/>
                <w:sz w:val="20"/>
              </w:rPr>
              <w:t xml:space="preserve">25</w:t>
            </w:r>
          </w:p>
        </w:tc>
        <w:tc>
          <w:tcPr>
            <w:tcW w:w="2340" w:type="dxa"/>
          </w:tcPr>
          <w:p>
            <w:pPr>
              <w:spacing w:line="240" w:lineRule="auto" w:after="0"/>
            </w:pPr>
            <w:r>
              <w:rPr>
                <w:rFonts w:ascii="Times New Roman" w:hAnsi="Times New Roman"/>
                <w:sz w:val="20"/>
              </w:rPr>
              <w:t xml:space="preserve">20</w:t>
            </w:r>
          </w:p>
        </w:tc>
        <w:tc>
          <w:tcPr>
            <w:tcW w:w="2340" w:type="dxa"/>
          </w:tcPr>
          <w:p>
            <w:pPr>
              <w:spacing w:line="240" w:lineRule="auto" w:after="0"/>
            </w:pPr>
            <w:r>
              <w:rPr>
                <w:rFonts w:ascii="Times New Roman" w:hAnsi="Times New Roman"/>
                <w:sz w:val="20"/>
              </w:rPr>
              <w:t xml:space="preserve">Qisman / Egalitar</w:t>
            </w:r>
          </w:p>
        </w:tc>
      </w:tr>
      <w:tr>
        <w:tc>
          <w:tcPr>
            <w:tcW w:w="2340" w:type="dxa"/>
          </w:tcPr>
          <w:p>
            <w:pPr>
              <w:spacing w:line="240" w:lineRule="auto" w:after="0"/>
            </w:pPr>
            <w:r>
              <w:rPr>
                <w:rFonts w:ascii="Times New Roman" w:hAnsi="Times New Roman"/>
                <w:sz w:val="20"/>
              </w:rPr>
              <w:t xml:space="preserve">Suluvidan jiluvi yaxshi</w:t>
            </w:r>
          </w:p>
        </w:tc>
        <w:tc>
          <w:tcPr>
            <w:tcW w:w="2340" w:type="dxa"/>
          </w:tcPr>
          <w:p>
            <w:pPr>
              <w:spacing w:line="240" w:lineRule="auto" w:after="0"/>
            </w:pPr>
            <w:r>
              <w:rPr>
                <w:rFonts w:ascii="Times New Roman" w:hAnsi="Times New Roman"/>
                <w:sz w:val="20"/>
              </w:rPr>
              <w:t xml:space="preserve">20</w:t>
            </w:r>
          </w:p>
        </w:tc>
        <w:tc>
          <w:tcPr>
            <w:tcW w:w="2340" w:type="dxa"/>
          </w:tcPr>
          <w:p>
            <w:pPr>
              <w:spacing w:line="240" w:lineRule="auto" w:after="0"/>
            </w:pPr>
            <w:r>
              <w:rPr>
                <w:rFonts w:ascii="Times New Roman" w:hAnsi="Times New Roman"/>
                <w:sz w:val="20"/>
              </w:rPr>
              <w:t xml:space="preserve">48</w:t>
            </w:r>
          </w:p>
        </w:tc>
        <w:tc>
          <w:tcPr>
            <w:tcW w:w="2340" w:type="dxa"/>
          </w:tcPr>
          <w:p>
            <w:pPr>
              <w:spacing w:line="240" w:lineRule="auto" w:after="0"/>
            </w:pPr>
            <w:r>
              <w:rPr>
                <w:rFonts w:ascii="Times New Roman" w:hAnsi="Times New Roman"/>
                <w:sz w:val="20"/>
              </w:rPr>
              <w:t xml:space="preserve">Egalitar / Yuqori</w:t>
            </w:r>
          </w:p>
        </w:tc>
      </w:tr>
    </w:tbl>
    <w:p>
      <w:pPr>
        <w:spacing w:line="360" w:lineRule="auto" w:after="120"/>
        <w:jc w:val="both"/>
      </w:pPr>
      <w:r>
        <w:rPr>
          <w:rFonts w:ascii="Times New Roman" w:hAnsi="Times New Roman"/>
          <w:i/>
        </w:rPr>
        <w:t xml:space="preserve">Izoh.</w:t>
      </w:r>
      <w:r>
        <w:rPr>
          <w:rFonts w:ascii="Times New Roman" w:hAnsi="Times New Roman"/>
        </w:rPr>
        <w:t xml:space="preserve"> Besh balli rozilik shkalasi bo'yicha jamlangan ballar. Talqin oraliqlari: 37–50 — an'anaviy ustanovka mustahkam o'rnashgan; 24–36 — qisman mavjud; 0–23 — egalitar ustanovka. Har bir guruh maqollarni o'z tilida baholadi.</w:t>
      </w:r>
    </w:p>
    <w:p>
      <w:pPr>
        <w:pStyle w:val="Heading3"/>
        <w:spacing w:before="240" w:after="120"/>
      </w:pPr>
      <w:r>
        <w:rPr>
          <w:rFonts w:ascii="Times New Roman" w:hAnsi="Times New Roman"/>
        </w:rPr>
        <w:t xml:space="preserve">4.3. Nikoh motivatsiyasi</w:t>
      </w:r>
    </w:p>
    <w:p>
      <w:pPr>
        <w:spacing w:line="360" w:lineRule="auto" w:after="120"/>
        <w:jc w:val="both"/>
      </w:pPr>
      <w:r>
        <w:rPr>
          <w:rFonts w:ascii="Times New Roman" w:hAnsi="Times New Roman"/>
        </w:rPr>
        <w:t xml:space="preserve">Guruhlar ota-onalik va axloqiy-psixologik matritsalar bo'yicha farqlanmadi. Xo'jalik-maishiy matritsada qirg'iz respondentlar (d = −0,18), intim-shaxsiy matritsada esa o'zbek respondentlar (d = 0,20) yuqori ball oldi, biroq ikkala farq ham tuzatishdan keyin saqlanmadi.</w:t>
      </w:r>
    </w:p>
    <w:p>
      <w:pPr>
        <w:pStyle w:val="Heading3"/>
        <w:spacing w:before="240" w:after="120"/>
      </w:pPr>
      <w:r>
        <w:rPr>
          <w:rFonts w:ascii="Times New Roman" w:hAnsi="Times New Roman"/>
        </w:rPr>
        <w:t xml:space="preserve">4.4. Gender o'zligi va oila uchun maqbul sifatlar</w:t>
      </w:r>
    </w:p>
    <w:p>
      <w:pPr>
        <w:spacing w:line="360" w:lineRule="auto" w:after="120"/>
        <w:jc w:val="both"/>
      </w:pPr>
      <w:r>
        <w:rPr>
          <w:rFonts w:ascii="Times New Roman" w:hAnsi="Times New Roman"/>
        </w:rPr>
        <w:t xml:space="preserve">Har ikki guruhda feminin o'zlik ustun bo'ldi (umumiy tanlanmada 82,6%); maskulin toifa 9,1%, androgin toifa 8,3% ni tashkil etdi. Taqsimot guruhlar bo'yicha farqlanmadi (χ²(2) = 3,05; p = 0,218; V = 0,08), garchi androginlik qirg'iz respondentlarda biroz ko'proq uchragan bo'lsa-da (11,1% ga qarshi 6,8%).</w:t>
      </w:r>
    </w:p>
    <w:p>
      <w:pPr>
        <w:spacing w:line="360" w:lineRule="auto" w:after="120"/>
        <w:jc w:val="both"/>
      </w:pPr>
      <w:r>
        <w:rPr>
          <w:rFonts w:ascii="Times New Roman" w:hAnsi="Times New Roman"/>
        </w:rPr>
        <w:t xml:space="preserve">Patriarxal sifatlar to'plami har ikki guruhda ham ayol, ham erkak uchun eng ko'p tanlandi (3-jadval). Ayol uchun o'zbek respondentlar uni sezilarli darajada ko'proq ma'qulladi (69,7% ga qarshi 53,4%), qirg'iz respondentlar esa egalitar to'plamni ikki baravardan ko'proq tanladi (33,3% ga qarshi 15,9%); χ²(2) = 21,88; p &lt; 0,001; V = 0,20. Erkak uchun ham xuddi shu asimmetriya kuchsizroq shaklda takrorlandi: χ²(2) = 9,62; p = 0,008; V = 0,14. Neytral (hissiy) to'plam barcha holatlarda eng kam tanlandi.</w:t>
      </w:r>
    </w:p>
    <w:p>
      <w:pPr>
        <w:spacing w:line="360" w:lineRule="auto" w:after="120"/>
      </w:pPr>
      <w:r>
        <w:rPr>
          <w:rFonts w:ascii="Times New Roman" w:hAnsi="Times New Roman"/>
          <w:b/>
        </w:rPr>
        <w:t xml:space="preserve">3-jadval.</w:t>
      </w:r>
      <w:r>
        <w:rPr>
          <w:rFonts w:ascii="Times New Roman" w:hAnsi="Times New Roman"/>
        </w:rPr>
        <w:t xml:space="preserve"> Gender o'zligi va baxtli oila uchun zarur deb bilingan sifatlar, guruhlar kesimida</w:t>
      </w:r>
    </w:p>
    <w:tbl>
      <w:tblPr>
        <w:tblStyle w:val="TableGrid"/>
        <w:tblW w:w="0" w:type="auto"/>
        <w:tblLayout w:type="fixed"/>
        <w:tblLook w:val="04A0" w:firstRow="1" w:lastRow="0" w:firstColumn="0"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560"/>
        <w:gridCol w:w="1560"/>
        <w:gridCol w:w="1560"/>
        <w:gridCol w:w="1560"/>
        <w:gridCol w:w="1560"/>
        <w:gridCol w:w="1560"/>
      </w:tblGrid>
      <w:tr>
        <w:trPr>
          <w:tblHeader/>
        </w:trPr>
        <w:tc>
          <w:tcPr>
            <w:tcW w:w="1560" w:type="dxa"/>
            <w:shd w:val="clear" w:color="auto" w:fill="F2F2F2"/>
          </w:tcPr>
          <w:p>
            <w:pPr>
              <w:spacing w:line="240" w:lineRule="auto" w:after="0"/>
            </w:pPr>
            <w:r>
              <w:rPr>
                <w:rFonts w:ascii="Times New Roman" w:hAnsi="Times New Roman"/>
                <w:sz w:val="20"/>
              </w:rPr>
              <w:t xml:space="preserve">Ko'rsatkich</w:t>
            </w:r>
          </w:p>
        </w:tc>
        <w:tc>
          <w:tcPr>
            <w:tcW w:w="1560" w:type="dxa"/>
            <w:shd w:val="clear" w:color="auto" w:fill="F2F2F2"/>
          </w:tcPr>
          <w:p>
            <w:pPr>
              <w:spacing w:line="240" w:lineRule="auto" w:after="0"/>
            </w:pPr>
            <w:r>
              <w:rPr>
                <w:rFonts w:ascii="Times New Roman" w:hAnsi="Times New Roman"/>
                <w:sz w:val="20"/>
              </w:rPr>
              <w:t xml:space="preserve">O'zbek n (%)</w:t>
            </w:r>
          </w:p>
        </w:tc>
        <w:tc>
          <w:tcPr>
            <w:tcW w:w="1560" w:type="dxa"/>
            <w:shd w:val="clear" w:color="auto" w:fill="F2F2F2"/>
          </w:tcPr>
          <w:p>
            <w:pPr>
              <w:spacing w:line="240" w:lineRule="auto" w:after="0"/>
            </w:pPr>
            <w:r>
              <w:rPr>
                <w:rFonts w:ascii="Times New Roman" w:hAnsi="Times New Roman"/>
                <w:sz w:val="20"/>
              </w:rPr>
              <w:t xml:space="preserve">Qirg'iz n (%)</w:t>
            </w:r>
          </w:p>
        </w:tc>
        <w:tc>
          <w:tcPr>
            <w:tcW w:w="1560" w:type="dxa"/>
            <w:shd w:val="clear" w:color="auto" w:fill="F2F2F2"/>
          </w:tcPr>
          <w:p>
            <w:pPr>
              <w:spacing w:line="240" w:lineRule="auto" w:after="0"/>
            </w:pPr>
            <w:r>
              <w:rPr>
                <w:rFonts w:ascii="Times New Roman" w:hAnsi="Times New Roman"/>
                <w:sz w:val="20"/>
              </w:rPr>
              <w:t xml:space="preserve">χ² (df = 2)</w:t>
            </w:r>
          </w:p>
        </w:tc>
        <w:tc>
          <w:tcPr>
            <w:tcW w:w="1560" w:type="dxa"/>
            <w:shd w:val="clear" w:color="auto" w:fill="F2F2F2"/>
          </w:tcPr>
          <w:p>
            <w:pPr>
              <w:spacing w:line="240" w:lineRule="auto" w:after="0"/>
            </w:pPr>
            <w:r>
              <w:rPr>
                <w:rFonts w:ascii="Times New Roman" w:hAnsi="Times New Roman"/>
                <w:sz w:val="20"/>
              </w:rPr>
              <w:t xml:space="preserve">p</w:t>
            </w:r>
          </w:p>
        </w:tc>
        <w:tc>
          <w:tcPr>
            <w:tcW w:w="1560" w:type="dxa"/>
            <w:shd w:val="clear" w:color="auto" w:fill="F2F2F2"/>
          </w:tcPr>
          <w:p>
            <w:pPr>
              <w:spacing w:line="240" w:lineRule="auto" w:after="0"/>
            </w:pPr>
            <w:r>
              <w:rPr>
                <w:rFonts w:ascii="Times New Roman" w:hAnsi="Times New Roman"/>
                <w:sz w:val="20"/>
              </w:rPr>
              <w:t xml:space="preserve">Kramer V</w:t>
            </w:r>
          </w:p>
        </w:tc>
      </w:tr>
      <w:tr>
        <w:tc>
          <w:tcPr>
            <w:tcW w:w="1560" w:type="dxa"/>
          </w:tcPr>
          <w:p>
            <w:pPr>
              <w:spacing w:line="240" w:lineRule="auto" w:after="0"/>
            </w:pPr>
            <w:r>
              <w:rPr>
                <w:rFonts w:ascii="Times New Roman" w:hAnsi="Times New Roman"/>
                <w:b/>
                <w:i/>
                <w:sz w:val="20"/>
              </w:rPr>
              <w:t xml:space="preserve">Gender o'zligi (S. Bem)</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r>
              <w:rPr>
                <w:rFonts w:ascii="Times New Roman" w:hAnsi="Times New Roman"/>
                <w:sz w:val="20"/>
              </w:rPr>
              <w:t xml:space="preserve">3,05</w:t>
            </w:r>
          </w:p>
        </w:tc>
        <w:tc>
          <w:tcPr>
            <w:tcW w:w="1560" w:type="dxa"/>
          </w:tcPr>
          <w:p>
            <w:pPr>
              <w:spacing w:line="240" w:lineRule="auto" w:after="0"/>
            </w:pPr>
            <w:r>
              <w:rPr>
                <w:rFonts w:ascii="Times New Roman" w:hAnsi="Times New Roman"/>
                <w:sz w:val="20"/>
              </w:rPr>
              <w:t xml:space="preserve">0,218</w:t>
            </w:r>
          </w:p>
        </w:tc>
        <w:tc>
          <w:tcPr>
            <w:tcW w:w="1560" w:type="dxa"/>
          </w:tcPr>
          <w:p>
            <w:pPr>
              <w:spacing w:line="240" w:lineRule="auto" w:after="0"/>
            </w:pPr>
            <w:r>
              <w:rPr>
                <w:rFonts w:ascii="Times New Roman" w:hAnsi="Times New Roman"/>
                <w:sz w:val="20"/>
              </w:rPr>
              <w:t xml:space="preserve">0,08</w:t>
            </w:r>
          </w:p>
        </w:tc>
      </w:tr>
      <w:tr>
        <w:tc>
          <w:tcPr>
            <w:tcW w:w="1560" w:type="dxa"/>
          </w:tcPr>
          <w:p>
            <w:pPr>
              <w:spacing w:line="240" w:lineRule="auto" w:after="0"/>
            </w:pPr>
            <w:r>
              <w:rPr>
                <w:rFonts w:ascii="Times New Roman" w:hAnsi="Times New Roman"/>
                <w:sz w:val="20"/>
              </w:rPr>
              <w:t xml:space="preserve">Feminin</w:t>
            </w:r>
          </w:p>
        </w:tc>
        <w:tc>
          <w:tcPr>
            <w:tcW w:w="1560" w:type="dxa"/>
          </w:tcPr>
          <w:p>
            <w:pPr>
              <w:spacing w:line="240" w:lineRule="auto" w:after="0"/>
            </w:pPr>
            <w:r>
              <w:rPr>
                <w:rFonts w:ascii="Times New Roman" w:hAnsi="Times New Roman"/>
                <w:sz w:val="20"/>
              </w:rPr>
              <w:t xml:space="preserve">285 (83,8)</w:t>
            </w:r>
          </w:p>
        </w:tc>
        <w:tc>
          <w:tcPr>
            <w:tcW w:w="1560" w:type="dxa"/>
          </w:tcPr>
          <w:p>
            <w:pPr>
              <w:spacing w:line="240" w:lineRule="auto" w:after="0"/>
            </w:pPr>
            <w:r>
              <w:rPr>
                <w:rFonts w:ascii="Times New Roman" w:hAnsi="Times New Roman"/>
                <w:sz w:val="20"/>
              </w:rPr>
              <w:t xml:space="preserve">152 (80,4)</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sz w:val="20"/>
              </w:rPr>
              <w:t xml:space="preserve">Maskulin</w:t>
            </w:r>
          </w:p>
        </w:tc>
        <w:tc>
          <w:tcPr>
            <w:tcW w:w="1560" w:type="dxa"/>
          </w:tcPr>
          <w:p>
            <w:pPr>
              <w:spacing w:line="240" w:lineRule="auto" w:after="0"/>
            </w:pPr>
            <w:r>
              <w:rPr>
                <w:rFonts w:ascii="Times New Roman" w:hAnsi="Times New Roman"/>
                <w:sz w:val="20"/>
              </w:rPr>
              <w:t xml:space="preserve">32 (9,4)</w:t>
            </w:r>
          </w:p>
        </w:tc>
        <w:tc>
          <w:tcPr>
            <w:tcW w:w="1560" w:type="dxa"/>
          </w:tcPr>
          <w:p>
            <w:pPr>
              <w:spacing w:line="240" w:lineRule="auto" w:after="0"/>
            </w:pPr>
            <w:r>
              <w:rPr>
                <w:rFonts w:ascii="Times New Roman" w:hAnsi="Times New Roman"/>
                <w:sz w:val="20"/>
              </w:rPr>
              <w:t xml:space="preserve">16 (8,5)</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sz w:val="20"/>
              </w:rPr>
              <w:t xml:space="preserve">Androgin</w:t>
            </w:r>
          </w:p>
        </w:tc>
        <w:tc>
          <w:tcPr>
            <w:tcW w:w="1560" w:type="dxa"/>
          </w:tcPr>
          <w:p>
            <w:pPr>
              <w:spacing w:line="240" w:lineRule="auto" w:after="0"/>
            </w:pPr>
            <w:r>
              <w:rPr>
                <w:rFonts w:ascii="Times New Roman" w:hAnsi="Times New Roman"/>
                <w:sz w:val="20"/>
              </w:rPr>
              <w:t xml:space="preserve">23 (6,8)</w:t>
            </w:r>
          </w:p>
        </w:tc>
        <w:tc>
          <w:tcPr>
            <w:tcW w:w="1560" w:type="dxa"/>
          </w:tcPr>
          <w:p>
            <w:pPr>
              <w:spacing w:line="240" w:lineRule="auto" w:after="0"/>
            </w:pPr>
            <w:r>
              <w:rPr>
                <w:rFonts w:ascii="Times New Roman" w:hAnsi="Times New Roman"/>
                <w:sz w:val="20"/>
              </w:rPr>
              <w:t xml:space="preserve">21 (11,1)</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b/>
                <w:i/>
                <w:sz w:val="20"/>
              </w:rPr>
              <w:t xml:space="preserve">Ayol uchun zarur sifatlar</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r>
              <w:rPr>
                <w:rFonts w:ascii="Times New Roman" w:hAnsi="Times New Roman"/>
                <w:sz w:val="20"/>
              </w:rPr>
              <w:t xml:space="preserve">21,88</w:t>
            </w:r>
          </w:p>
        </w:tc>
        <w:tc>
          <w:tcPr>
            <w:tcW w:w="1560" w:type="dxa"/>
          </w:tcPr>
          <w:p>
            <w:pPr>
              <w:spacing w:line="240" w:lineRule="auto" w:after="0"/>
            </w:pPr>
            <w:r>
              <w:rPr>
                <w:rFonts w:ascii="Times New Roman" w:hAnsi="Times New Roman"/>
                <w:sz w:val="20"/>
              </w:rPr>
              <w:t xml:space="preserve">&lt; 0,001</w:t>
            </w:r>
          </w:p>
        </w:tc>
        <w:tc>
          <w:tcPr>
            <w:tcW w:w="1560" w:type="dxa"/>
          </w:tcPr>
          <w:p>
            <w:pPr>
              <w:spacing w:line="240" w:lineRule="auto" w:after="0"/>
            </w:pPr>
            <w:r>
              <w:rPr>
                <w:rFonts w:ascii="Times New Roman" w:hAnsi="Times New Roman"/>
                <w:sz w:val="20"/>
              </w:rPr>
              <w:t xml:space="preserve">0,20</w:t>
            </w:r>
          </w:p>
        </w:tc>
      </w:tr>
      <w:tr>
        <w:tc>
          <w:tcPr>
            <w:tcW w:w="1560" w:type="dxa"/>
          </w:tcPr>
          <w:p>
            <w:pPr>
              <w:spacing w:line="240" w:lineRule="auto" w:after="0"/>
            </w:pPr>
            <w:r>
              <w:rPr>
                <w:rFonts w:ascii="Times New Roman" w:hAnsi="Times New Roman"/>
                <w:sz w:val="20"/>
              </w:rPr>
              <w:t xml:space="preserve">Patriarxal</w:t>
            </w:r>
          </w:p>
        </w:tc>
        <w:tc>
          <w:tcPr>
            <w:tcW w:w="1560" w:type="dxa"/>
          </w:tcPr>
          <w:p>
            <w:pPr>
              <w:spacing w:line="240" w:lineRule="auto" w:after="0"/>
            </w:pPr>
            <w:r>
              <w:rPr>
                <w:rFonts w:ascii="Times New Roman" w:hAnsi="Times New Roman"/>
                <w:sz w:val="20"/>
              </w:rPr>
              <w:t xml:space="preserve">237 (69,7)</w:t>
            </w:r>
          </w:p>
        </w:tc>
        <w:tc>
          <w:tcPr>
            <w:tcW w:w="1560" w:type="dxa"/>
          </w:tcPr>
          <w:p>
            <w:pPr>
              <w:spacing w:line="240" w:lineRule="auto" w:after="0"/>
            </w:pPr>
            <w:r>
              <w:rPr>
                <w:rFonts w:ascii="Times New Roman" w:hAnsi="Times New Roman"/>
                <w:sz w:val="20"/>
              </w:rPr>
              <w:t xml:space="preserve">101 (53,4)</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sz w:val="20"/>
              </w:rPr>
              <w:t xml:space="preserve">Egalitar</w:t>
            </w:r>
          </w:p>
        </w:tc>
        <w:tc>
          <w:tcPr>
            <w:tcW w:w="1560" w:type="dxa"/>
          </w:tcPr>
          <w:p>
            <w:pPr>
              <w:spacing w:line="240" w:lineRule="auto" w:after="0"/>
            </w:pPr>
            <w:r>
              <w:rPr>
                <w:rFonts w:ascii="Times New Roman" w:hAnsi="Times New Roman"/>
                <w:sz w:val="20"/>
              </w:rPr>
              <w:t xml:space="preserve">54 (15,9)</w:t>
            </w:r>
          </w:p>
        </w:tc>
        <w:tc>
          <w:tcPr>
            <w:tcW w:w="1560" w:type="dxa"/>
          </w:tcPr>
          <w:p>
            <w:pPr>
              <w:spacing w:line="240" w:lineRule="auto" w:after="0"/>
            </w:pPr>
            <w:r>
              <w:rPr>
                <w:rFonts w:ascii="Times New Roman" w:hAnsi="Times New Roman"/>
                <w:sz w:val="20"/>
              </w:rPr>
              <w:t xml:space="preserve">63 (33,3)</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sz w:val="20"/>
              </w:rPr>
              <w:t xml:space="preserve">Neytral</w:t>
            </w:r>
          </w:p>
        </w:tc>
        <w:tc>
          <w:tcPr>
            <w:tcW w:w="1560" w:type="dxa"/>
          </w:tcPr>
          <w:p>
            <w:pPr>
              <w:spacing w:line="240" w:lineRule="auto" w:after="0"/>
            </w:pPr>
            <w:r>
              <w:rPr>
                <w:rFonts w:ascii="Times New Roman" w:hAnsi="Times New Roman"/>
                <w:sz w:val="20"/>
              </w:rPr>
              <w:t xml:space="preserve">49 (14,4)</w:t>
            </w:r>
          </w:p>
        </w:tc>
        <w:tc>
          <w:tcPr>
            <w:tcW w:w="1560" w:type="dxa"/>
          </w:tcPr>
          <w:p>
            <w:pPr>
              <w:spacing w:line="240" w:lineRule="auto" w:after="0"/>
            </w:pPr>
            <w:r>
              <w:rPr>
                <w:rFonts w:ascii="Times New Roman" w:hAnsi="Times New Roman"/>
                <w:sz w:val="20"/>
              </w:rPr>
              <w:t xml:space="preserve">25 (13,2)</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b/>
                <w:i/>
                <w:sz w:val="20"/>
              </w:rPr>
              <w:t xml:space="preserve">Erkak uchun zarur sifatlar</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r>
              <w:rPr>
                <w:rFonts w:ascii="Times New Roman" w:hAnsi="Times New Roman"/>
                <w:sz w:val="20"/>
              </w:rPr>
              <w:t xml:space="preserve">9,62</w:t>
            </w:r>
          </w:p>
        </w:tc>
        <w:tc>
          <w:tcPr>
            <w:tcW w:w="1560" w:type="dxa"/>
          </w:tcPr>
          <w:p>
            <w:pPr>
              <w:spacing w:line="240" w:lineRule="auto" w:after="0"/>
            </w:pPr>
            <w:r>
              <w:rPr>
                <w:rFonts w:ascii="Times New Roman" w:hAnsi="Times New Roman"/>
                <w:sz w:val="20"/>
              </w:rPr>
              <w:t xml:space="preserve">0,008</w:t>
            </w:r>
          </w:p>
        </w:tc>
        <w:tc>
          <w:tcPr>
            <w:tcW w:w="1560" w:type="dxa"/>
          </w:tcPr>
          <w:p>
            <w:pPr>
              <w:spacing w:line="240" w:lineRule="auto" w:after="0"/>
            </w:pPr>
            <w:r>
              <w:rPr>
                <w:rFonts w:ascii="Times New Roman" w:hAnsi="Times New Roman"/>
                <w:sz w:val="20"/>
              </w:rPr>
              <w:t xml:space="preserve">0,14</w:t>
            </w:r>
          </w:p>
        </w:tc>
      </w:tr>
      <w:tr>
        <w:tc>
          <w:tcPr>
            <w:tcW w:w="1560" w:type="dxa"/>
          </w:tcPr>
          <w:p>
            <w:pPr>
              <w:spacing w:line="240" w:lineRule="auto" w:after="0"/>
            </w:pPr>
            <w:r>
              <w:rPr>
                <w:rFonts w:ascii="Times New Roman" w:hAnsi="Times New Roman"/>
                <w:sz w:val="20"/>
              </w:rPr>
              <w:t xml:space="preserve">Patriarxal</w:t>
            </w:r>
          </w:p>
        </w:tc>
        <w:tc>
          <w:tcPr>
            <w:tcW w:w="1560" w:type="dxa"/>
          </w:tcPr>
          <w:p>
            <w:pPr>
              <w:spacing w:line="240" w:lineRule="auto" w:after="0"/>
            </w:pPr>
            <w:r>
              <w:rPr>
                <w:rFonts w:ascii="Times New Roman" w:hAnsi="Times New Roman"/>
                <w:sz w:val="20"/>
              </w:rPr>
              <w:t xml:space="preserve">227 (66,7)</w:t>
            </w:r>
          </w:p>
        </w:tc>
        <w:tc>
          <w:tcPr>
            <w:tcW w:w="1560" w:type="dxa"/>
          </w:tcPr>
          <w:p>
            <w:pPr>
              <w:spacing w:line="240" w:lineRule="auto" w:after="0"/>
            </w:pPr>
            <w:r>
              <w:rPr>
                <w:rFonts w:ascii="Times New Roman" w:hAnsi="Times New Roman"/>
                <w:sz w:val="20"/>
              </w:rPr>
              <w:t xml:space="preserve">101 (53,4)</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sz w:val="20"/>
              </w:rPr>
              <w:t xml:space="preserve">Egalitar</w:t>
            </w:r>
          </w:p>
        </w:tc>
        <w:tc>
          <w:tcPr>
            <w:tcW w:w="1560" w:type="dxa"/>
          </w:tcPr>
          <w:p>
            <w:pPr>
              <w:spacing w:line="240" w:lineRule="auto" w:after="0"/>
            </w:pPr>
            <w:r>
              <w:rPr>
                <w:rFonts w:ascii="Times New Roman" w:hAnsi="Times New Roman"/>
                <w:sz w:val="20"/>
              </w:rPr>
              <w:t xml:space="preserve">76 (22,5)</w:t>
            </w:r>
          </w:p>
        </w:tc>
        <w:tc>
          <w:tcPr>
            <w:tcW w:w="1560" w:type="dxa"/>
          </w:tcPr>
          <w:p>
            <w:pPr>
              <w:spacing w:line="240" w:lineRule="auto" w:after="0"/>
            </w:pPr>
            <w:r>
              <w:rPr>
                <w:rFonts w:ascii="Times New Roman" w:hAnsi="Times New Roman"/>
                <w:sz w:val="20"/>
              </w:rPr>
              <w:t xml:space="preserve">63 (33,3)</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r>
        <w:tc>
          <w:tcPr>
            <w:tcW w:w="1560" w:type="dxa"/>
          </w:tcPr>
          <w:p>
            <w:pPr>
              <w:spacing w:line="240" w:lineRule="auto" w:after="0"/>
            </w:pPr>
            <w:r>
              <w:rPr>
                <w:rFonts w:ascii="Times New Roman" w:hAnsi="Times New Roman"/>
                <w:sz w:val="20"/>
              </w:rPr>
              <w:t xml:space="preserve">Neytral</w:t>
            </w:r>
          </w:p>
        </w:tc>
        <w:tc>
          <w:tcPr>
            <w:tcW w:w="1560" w:type="dxa"/>
          </w:tcPr>
          <w:p>
            <w:pPr>
              <w:spacing w:line="240" w:lineRule="auto" w:after="0"/>
            </w:pPr>
            <w:r>
              <w:rPr>
                <w:rFonts w:ascii="Times New Roman" w:hAnsi="Times New Roman"/>
                <w:sz w:val="20"/>
              </w:rPr>
              <w:t xml:space="preserve">37 (10,8)</w:t>
            </w:r>
          </w:p>
        </w:tc>
        <w:tc>
          <w:tcPr>
            <w:tcW w:w="1560" w:type="dxa"/>
          </w:tcPr>
          <w:p>
            <w:pPr>
              <w:spacing w:line="240" w:lineRule="auto" w:after="0"/>
            </w:pPr>
            <w:r>
              <w:rPr>
                <w:rFonts w:ascii="Times New Roman" w:hAnsi="Times New Roman"/>
                <w:sz w:val="20"/>
              </w:rPr>
              <w:t xml:space="preserve">25 (13,2)</w:t>
            </w:r>
          </w:p>
        </w:tc>
        <w:tc>
          <w:tcPr>
            <w:tcW w:w="1560" w:type="dxa"/>
          </w:tcPr>
          <w:p>
            <w:pPr>
              <w:spacing w:line="240" w:lineRule="auto" w:after="0"/>
            </w:pPr>
          </w:p>
        </w:tc>
        <w:tc>
          <w:tcPr>
            <w:tcW w:w="1560" w:type="dxa"/>
          </w:tcPr>
          <w:p>
            <w:pPr>
              <w:spacing w:line="240" w:lineRule="auto" w:after="0"/>
            </w:pPr>
          </w:p>
        </w:tc>
        <w:tc>
          <w:tcPr>
            <w:tcW w:w="1560" w:type="dxa"/>
          </w:tcPr>
          <w:p>
            <w:pPr>
              <w:spacing w:line="240" w:lineRule="auto" w:after="0"/>
            </w:pPr>
          </w:p>
        </w:tc>
      </w:tr>
    </w:tbl>
    <w:p>
      <w:pPr>
        <w:spacing w:line="360" w:lineRule="auto" w:after="120"/>
      </w:pPr>
      <w:r>
        <w:rPr>
          <w:rFonts w:ascii="Times New Roman" w:hAnsi="Times New Roman"/>
          <w:i/>
        </w:rPr>
        <w:t xml:space="preserve">Izoh.</w:t>
      </w:r>
      <w:r>
        <w:rPr>
          <w:rFonts w:ascii="Times New Roman" w:hAnsi="Times New Roman"/>
        </w:rPr>
        <w:t xml:space="preserve"> Sifatlar to'plamlari bo'yicha sonlar keltirilgan foizlardan tiklangan va birlamchi ma'lumotlar bilan solishtirilishi kerak.</w:t>
      </w:r>
    </w:p>
    <w:p>
      <w:pPr>
        <w:pStyle w:val="Heading3"/>
        <w:spacing w:before="240" w:after="120"/>
      </w:pPr>
      <w:r>
        <w:rPr>
          <w:rFonts w:ascii="Times New Roman" w:hAnsi="Times New Roman"/>
        </w:rPr>
        <w:t xml:space="preserve">4.5. Nikohga tayyorlik</w:t>
      </w:r>
    </w:p>
    <w:p>
      <w:pPr>
        <w:spacing w:line="360" w:lineRule="auto" w:after="120"/>
        <w:jc w:val="both"/>
      </w:pPr>
      <w:r>
        <w:rPr>
          <w:rFonts w:ascii="Times New Roman" w:hAnsi="Times New Roman"/>
        </w:rPr>
        <w:t xml:space="preserve">O'zbek respondentlar turmushga chiqishga tayyorlik bo'yicha yuqori natija ko'rsatdi (d = 0,33; tuzatishdan keyin saqlandi), ma'naviy tayyorgarlik bo'yicha esa biroz yuqori bo'ldi (d = 0,19; tuzatishdan keyin saqlanmadi). Viloyatlar kesimida ham turmushga tayyorlik Farg'onada yuqoriroq chiqdi (t = 4,78; p &lt; 0,001), ma'naviy tayyorgarlik bo'yicha esa farq aniqlanmadi (t = 0,35). Topshiriqlar darajasidagi tahlil turmushga chiqish yoshiga turlicha qarashni ko'rsatdi: andijonlik respondentlar ko'proq 19–21 yoshni, farg'onalik respondentlar esa 21–25 yoshni maqbul deb tanladi.</w:t>
      </w:r>
    </w:p>
    <w:p>
      <w:pPr>
        <w:pStyle w:val="Heading3"/>
        <w:spacing w:before="240" w:after="120"/>
      </w:pPr>
      <w:r>
        <w:rPr>
          <w:rFonts w:ascii="Times New Roman" w:hAnsi="Times New Roman"/>
        </w:rPr>
        <w:t xml:space="preserve">4.6. Oilaviy uyushganlik va egiluvchanlik</w:t>
      </w:r>
    </w:p>
    <w:p>
      <w:pPr>
        <w:spacing w:line="360" w:lineRule="auto" w:after="120"/>
        <w:jc w:val="both"/>
      </w:pPr>
      <w:r>
        <w:rPr>
          <w:rFonts w:ascii="Times New Roman" w:hAnsi="Times New Roman"/>
        </w:rPr>
        <w:t xml:space="preserve">O'zbek respondentlar ota-ona oilasidagi umumiy uyushganlik bo'yicha yuqori natija ko'rsatdi (d = 0,25; p = 0,005; Xolm bo'yicha p = 0,095). Shkalalar darajasida oilaviy munosabat chegarasi bo'yicha farq (d = 0,36) tuzatishdan keyin saqlandi, qiziqishlar va bo'sh vaqt bo'yicha farq (d = 0,21) esa saqlanmadi. Hissiy yaqinlik, qaror qabul qilish, birgalikdagi vaqt va umumiy do'stlar bo'yicha farq aniqlanmadi. Egiluvchanlik bo'yicha o'zbek respondentlar oilaviy rollar (d = 0,35; tuzatishdan keyin saqlandi), nazorat (d = 0,26) va liderlik (d = 0,19) shkalalarida yuqori ball oldi; intizom va qoidalar bo'yicha farq bo'lmadi.</w:t>
      </w:r>
    </w:p>
    <w:p>
      <w:pPr>
        <w:spacing w:line="360" w:lineRule="auto" w:after="120"/>
        <w:jc w:val="both"/>
      </w:pPr>
      <w:r>
        <w:rPr>
          <w:rFonts w:ascii="Times New Roman" w:hAnsi="Times New Roman"/>
        </w:rPr>
        <w:t xml:space="preserve">Viloyatlar kesimida uyushganlik shkalalaridan oilaviy munosabat chegarasi (t = 2,28; p = 0,023; Farg'onada yuqori) va umumiy do'stlar (t = −3,14; p = 0,002; Andijonda yuqori) farqlandi. Egiluvchanlik shkalalaridan oilaviy rollar (t = 2,62; p = 0,009) va oiladagi qoidalar (t = −2,08; p = 0,038) farqlandi, liderlik, nazorat va intizom bo'yicha esa farq aniqlanmadi.</w:t>
      </w:r>
    </w:p>
    <w:p>
      <w:pPr>
        <w:pStyle w:val="Heading2"/>
        <w:spacing w:before="240" w:after="120"/>
      </w:pPr>
      <w:r>
        <w:rPr>
          <w:rFonts w:ascii="Times New Roman" w:hAnsi="Times New Roman"/>
        </w:rPr>
        <w:t xml:space="preserve">5. Muhokama</w:t>
      </w:r>
    </w:p>
    <w:p>
      <w:pPr>
        <w:pStyle w:val="Heading3"/>
        <w:spacing w:before="240" w:after="120"/>
      </w:pPr>
      <w:r>
        <w:rPr>
          <w:rFonts w:ascii="Times New Roman" w:hAnsi="Times New Roman"/>
        </w:rPr>
        <w:t xml:space="preserve">5.1. Asosiy natija — o'xshashlik</w:t>
      </w:r>
    </w:p>
    <w:p>
      <w:pPr>
        <w:spacing w:line="360" w:lineRule="auto" w:after="120"/>
        <w:jc w:val="both"/>
      </w:pPr>
      <w:r>
        <w:rPr>
          <w:rFonts w:ascii="Times New Roman" w:hAnsi="Times New Roman"/>
        </w:rPr>
        <w:t xml:space="preserve">Ma'lumotlardagi ustuvor manzara o'xshashlikdir. Oltita metodika va 23 ta miqdoriy qiyos bo'yicha ikki guruh ko'rsatkichlarning aksariyatida farqlanmadi, aniqlangan har bir ahamiyatli farq esa kichik hajmda bo'ldi (|d| = 0,18–0,36). Ko'p sonli qiyoslar uchun tuzatishdan keyin faqat to'rttasi saqlanib qoldi. Bu asosiy natija bo'lib, ushbu sharoitda etnik stereotipni qanday nazariylashtirish kerakligini cheklaydi: stereotiplar ikki alohida ustanovka tizimini hosil qilmaydi, balki yagona tizim ichida urg'uni o'zgartiradi. Umumiy asosni guruhlarni birlashtiruvchi omillar yaxshi izohlaydi: turkiy til va folklor merosi, hanafiy-sunniy diniy amaliyot, ayollar ta'limi va bandligini standartlashtirgan sovet o'tmishi hamda Farg'ona vodiysidagi uch avlodlik hududiy yaqinlik va quda-andachilik.</w:t>
      </w:r>
    </w:p>
    <w:p>
      <w:pPr>
        <w:pStyle w:val="Heading3"/>
        <w:spacing w:before="240" w:after="120"/>
      </w:pPr>
      <w:r>
        <w:rPr>
          <w:rFonts w:ascii="Times New Roman" w:hAnsi="Times New Roman"/>
        </w:rPr>
        <w:t xml:space="preserve">5.2. Hissiy yaqinlik emas, tuzilma</w:t>
      </w:r>
    </w:p>
    <w:p>
      <w:pPr>
        <w:spacing w:line="360" w:lineRule="auto" w:after="120"/>
        <w:jc w:val="both"/>
      </w:pPr>
      <w:r>
        <w:rPr>
          <w:rFonts w:ascii="Times New Roman" w:hAnsi="Times New Roman"/>
        </w:rPr>
        <w:t xml:space="preserve">Guruhlar farqlangan o'rinlar izohlanuvchi andozaga ega. O'zbek respondentlar oilaviy munosabat chegarasi, oilaviy rollar, nazorat va liderlik bo'yicha yuqori natija ko'rsatdi. Circumplex modelida bu o'lchovlar hissiy iliqlikni emas, tuzilmaviy aniqlikni tavsiflaydi (Olson, 2000). Hissiy yaqinlik esa farqlanmadi. Demak, farqlovchi o'zgaruvchi oilalarning qanchalik yaqinligi emas, oila tizimining qanchalik aniq belgilanganidir: hokimiyat kimda, rollar qanday taqsimlangan va xonadon bilan keng qarindoshlik tarmog'i o'rtasidagi chegara qayerdan o'tadi.</w:t>
      </w:r>
    </w:p>
    <w:p>
      <w:pPr>
        <w:spacing w:line="360" w:lineRule="auto" w:after="120"/>
        <w:jc w:val="both"/>
      </w:pPr>
      <w:r>
        <w:rPr>
          <w:rFonts w:ascii="Times New Roman" w:hAnsi="Times New Roman"/>
        </w:rPr>
        <w:t xml:space="preserve">Bu o'troq-dehqonchilik xo'jaligi (barqaror makon hamda dehqonchilik va uy mehnatining qat'iy taqsimoti aniq rollarni qo'llab-quvvatlaydi) bilan ko'chmanchi-chorvachilik xo'jaligi (harakatchanlik vazifalarning egiluvchanroq taqsimlanishini talab qilgan) o'rtasidagi tarixiy tafovutga mos keladi. Bugungi respondentlar o'sha xo'jalik tarzidan uch-to'rt avlod uzoqlashgan, ammo normativ qoldiq ular tasvirlagan oila modellarida saqlanib qolganga o'xshaydi. Bu talqin ijtimoiy rollar nazariyasiga mos keladi (Eagly &amp; Wood, 1999), biroq tadqiqot dizayni uni bevosita tekshirish imkonini bermaydi.</w:t>
      </w:r>
    </w:p>
    <w:p>
      <w:pPr>
        <w:pStyle w:val="Heading3"/>
        <w:spacing w:before="240" w:after="120"/>
      </w:pPr>
      <w:r>
        <w:rPr>
          <w:rFonts w:ascii="Times New Roman" w:hAnsi="Times New Roman"/>
        </w:rPr>
        <w:t xml:space="preserve">5.3. Gender ustanovkalari va «patriarxal bitim»</w:t>
      </w:r>
    </w:p>
    <w:p>
      <w:pPr>
        <w:spacing w:line="360" w:lineRule="auto" w:after="120"/>
        <w:jc w:val="both"/>
      </w:pPr>
      <w:r>
        <w:rPr>
          <w:rFonts w:ascii="Times New Roman" w:hAnsi="Times New Roman"/>
        </w:rPr>
        <w:t xml:space="preserve">Genderga oid natijalar ehtiyotkorona talqinni talab qiladi. Feminin o'zlik har ikki guruhda modal bo'ldi, ayolga xos sifatlarning patriarxal to'plami ham har ikkisida eng ko'p tanlandi. Shu bilan birga, bu to'plam bo'yicha guruhlararo tafovut sezilarli edi (69,7% ga qarshi 53,4%; V = 0,20), qirg'iz respondentlar esa egalitar to'plamni ikki baravardan ko'proq ma'qulladi. Kandiyotining (1988) «patriarxal bitim» tushunchasi orqali o'qilganda, bu oddiy «an'anaviy–zamonaviy» tartib emas. Ayol hayot yo'li qat'iy belgilangan va unga rioya qilish xavfsizlik, vaqti kelib qaynona maqomi va jamoatdagi obro' bilan ishonchli mukofotlanadigan joyda bu ssenariyni ma'qullash ichki cheklov emas, oqilona strategiyadir (Glick &amp; Fiske, 1996). O'zbek respondentlarda patriarxal to'plamning ko'proq ma'qullanishi turmushga tayyorlikning yuqoriligi bilan birga keladi. Agar ssenariy shu guruhda ham aniqroq, ham ishonchliroq mukofotlansa, aynan shuni kutish kerak edi.</w:t>
      </w:r>
    </w:p>
    <w:p>
      <w:pPr>
        <w:pStyle w:val="Heading3"/>
        <w:spacing w:before="240" w:after="120"/>
      </w:pPr>
      <w:r>
        <w:rPr>
          <w:rFonts w:ascii="Times New Roman" w:hAnsi="Times New Roman"/>
        </w:rPr>
        <w:t xml:space="preserve">5.4. Tayyorlik va ustanovkalarning uzatilishi</w:t>
      </w:r>
    </w:p>
    <w:p>
      <w:pPr>
        <w:spacing w:line="360" w:lineRule="auto" w:after="120"/>
        <w:jc w:val="both"/>
      </w:pPr>
      <w:r>
        <w:rPr>
          <w:rFonts w:ascii="Times New Roman" w:hAnsi="Times New Roman"/>
        </w:rPr>
        <w:t xml:space="preserve">Tayyorlik bo'yicha natijalar ham shu tuzilmani takrorlaydi. O'zbek respondentlar turmushga chiqishga tayyorlik bo'yicha yuqori natija ko'rsatdi va so'rovnomaning baholash yo'nalishiga ko'ra onalik mas'uliyatiga tayyorlik ham ularda aniqroq shakllangan. Mutlaq qiymatlarda esa har ikki guruhda eng kam shakllangan tasavvurlar mustahkam oila qurishdagi ustuvorliklar va ayol roliga tayyorlik bo'ldi. Afzal ko'rilgan bilimlar mazmuni ham farqlandi: o'zbek respondentlar psixologik va huquqiy bilimni, qirg'iz respondentlar esa diniy va ma'naviy bilimni ustuvor qo'ydi. Bu oila barqarorligi degan yagona maqsadga olib boruvchi ikki xil epistemik yo'ldir.</w:t>
      </w:r>
    </w:p>
    <w:p>
      <w:pPr>
        <w:spacing w:line="360" w:lineRule="auto" w:after="120"/>
        <w:jc w:val="both"/>
      </w:pPr>
      <w:r>
        <w:rPr>
          <w:rFonts w:ascii="Times New Roman" w:hAnsi="Times New Roman"/>
        </w:rPr>
        <w:t xml:space="preserve">Maqollar bo'yicha ma'lumotlar Moskovichi (1988) tavsiflagan uzatish mexanizmini yaqqol ko'rsatadi. Eng yuqori ma'qullangan maqollar kundalik oilaviy nutqda eng ko'p qo'llanadiganlari bo'lib chiqdi, eng past oraliqdagilarini esa respondentlar kam eshitishini qayd etdi. Ma'qullash mafkuraviy pozitsiyaga emas, tanishlik darajasiga mos keldi. Bu ushbu ustanovkalar mulohaza orqali emas, takroriy ta'sir orqali o'zlashtirilib, Uznadze (1966) ma'nosidagi refleksiyadan oldingi moyillik sifatida mustahkamlanishini ko'rsatadi. Amaliy xulosa: faqat dalil va bahsga asoslangan tadbirlar bu ustanovkalarni o'zgartira olmaydi; shunga yaqin chastota va ijtimoiy obro'ga ega muqobil namunalar bilan tanishtirish zarur.</w:t>
      </w:r>
    </w:p>
    <w:p>
      <w:pPr>
        <w:spacing w:line="360" w:lineRule="auto" w:after="120"/>
        <w:jc w:val="both"/>
      </w:pPr>
      <w:r>
        <w:rPr>
          <w:rFonts w:ascii="Times New Roman" w:hAnsi="Times New Roman"/>
        </w:rPr>
        <w:t xml:space="preserve">Umumiy manzara Kag'itchibashi (2007) tavsiflagan avtonom-bog'langan «men»ga juda yaqin. Har ikki guruh respondentlari ta'limga yuqori intilish bildirdi, farg'onalik guruh esa kechroq turmush qurishni afzal ko'rdi. Shu bilan birga ular an'anaviy burchlarni ma'qulladi va ota-ona oilasi bilan zich aloqani saqlash istagini bildirdi. Moddiy o'zaro bog'liqlik susaymoqda, hissiy bog'liqlik esa susaymayapti. Bu ikkisini bitta shkalaning qarama-qarshi uchlariga qo'yadigan metodikalar mazkur guruhni tizimli ravishda noto'g'ri tavsiflaydi.</w:t>
      </w:r>
    </w:p>
    <w:p>
      <w:pPr>
        <w:pStyle w:val="Heading3"/>
        <w:spacing w:before="240" w:after="120"/>
      </w:pPr>
      <w:r>
        <w:rPr>
          <w:rFonts w:ascii="Times New Roman" w:hAnsi="Times New Roman"/>
        </w:rPr>
        <w:t xml:space="preserve">5.5. Tadqiqot cheklovlari</w:t>
      </w:r>
    </w:p>
    <w:p>
      <w:pPr>
        <w:pStyle w:val="ListParagraph"/>
        <w:numPr>
          <w:ilvl w:val="0"/>
          <w:numId w:val="4"/>
        </w:numPr>
        <w:spacing w:line="360" w:lineRule="auto" w:after="120"/>
      </w:pPr>
      <w:r>
        <w:rPr>
          <w:rFonts w:ascii="Times New Roman" w:hAnsi="Times New Roman"/>
        </w:rPr>
        <w:t xml:space="preserve">Etnik mansublik viloyat, universitet va fakultet bilan mos tushadi. Har bir etnik guruh bitta universitet va bitta fakultetdan jalb qilingan, shu sababli etnik va institutsional yoki hududiy ta'sirlarni ajratib bo'lmaydi.</w:t>
      </w:r>
    </w:p>
    <w:p>
      <w:pPr>
        <w:pStyle w:val="ListParagraph"/>
        <w:numPr>
          <w:ilvl w:val="0"/>
          <w:numId w:val="4"/>
        </w:numPr>
        <w:spacing w:line="360" w:lineRule="auto" w:after="120"/>
      </w:pPr>
      <w:r>
        <w:rPr>
          <w:rFonts w:ascii="Times New Roman" w:hAnsi="Times New Roman"/>
        </w:rPr>
        <w:t xml:space="preserve">Tanlanma qulaylik tamoyili asosida tuzilgan va faqat talaba qizlardan iborat; ular tengdoshlariga nisbatan ma'lumotliroq va shaharlashganroq bo'lishi mumkin. Natijalarni barcha o'zbek va qirg'iz qizlariga, yigitlarga yoki Qirg'izistonda yashovchi qirg'iz qizlariga umumlashtirib bo'lmaydi.</w:t>
      </w:r>
    </w:p>
    <w:p>
      <w:pPr>
        <w:pStyle w:val="ListParagraph"/>
        <w:numPr>
          <w:ilvl w:val="0"/>
          <w:numId w:val="4"/>
        </w:numPr>
        <w:spacing w:line="360" w:lineRule="auto" w:after="120"/>
      </w:pPr>
      <w:r>
        <w:rPr>
          <w:rFonts w:ascii="Times New Roman" w:hAnsi="Times New Roman"/>
        </w:rPr>
        <w:t xml:space="preserve">Bir qator metodikalar mualliflik yoki mintaqaviy testlar bo'lib, ularning ushbu tanlanmadagi psixometrik ko'rsatkichlari hali keltirilmagan. Ota-ona oilasi faoliyati retrospektiv va o'z-o'zini baholash orqali o'lchandi.</w:t>
      </w:r>
    </w:p>
    <w:p>
      <w:pPr>
        <w:pStyle w:val="ListParagraph"/>
        <w:numPr>
          <w:ilvl w:val="0"/>
          <w:numId w:val="4"/>
        </w:numPr>
        <w:spacing w:line="360" w:lineRule="auto" w:after="120"/>
      </w:pPr>
      <w:r>
        <w:rPr>
          <w:rFonts w:ascii="Times New Roman" w:hAnsi="Times New Roman"/>
        </w:rPr>
        <w:t xml:space="preserve">Kesimli dizayn nikohgacha shakllangan ustanovkalarning keyingi nikohdagi moslashuvni bashorat qilish-qilmasligini aniqlash imkonini bermaydi. Nikohdan keyingi longityud tadqiqot mantiqiy keyingi qadamdir.</w:t>
      </w:r>
    </w:p>
    <w:p>
      <w:pPr>
        <w:pStyle w:val="ListParagraph"/>
        <w:numPr>
          <w:ilvl w:val="0"/>
          <w:numId w:val="4"/>
        </w:numPr>
        <w:spacing w:line="360" w:lineRule="auto" w:after="120"/>
      </w:pPr>
      <w:r>
        <w:rPr>
          <w:rFonts w:ascii="Times New Roman" w:hAnsi="Times New Roman"/>
        </w:rPr>
        <w:t xml:space="preserve">Guruhlar shkalalar bo'yicha alohida qiyoslandi. Ko'p o'lchovli yondashuv (uyushganlik va egiluvchanlik shkalalari uchun MANOVA) hamda til variantlari bo'yicha o'lchov invariantligini tekshirish xulosalarni mustahkamlaydi.</w:t>
      </w:r>
    </w:p>
    <w:p>
      <w:pPr>
        <w:pStyle w:val="Heading2"/>
        <w:spacing w:before="240" w:after="120"/>
      </w:pPr>
      <w:r>
        <w:rPr>
          <w:rFonts w:ascii="Times New Roman" w:hAnsi="Times New Roman"/>
        </w:rPr>
        <w:t xml:space="preserve">6. Xulosa</w:t>
      </w:r>
    </w:p>
    <w:p>
      <w:pPr>
        <w:spacing w:line="360" w:lineRule="auto" w:after="120"/>
        <w:jc w:val="both"/>
      </w:pPr>
      <w:r>
        <w:rPr>
          <w:rFonts w:ascii="Times New Roman" w:hAnsi="Times New Roman"/>
        </w:rPr>
        <w:t xml:space="preserve">Mazkur tadqiqotda Farg'ona vodiysidagi 529 nafar o'zbek va qirg'iz qizida etnik stereotiplar, psixologik ustanovkalar va oilaviy hayotga tayyorlik qiyoslandi. Ikki guruh sezilarli darajada o'xshash chiqdi: ko'rsatkichlarning aksariyati bo'yicha farq bo'lmadi, aniqlangan barcha ahamiyatli farqlar esa kichik hajmda bo'ldi. Tafovut oila faoliyatining tuzilmaviy o'lchovlarida (chegaralar, rollar taqsimoti, liderlik va nazorat) hamda oila uchun maqbul sifatlarning patriarxal va egalitar talqinini nisbiy ma'qullashda to'plandi. Birinchisida o'zbek, ikkinchisining egalitar tomonida qirg'iz respondentlar yuqori ko'rsatkich berdi. Har ikki guruhda feminin gender o'zligi ustun bo'ldi, maqollar orqali uzatiladigan an'anaviy ustanovkalar esa har ikkisida mustahkam o'rnashgan.</w:t>
      </w:r>
    </w:p>
    <w:p>
      <w:pPr>
        <w:spacing w:line="360" w:lineRule="auto" w:after="120"/>
        <w:jc w:val="both"/>
      </w:pPr>
      <w:r>
        <w:rPr>
          <w:rFonts w:ascii="Times New Roman" w:hAnsi="Times New Roman"/>
        </w:rPr>
        <w:t xml:space="preserve">Ushbu sharoitda etnik stereotiplarni belgilovchi emas, farqlovchi omil sifatida tushunish to'g'riroq. Ular oilaviy rolning qaysi tarkibiy qismi eng dolzarb va eng tayyor deb his qilinishini o'zgartiradi, ammo alohida ustanovka tizimlarini hosil qilmaydi. Nikohgacha tayyorlov dasturlari uchun xulosa: umumiy mazmun o'rinli, unga rollarni kelishish va chegaralarni boshqarish bo'yicha maqsadli modullar qo'shilishi lozim. Har ikki guruhda kuzatilgan mustahkam oila qurishdagi ustuvorliklar va ayol roli haqidagi nisbatan kam shakllangan tasavvurlar guruhlararo farqlardan ko'ra ko'proq e'tiborga loyiq.</w:t>
      </w:r>
    </w:p>
    <w:p>
      <w:pPr>
        <w:pStyle w:val="Heading2"/>
        <w:spacing w:before="240" w:after="120"/>
      </w:pPr>
      <w:r>
        <w:rPr>
          <w:rFonts w:ascii="Times New Roman" w:hAnsi="Times New Roman"/>
        </w:rPr>
        <w:t xml:space="preserve">Qo'shimcha ma'lumotlar</w:t>
      </w:r>
    </w:p>
    <w:p>
      <w:pPr>
        <w:spacing w:line="360" w:lineRule="auto" w:after="120"/>
        <w:jc w:val="both"/>
      </w:pPr>
      <w:r>
        <w:rPr>
          <w:rFonts w:ascii="Times New Roman" w:hAnsi="Times New Roman"/>
          <w:b/>
        </w:rPr>
        <w:t xml:space="preserve">Moliyalashtirish:</w:t>
      </w:r>
      <w:r>
        <w:rPr>
          <w:rFonts w:ascii="Times New Roman" w:hAnsi="Times New Roman"/>
        </w:rPr>
        <w:t xml:space="preserve"> [to'ldirilsin.] </w:t>
      </w:r>
      <w:r>
        <w:rPr>
          <w:rFonts w:ascii="Times New Roman" w:hAnsi="Times New Roman"/>
          <w:b/>
        </w:rPr>
        <w:t xml:space="preserve">Manfaatlar to'qnashuvi:</w:t>
      </w:r>
      <w:r>
        <w:rPr>
          <w:rFonts w:ascii="Times New Roman" w:hAnsi="Times New Roman"/>
        </w:rPr>
        <w:t xml:space="preserve"> mualliflar manfaatlar to'qnashuvi yo'qligini ma'lum qiladi. </w:t>
      </w:r>
      <w:r>
        <w:rPr>
          <w:rFonts w:ascii="Times New Roman" w:hAnsi="Times New Roman"/>
          <w:b/>
        </w:rPr>
        <w:t xml:space="preserve">Ma'lumotlarning mavjudligi:</w:t>
      </w:r>
      <w:r>
        <w:rPr>
          <w:rFonts w:ascii="Times New Roman" w:hAnsi="Times New Roman"/>
        </w:rPr>
        <w:t xml:space="preserve"> [to'ldirilsin, masalan: ma'lumotlar asosli so'rov bo'yicha mas'ul muallifdan olinishi mumkin.] </w:t>
      </w:r>
      <w:r>
        <w:rPr>
          <w:rFonts w:ascii="Times New Roman" w:hAnsi="Times New Roman"/>
          <w:b/>
        </w:rPr>
        <w:t xml:space="preserve">Mualliflar hissasi (CRediT):</w:t>
      </w:r>
      <w:r>
        <w:rPr>
          <w:rFonts w:ascii="Times New Roman" w:hAnsi="Times New Roman"/>
        </w:rPr>
        <w:t xml:space="preserve"> [to'ldirilsin.]</w:t>
      </w:r>
    </w:p>
    <w:p>
      <w:pPr>
        <w:pStyle w:val="Heading2"/>
        <w:spacing w:before="240" w:after="120"/>
      </w:pPr>
      <w:r>
        <w:rPr>
          <w:rFonts w:ascii="Times New Roman" w:hAnsi="Times New Roman"/>
        </w:rPr>
        <w:t xml:space="preserve">Adabiyotlar ro'yxati</w:t>
      </w:r>
    </w:p>
    <w:p>
      <w:pPr>
        <w:spacing w:line="360" w:lineRule="auto" w:after="120"/>
      </w:pPr>
      <w:r>
        <w:rPr>
          <w:rFonts w:ascii="Times New Roman" w:hAnsi="Times New Roman"/>
        </w:rPr>
        <w:t xml:space="preserve">Ajzen, I. (1991). The theory of planned behavior. </w:t>
      </w:r>
      <w:r>
        <w:rPr>
          <w:rFonts w:ascii="Times New Roman" w:hAnsi="Times New Roman"/>
          <w:i/>
        </w:rPr>
        <w:t xml:space="preserve">Organizational Behavior and Human Decision Processes, 50</w:t>
      </w:r>
      <w:r>
        <w:rPr>
          <w:rFonts w:ascii="Times New Roman" w:hAnsi="Times New Roman"/>
        </w:rPr>
        <w:t xml:space="preserve">(2), 179–211. https://doi.org/10.1016/0749-5978(91)90020-T</w:t>
      </w:r>
    </w:p>
    <w:p>
      <w:pPr>
        <w:spacing w:line="360" w:lineRule="auto" w:after="120"/>
      </w:pPr>
      <w:r>
        <w:rPr>
          <w:rFonts w:ascii="Times New Roman" w:hAnsi="Times New Roman"/>
        </w:rPr>
        <w:t xml:space="preserve">Allport, G. W. (1954). </w:t>
      </w:r>
      <w:r>
        <w:rPr>
          <w:rFonts w:ascii="Times New Roman" w:hAnsi="Times New Roman"/>
          <w:i/>
        </w:rPr>
        <w:t xml:space="preserve">The nature of prejudice</w:t>
      </w:r>
      <w:r>
        <w:rPr>
          <w:rFonts w:ascii="Times New Roman" w:hAnsi="Times New Roman"/>
        </w:rPr>
        <w:t xml:space="preserve">. Addison-Wesley.</w:t>
      </w:r>
    </w:p>
    <w:p>
      <w:pPr>
        <w:spacing w:line="360" w:lineRule="auto" w:after="120"/>
      </w:pPr>
      <w:r>
        <w:rPr>
          <w:rFonts w:ascii="Times New Roman" w:hAnsi="Times New Roman"/>
        </w:rPr>
        <w:t xml:space="preserve">Bem, S. L. (1974). The measurement of psychological androgyny. </w:t>
      </w:r>
      <w:r>
        <w:rPr>
          <w:rFonts w:ascii="Times New Roman" w:hAnsi="Times New Roman"/>
          <w:i/>
        </w:rPr>
        <w:t xml:space="preserve">Journal of Consulting and Clinical Psychology, 42</w:t>
      </w:r>
      <w:r>
        <w:rPr>
          <w:rFonts w:ascii="Times New Roman" w:hAnsi="Times New Roman"/>
        </w:rPr>
        <w:t xml:space="preserve">(2), 155–162. https://doi.org/10.1037/h0036215</w:t>
      </w:r>
    </w:p>
    <w:p>
      <w:pPr>
        <w:spacing w:line="360" w:lineRule="auto" w:after="120"/>
      </w:pPr>
      <w:r>
        <w:rPr>
          <w:rFonts w:ascii="Times New Roman" w:hAnsi="Times New Roman"/>
        </w:rPr>
        <w:t xml:space="preserve">Berry, J. W., Poortinga, Y. H., Breugelmans, S. M., Chasiotis, A., &amp; Sam, D. L. (2011). </w:t>
      </w:r>
      <w:r>
        <w:rPr>
          <w:rFonts w:ascii="Times New Roman" w:hAnsi="Times New Roman"/>
          <w:i/>
        </w:rPr>
        <w:t xml:space="preserve">Cross-cultural psychology: Research and applications</w:t>
      </w:r>
      <w:r>
        <w:rPr>
          <w:rFonts w:ascii="Times New Roman" w:hAnsi="Times New Roman"/>
        </w:rPr>
        <w:t xml:space="preserve"> (3rd ed.). Cambridge University Press.</w:t>
      </w:r>
    </w:p>
    <w:p>
      <w:pPr>
        <w:spacing w:line="360" w:lineRule="auto" w:after="120"/>
        <w:jc w:val="both"/>
      </w:pPr>
      <w:r>
        <w:rPr>
          <w:rFonts w:ascii="Times New Roman" w:hAnsi="Times New Roman"/>
        </w:rPr>
        <w:t xml:space="preserve">Eagly, A. H., &amp; Wood, W. (1999). The origins of sex differences in human behavior: Evolved dispositions versus social roles. </w:t>
      </w:r>
      <w:r>
        <w:rPr>
          <w:rFonts w:ascii="Times New Roman" w:hAnsi="Times New Roman"/>
          <w:i/>
        </w:rPr>
        <w:t xml:space="preserve">American Psychologist, 54</w:t>
      </w:r>
      <w:r>
        <w:rPr>
          <w:rFonts w:ascii="Times New Roman" w:hAnsi="Times New Roman"/>
        </w:rPr>
        <w:t xml:space="preserve">(6), 408–423. https://doi.org/10.1037/0003-066X.54.6.408</w:t>
      </w:r>
    </w:p>
    <w:p>
      <w:pPr>
        <w:spacing w:line="360" w:lineRule="auto" w:after="120"/>
      </w:pPr>
      <w:r>
        <w:rPr>
          <w:rFonts w:ascii="Times New Roman" w:hAnsi="Times New Roman"/>
        </w:rPr>
        <w:t xml:space="preserve">Fishbein, M., &amp; Ajzen, I. (1975). </w:t>
      </w:r>
      <w:r>
        <w:rPr>
          <w:rFonts w:ascii="Times New Roman" w:hAnsi="Times New Roman"/>
          <w:i/>
        </w:rPr>
        <w:t xml:space="preserve">Belief, attitude, intention and behavior: An introduction to theory and research</w:t>
      </w:r>
      <w:r>
        <w:rPr>
          <w:rFonts w:ascii="Times New Roman" w:hAnsi="Times New Roman"/>
        </w:rPr>
        <w:t xml:space="preserve">. Addison-Wesley.</w:t>
      </w:r>
    </w:p>
    <w:p>
      <w:pPr>
        <w:spacing w:line="360" w:lineRule="auto" w:after="120"/>
        <w:jc w:val="both"/>
      </w:pPr>
      <w:r>
        <w:rPr>
          <w:rFonts w:ascii="Times New Roman" w:hAnsi="Times New Roman"/>
        </w:rPr>
        <w:t xml:space="preserve">Glick, P., &amp; Fiske, S. T. (1996). The Ambivalent Sexism Inventory: Differentiating hostile and benevolent sexism. </w:t>
      </w:r>
      <w:r>
        <w:rPr>
          <w:rFonts w:ascii="Times New Roman" w:hAnsi="Times New Roman"/>
          <w:i/>
        </w:rPr>
        <w:t xml:space="preserve">Journal of Personality and Social Psychology, 70</w:t>
      </w:r>
      <w:r>
        <w:rPr>
          <w:rFonts w:ascii="Times New Roman" w:hAnsi="Times New Roman"/>
        </w:rPr>
        <w:t xml:space="preserve">(3), 491–512. https://doi.org/10.1037/0022-3514.70.3.491</w:t>
      </w:r>
    </w:p>
    <w:p>
      <w:pPr>
        <w:spacing w:line="360" w:lineRule="auto" w:after="120"/>
      </w:pPr>
      <w:r>
        <w:rPr>
          <w:rFonts w:ascii="Times New Roman" w:hAnsi="Times New Roman"/>
        </w:rPr>
        <w:t xml:space="preserve">Hofstede, G. (2001). </w:t>
      </w:r>
      <w:r>
        <w:rPr>
          <w:rFonts w:ascii="Times New Roman" w:hAnsi="Times New Roman"/>
          <w:i/>
        </w:rPr>
        <w:t xml:space="preserve">Culture's consequences: Comparing values, behaviors, institutions and organizations across nations</w:t>
      </w:r>
      <w:r>
        <w:rPr>
          <w:rFonts w:ascii="Times New Roman" w:hAnsi="Times New Roman"/>
        </w:rPr>
        <w:t xml:space="preserve"> (2nd ed.). Sage.</w:t>
      </w:r>
    </w:p>
    <w:p>
      <w:pPr>
        <w:spacing w:line="360" w:lineRule="auto" w:after="120"/>
      </w:pPr>
      <w:r>
        <w:rPr>
          <w:rFonts w:ascii="Times New Roman" w:hAnsi="Times New Roman"/>
        </w:rPr>
        <w:t xml:space="preserve">Inglehart, R., &amp; Norris, P. (2003). </w:t>
      </w:r>
      <w:r>
        <w:rPr>
          <w:rFonts w:ascii="Times New Roman" w:hAnsi="Times New Roman"/>
          <w:i/>
        </w:rPr>
        <w:t xml:space="preserve">Rising tide: Gender equality and cultural change around the world</w:t>
      </w:r>
      <w:r>
        <w:rPr>
          <w:rFonts w:ascii="Times New Roman" w:hAnsi="Times New Roman"/>
        </w:rPr>
        <w:t xml:space="preserve">. Cambridge University Press.</w:t>
      </w:r>
    </w:p>
    <w:p>
      <w:pPr>
        <w:spacing w:line="360" w:lineRule="auto" w:after="120"/>
      </w:pPr>
      <w:r>
        <w:rPr>
          <w:rFonts w:ascii="Times New Roman" w:hAnsi="Times New Roman"/>
        </w:rPr>
        <w:t xml:space="preserve">Kağıtçıbaşı, Ç. (2007). </w:t>
      </w:r>
      <w:r>
        <w:rPr>
          <w:rFonts w:ascii="Times New Roman" w:hAnsi="Times New Roman"/>
          <w:i/>
        </w:rPr>
        <w:t xml:space="preserve">Family, self, and human development across cultures: Theory and applications</w:t>
      </w:r>
      <w:r>
        <w:rPr>
          <w:rFonts w:ascii="Times New Roman" w:hAnsi="Times New Roman"/>
        </w:rPr>
        <w:t xml:space="preserve"> (2nd ed.). Lawrence Erlbaum.</w:t>
      </w:r>
    </w:p>
    <w:p>
      <w:pPr>
        <w:spacing w:line="360" w:lineRule="auto" w:after="120"/>
      </w:pPr>
      <w:r>
        <w:rPr>
          <w:rFonts w:ascii="Times New Roman" w:hAnsi="Times New Roman"/>
        </w:rPr>
        <w:t xml:space="preserve">Kandiyoti, D. (1988). Bargaining with patriarchy. </w:t>
      </w:r>
      <w:r>
        <w:rPr>
          <w:rFonts w:ascii="Times New Roman" w:hAnsi="Times New Roman"/>
          <w:i/>
        </w:rPr>
        <w:t xml:space="preserve">Gender &amp; Society, 2</w:t>
      </w:r>
      <w:r>
        <w:rPr>
          <w:rFonts w:ascii="Times New Roman" w:hAnsi="Times New Roman"/>
        </w:rPr>
        <w:t xml:space="preserve">(3), 274–290. https://doi.org/10.1177/089124388002003004</w:t>
      </w:r>
    </w:p>
    <w:p>
      <w:pPr>
        <w:spacing w:line="360" w:lineRule="auto" w:after="120"/>
      </w:pPr>
      <w:r>
        <w:rPr>
          <w:rFonts w:ascii="Times New Roman" w:hAnsi="Times New Roman"/>
        </w:rPr>
        <w:t xml:space="preserve">Moscovici, S. (1988). Notes towards a description of social representations. </w:t>
      </w:r>
      <w:r>
        <w:rPr>
          <w:rFonts w:ascii="Times New Roman" w:hAnsi="Times New Roman"/>
          <w:i/>
        </w:rPr>
        <w:t xml:space="preserve">European Journal of Social Psychology, 18</w:t>
      </w:r>
      <w:r>
        <w:rPr>
          <w:rFonts w:ascii="Times New Roman" w:hAnsi="Times New Roman"/>
        </w:rPr>
        <w:t xml:space="preserve">(3), 211–250. https://doi.org/10.1002/ejsp.2420180303</w:t>
      </w:r>
    </w:p>
    <w:p>
      <w:pPr>
        <w:spacing w:line="360" w:lineRule="auto" w:after="120"/>
      </w:pPr>
      <w:r>
        <w:rPr>
          <w:rFonts w:ascii="Times New Roman" w:hAnsi="Times New Roman"/>
        </w:rPr>
        <w:t xml:space="preserve">Olson, D. H. (2000). Circumplex Model of Marital and Family Systems. </w:t>
      </w:r>
      <w:r>
        <w:rPr>
          <w:rFonts w:ascii="Times New Roman" w:hAnsi="Times New Roman"/>
          <w:i/>
        </w:rPr>
        <w:t xml:space="preserve">Journal of Family Therapy, 22</w:t>
      </w:r>
      <w:r>
        <w:rPr>
          <w:rFonts w:ascii="Times New Roman" w:hAnsi="Times New Roman"/>
        </w:rPr>
        <w:t xml:space="preserve">(2), 144–167. https://doi.org/10.1111/1467-6427.00144</w:t>
      </w:r>
    </w:p>
    <w:p>
      <w:pPr>
        <w:spacing w:line="360" w:lineRule="auto" w:after="120"/>
      </w:pPr>
      <w:r>
        <w:rPr>
          <w:rFonts w:ascii="Times New Roman" w:hAnsi="Times New Roman"/>
        </w:rPr>
        <w:t xml:space="preserve">Olson, D. H. (2011). FACES IV and the Circumplex Model: Validation study. </w:t>
      </w:r>
      <w:r>
        <w:rPr>
          <w:rFonts w:ascii="Times New Roman" w:hAnsi="Times New Roman"/>
          <w:i/>
        </w:rPr>
        <w:t xml:space="preserve">Journal of Marital and Family Therapy, 37</w:t>
      </w:r>
      <w:r>
        <w:rPr>
          <w:rFonts w:ascii="Times New Roman" w:hAnsi="Times New Roman"/>
        </w:rPr>
        <w:t xml:space="preserve">(1), 64–80. https://doi.org/10.1111/j.1752-0606.2009.00175.x</w:t>
      </w:r>
    </w:p>
    <w:p>
      <w:pPr>
        <w:spacing w:line="360" w:lineRule="auto" w:after="120"/>
      </w:pPr>
      <w:r>
        <w:rPr>
          <w:rFonts w:ascii="Times New Roman" w:hAnsi="Times New Roman"/>
        </w:rPr>
        <w:t xml:space="preserve">Tajfel, H., &amp; Turner, J. C. (1979). An integrative theory of intergroup conflict. In W. G. Austin &amp; S. Worchel (Eds.), </w:t>
      </w:r>
      <w:r>
        <w:rPr>
          <w:rFonts w:ascii="Times New Roman" w:hAnsi="Times New Roman"/>
          <w:i/>
        </w:rPr>
        <w:t xml:space="preserve">The social psychology of intergroup relations</w:t>
      </w:r>
      <w:r>
        <w:rPr>
          <w:rFonts w:ascii="Times New Roman" w:hAnsi="Times New Roman"/>
        </w:rPr>
        <w:t xml:space="preserve"> (pp. 33–47). Brooks/Cole.</w:t>
      </w:r>
    </w:p>
    <w:p>
      <w:pPr>
        <w:spacing w:line="360" w:lineRule="auto" w:after="120"/>
      </w:pPr>
      <w:r>
        <w:rPr>
          <w:rFonts w:ascii="Times New Roman" w:hAnsi="Times New Roman"/>
        </w:rPr>
        <w:t xml:space="preserve">Uznadze, D. N. (1966). </w:t>
      </w:r>
      <w:r>
        <w:rPr>
          <w:rFonts w:ascii="Times New Roman" w:hAnsi="Times New Roman"/>
          <w:i/>
        </w:rPr>
        <w:t xml:space="preserve">The psychology of set</w:t>
      </w:r>
      <w:r>
        <w:rPr>
          <w:rFonts w:ascii="Times New Roman" w:hAnsi="Times New Roman"/>
        </w:rPr>
        <w:t xml:space="preserve">. Consultants Bureau.</w:t>
      </w:r>
    </w:p>
    <w:p>
      <w:pPr>
        <w:spacing w:line="360" w:lineRule="auto" w:after="120"/>
        <w:jc w:val="both"/>
      </w:pPr>
      <w:r>
        <w:rPr>
          <w:rFonts w:ascii="Times New Roman" w:hAnsi="Times New Roman"/>
        </w:rPr>
        <w:t xml:space="preserve">[Metodikada tilga olingan mintaqaviy manbalarni qo'shing: Shoumarov (nikohga tayyorlikning ikki testi), Karimova (juftli taqqoslash metodikasi), Eydemiller, Dobryakov va Nikolskaya (FACES-III moslashtirilishi), shuningdek, matnda iqtibos keltirilgan bo'lsa, Akramova va Rasulova. Ularni jurnal uslubida transliteratsiya qilib, sarlavhaning inglizcha tarjimasini kvadrat qavsda bering. Kirishda tilga olingan 2018-yildan keyingi oila siyosatiga oid hujjatlarni ham qo'shing. Scopus psixologiya jurnallarining aksariyati 30–50 ta manbani, jumladan, Markaziy Osiyo oilalariga oid so'nggi (2019–2025) tadqiqotlarni kutadi; yuqoridagi DOI'larni tekshiring.]</w:t>
      </w:r>
    </w:p>
    <w:sectPr>
      <w:footerReference w:type="default" r:id="rId3"/>
      <w:pgSz w:w="11906" w:h="16838"/>
      <w:pgMar w:top="1417" w:right="1417" w:bottom="1417" w:left="1417" w:header="720" w:footer="720" w:gutter="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rPr>
      <w:rFonts w:ascii="Times New Roman" w:hAnsi="Times New Roman" w:cs="Times New Roman" w:eastAsia="Times New Roman"/>
      <w:color w:val="000000"/>
      <w:sz w:val="24"/>
    </w:rPr>
  </w:style>
  <w:style w:type="paragraph" w:styleId="Heading1">
    <w:name w:val="heading 1"/>
    <w:basedOn w:val="Normal"/>
    <w:next w:val="Normal"/>
    <w:qFormat/>
    <w:pPr>
      <w:keepNext/>
      <w:spacing w:before="360" w:after="120"/>
      <w:outlineLvl w:val="0"/>
    </w:pPr>
    <w:rPr>
      <w:rFonts w:ascii="Times New Roman" w:hAnsi="Times New Roman" w:cs="Times New Roman" w:eastAsia="Times New Roman"/>
      <w:b/>
      <w:color w:val="000000"/>
      <w:sz w:val="28"/>
    </w:rPr>
  </w:style>
  <w:style w:type="paragraph" w:styleId="Heading2">
    <w:name w:val="heading 2"/>
    <w:basedOn w:val="Normal"/>
    <w:next w:val="Normal"/>
    <w:qFormat/>
    <w:pPr>
      <w:keepNext/>
      <w:spacing w:before="280" w:after="100"/>
      <w:outlineLvl w:val="1"/>
    </w:pPr>
    <w:rPr>
      <w:rFonts w:ascii="Times New Roman" w:hAnsi="Times New Roman" w:cs="Times New Roman" w:eastAsia="Times New Roman"/>
      <w:b/>
      <w:color w:val="000000"/>
      <w:sz w:val="26"/>
    </w:rPr>
  </w:style>
  <w:style w:type="paragraph" w:styleId="Heading3">
    <w:name w:val="heading 3"/>
    <w:basedOn w:val="Normal"/>
    <w:next w:val="Normal"/>
    <w:qFormat/>
    <w:pPr>
      <w:keepNext/>
      <w:spacing w:before="240" w:after="80"/>
      <w:outlineLvl w:val="2"/>
    </w:pPr>
    <w:rPr>
      <w:rFonts w:ascii="Times New Roman" w:hAnsi="Times New Roman" w:cs="Times New Roman" w:eastAsia="Times New Roman"/>
      <w:b/>
      <w:color w:val="000000"/>
      <w:sz w:val="24"/>
    </w:rPr>
  </w:style>
  <w:style w:type="paragraph" w:styleId="Heading4">
    <w:name w:val="heading 4"/>
    <w:basedOn w:val="Normal"/>
    <w:next w:val="Normal"/>
    <w:qFormat/>
    <w:pPr>
      <w:keepNext/>
      <w:outlineLvl w:val="3"/>
    </w:pPr>
    <w:rPr>
      <w:rFonts w:ascii="Times New Roman" w:hAnsi="Times New Roman" w:cs="Times New Roman" w:eastAsia="Times New Roman"/>
      <w:b/>
      <w:color w:val="000000"/>
      <w:sz w:val="22"/>
    </w:rPr>
  </w:style>
  <w:style w:type="paragraph" w:styleId="Heading5">
    <w:name w:val="heading 5"/>
    <w:basedOn w:val="Normal"/>
    <w:next w:val="Normal"/>
    <w:qFormat/>
    <w:pPr>
      <w:keepNext/>
      <w:outlineLvl w:val="4"/>
    </w:pPr>
    <w:rPr>
      <w:rFonts w:ascii="Times New Roman" w:hAnsi="Times New Roman" w:cs="Times New Roman" w:eastAsia="Times New Roman"/>
      <w:b/>
      <w:color w:val="000000"/>
      <w:sz w:val="22"/>
    </w:rPr>
  </w:style>
  <w:style w:type="paragraph" w:styleId="Heading6">
    <w:name w:val="heading 6"/>
    <w:basedOn w:val="Normal"/>
    <w:next w:val="Normal"/>
    <w:qFormat/>
    <w:pPr>
      <w:keepNext/>
      <w:outlineLvl w:val="5"/>
    </w:pPr>
    <w:rPr>
      <w:rFonts w:ascii="Times New Roman" w:hAnsi="Times New Roman" w:cs="Times New Roman" w:eastAsia="Times New Roman"/>
      <w:i/>
      <w:color w:val="000000"/>
      <w:sz w:val="22"/>
    </w:rPr>
  </w:style>
  <w:style w:type="paragraph" w:styleId="Title">
    <w:name w:val="Title"/>
    <w:basedOn w:val="Normal"/>
    <w:next w:val="Normal"/>
    <w:qFormat/>
    <w:pPr>
      <w:spacing w:after="80"/>
      <w:contextualSpacing/>
    </w:pPr>
    <w:rPr>
      <w:rFonts w:ascii="Times New Roman" w:hAnsi="Times New Roman" w:cs="Times New Roman" w:eastAsia="Times New Roman"/>
      <w:color w:val="000000"/>
      <w:sz w:val="56"/>
    </w:rPr>
  </w:style>
  <w:style w:type="paragraph" w:styleId="Quote">
    <w:name w:val="Quote"/>
    <w:basedOn w:val="Normal"/>
    <w:qFormat/>
    <w:pPr>
      <w:ind w:left="720" w:right="720"/>
      <w:pBdr>
        <w:left w:val="single" w:sz="12" w:space="8" w:color="A0A0A0"/>
      </w:pBdr>
    </w:pPr>
    <w:rPr>
      <w:rFonts w:ascii="Times New Roman" w:hAnsi="Times New Roman" w:cs="Times New Roman" w:eastAsia="Times New Roman"/>
      <w:i/>
      <w:color w:val="000000"/>
    </w:rPr>
  </w:style>
  <w:style w:type="paragraph" w:styleId="Code">
    <w:name w:val="Code"/>
    <w:basedOn w:val="Normal"/>
    <w:link w:val="CodeChar"/>
    <w:pPr>
      <w:spacing w:after="0" w:line="240" w:lineRule="auto"/>
      <w:contextualSpacing/>
      <w:shd w:val="clear" w:color="auto" w:fill="F5F5F5"/>
    </w:pPr>
    <w:rPr>
      <w:rFonts w:ascii="Times New Roman" w:hAnsi="Times New Roman" w:eastAsia="Times New Roman" w:cs="Times New Roman"/>
      <w:color w:val="000000"/>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rPr>
      <w:rFonts w:ascii="Times New Roman" w:hAnsi="Times New Roman" w:cs="Times New Roman" w:eastAsia="Times New Roman"/>
      <w:color w:val="000000"/>
    </w:r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rFonts w:ascii="Times New Roman" w:hAnsi="Times New Roman" w:cs="Times New Roman" w:eastAsia="Times New Roman"/>
      <w:color w:val="000000"/>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Etnik stereotiplar — Scopus uchun maqola</dc:title>
  <dc:description>Claude Docs node/cbb32593-05df@16 docx-w6</dc:description>
  <cp:revision>16</cp:revision>
</cp:coreProperties>
</file>