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1F4E79"/>
          <w:sz w:val="32"/>
        </w:rPr>
        <w:t>TABIATNI ASRASH</w:t>
      </w:r>
    </w:p>
    <w:p>
      <w:pPr>
        <w:spacing w:after="160"/>
        <w:jc w:val="center"/>
      </w:pPr>
      <w:r>
        <w:rPr>
          <w:rFonts w:ascii="Times New Roman" w:hAnsi="Times New Roman" w:eastAsia="Times New Roman"/>
          <w:i/>
          <w:color w:val="5A5A5A"/>
          <w:sz w:val="20"/>
        </w:rPr>
        <w:t>7-8-sinflar uchun 250 so'zga yaqin matn va murakkab jadval</w:t>
      </w:r>
    </w:p>
    <w:p>
      <w:pPr>
        <w:spacing w:line="259" w:lineRule="auto" w:after="60"/>
        <w:ind w:firstLine="425"/>
        <w:jc w:val="both"/>
      </w:pPr>
      <w:r>
        <w:t>Tabiatni asrash bugungi kunda har bir insonning muhim burchi hisoblanadi. Ayniqsa, 7-8-sinf o'quvchilari tabiatni muhofaza qilishning mazmuni va ahamiyatini chuqurroq anglab borishlari kerak. Chunki inson hayoti havo, suv, tuproq, o'simliklar, hayvonot dunyosi va iqlim bilan chambarchas bog'liq.</w:t>
      </w:r>
    </w:p>
    <w:p>
      <w:pPr>
        <w:spacing w:line="259" w:lineRule="auto" w:after="60"/>
        <w:ind w:firstLine="425"/>
        <w:jc w:val="both"/>
      </w:pPr>
      <w:r>
        <w:t>Atrof-muhit ifloslansa, bu nafaqat tabiatga, balki inson salomatligi, ichimlik suvi sifati va jamiyat taraqqiyotiga ham zarar yetkazadi. Tabiatni asrash kundalik odatlardan boshlanadi: suvni tejash, elektr energiyasidan oqilona foydalanish, qog'ozni bekorga sarflamaslik va chiqindilarni saralab tashlash ekologik mas'uliyatning muhim ko'rinishidir.</w:t>
      </w:r>
    </w:p>
    <w:p>
      <w:pPr>
        <w:spacing w:line="259" w:lineRule="auto" w:after="60"/>
        <w:ind w:firstLine="425"/>
        <w:jc w:val="both"/>
      </w:pPr>
      <w:r>
        <w:t>Plastik buyumlardan kamroq foydalanish, qayta ishlanadigan mahsulotlarni tanlash hamda keraksiz narsalarni takror ishlatish tabiatga bo'lgan ongli munosabatni namoyon etadi. Daraxt ekish, ko'chatlarni parvarish qilish, gullarni yulmaslik, qushlarga ozor bermaslik va hayvonlarning yashash muhitini buzmaslik har bir o'quvchi amal qilishi kerak bo'lgan odatlardandir.</w:t>
      </w:r>
    </w:p>
    <w:p>
      <w:pPr>
        <w:spacing w:line="259" w:lineRule="auto" w:after="60"/>
        <w:ind w:firstLine="425"/>
        <w:jc w:val="both"/>
      </w:pPr>
      <w:r>
        <w:t>Maktabda ekologik tadbirlar o'tkazish o'quvchilarda jamoaviy mas'uliyatni shakllantiradi. Sinf bo'lib hududni tozalash, ko'chat ekish aksiyalarida qatnashish yoki ekologik devoriy gazeta chiqarish orqali bolalar amaliy hissa qo'shadilar. Shuni unutmaslik kerakki, tabiat - umumiy boyligimiz. Uni asrash bilan biz o'z sog'lig'imizni, yurtimiz go'zalligini va kelajak avlod uchun qulay hayot muhitini saqlab qolamiz.</w:t>
      </w:r>
    </w:p>
    <w:p>
      <w:pPr>
        <w:spacing w:before="60" w:after="80"/>
      </w:pPr>
      <w:r>
        <w:rPr>
          <w:rFonts w:ascii="Times New Roman" w:hAnsi="Times New Roman" w:eastAsia="Times New Roman"/>
          <w:b/>
          <w:color w:val="1F4E79"/>
          <w:sz w:val="22"/>
        </w:rPr>
        <w:t>Tabiatni asrash bo'yicha kengaytirilgan ish rejasi</w:t>
      </w:r>
    </w:p>
    <w:tbl>
      <w:tblPr>
        <w:tblStyle w:val="TableGrid"/>
        <w:tblW w:type="auto" w:w="0"/>
        <w:jc w:val="center"/>
        <w:tblLook w:firstColumn="1" w:firstRow="1" w:lastColumn="0" w:lastRow="0" w:noHBand="0" w:noVBand="1" w:val="04A0"/>
        <w:tblBorders>
          <w:top w:val="single" w:sz="8" w:space="0" w:color="6E7F91"/>
          <w:left w:val="single" w:sz="8" w:space="0" w:color="6E7F91"/>
          <w:bottom w:val="single" w:sz="8" w:space="0" w:color="6E7F91"/>
          <w:right w:val="single" w:sz="8" w:space="0" w:color="6E7F91"/>
          <w:insideH w:val="single" w:sz="8" w:space="0" w:color="6E7F91"/>
          <w:insideV w:val="single" w:sz="8" w:space="0" w:color="6E7F91"/>
        </w:tblBorders>
      </w:tblPr>
      <w:tblGrid>
        <w:gridCol w:w="1246"/>
        <w:gridCol w:w="1246"/>
        <w:gridCol w:w="1246"/>
        <w:gridCol w:w="1246"/>
        <w:gridCol w:w="1246"/>
        <w:gridCol w:w="1246"/>
        <w:gridCol w:w="1246"/>
        <w:gridCol w:w="1246"/>
      </w:tblGrid>
      <w:tr>
        <w:tc>
          <w:tcPr>
            <w:tcW w:type="dxa" w:w="510"/>
            <w:vMerge w:val="restart"/>
            <w:vAlign w:val="center"/>
            <w:tcMar>
              <w:top w:w="55" w:type="dxa"/>
              <w:start w:w="80" w:type="dxa"/>
              <w:bottom w:w="55" w:type="dxa"/>
              <w:end w:w="80" w:type="dxa"/>
            </w:tcMar>
            <w:shd w:fill="4F81BD"/>
            <w:shd w:fill="DCEAF7"/>
          </w:tcPr>
          <w:p>
            <w:pPr>
              <w:spacing w:after="0" w:before="0" w:line="240" w:lineRule="auto"/>
              <w:jc w:val="center"/>
            </w:pPr>
            <w:r>
              <w:rPr>
                <w:rFonts w:ascii="Times New Roman" w:hAnsi="Times New Roman" w:eastAsia="Times New Roman"/>
                <w:b/>
                <w:color w:val="1F4E79"/>
                <w:sz w:val="18"/>
              </w:rPr>
              <w:t>T/r</w:t>
            </w:r>
          </w:p>
        </w:tc>
        <w:tc>
          <w:tcPr>
            <w:tcW w:type="dxa" w:w="1332"/>
            <w:vMerge w:val="restart"/>
            <w:vAlign w:val="center"/>
            <w:tcMar>
              <w:top w:w="55" w:type="dxa"/>
              <w:start w:w="80" w:type="dxa"/>
              <w:bottom w:w="55" w:type="dxa"/>
              <w:end w:w="80" w:type="dxa"/>
            </w:tcMar>
            <w:shd w:fill="4F81BD"/>
            <w:shd w:fill="DCEAF7"/>
          </w:tcPr>
          <w:p>
            <w:pPr>
              <w:spacing w:after="0" w:before="0" w:line="240" w:lineRule="auto"/>
              <w:jc w:val="center"/>
            </w:pPr>
            <w:r>
              <w:rPr>
                <w:rFonts w:ascii="Times New Roman" w:hAnsi="Times New Roman" w:eastAsia="Times New Roman"/>
                <w:b/>
                <w:color w:val="1F4E79"/>
                <w:sz w:val="18"/>
              </w:rPr>
              <w:t>Yo'nalish</w:t>
            </w:r>
          </w:p>
        </w:tc>
        <w:tc>
          <w:tcPr>
            <w:tcW w:type="dxa" w:w="3458"/>
            <w:gridSpan w:val="3"/>
            <w:vAlign w:val="center"/>
            <w:tcMar>
              <w:top w:w="55" w:type="dxa"/>
              <w:start w:w="80" w:type="dxa"/>
              <w:bottom w:w="55" w:type="dxa"/>
              <w:end w:w="80" w:type="dxa"/>
            </w:tcMar>
            <w:shd w:fill="4F81BD"/>
            <w:shd w:fill="4F81BD"/>
            <w:shd w:fill="4F81BD"/>
          </w:tcPr>
          <w:p>
            <w:pPr>
              <w:spacing w:after="0" w:before="0" w:line="240" w:lineRule="auto"/>
              <w:jc w:val="center"/>
            </w:pPr>
            <w:r>
              <w:rPr>
                <w:rFonts w:ascii="Times New Roman" w:hAnsi="Times New Roman" w:eastAsia="Times New Roman"/>
                <w:b/>
                <w:color w:val="FFFFFF"/>
                <w:sz w:val="18"/>
              </w:rPr>
              <w:t>Amalga oshirish rejasi</w:t>
            </w:r>
          </w:p>
        </w:tc>
        <w:tc>
          <w:tcPr>
            <w:tcW w:type="dxa" w:w="2466"/>
            <w:gridSpan w:val="2"/>
            <w:vAlign w:val="center"/>
            <w:tcMar>
              <w:top w:w="55" w:type="dxa"/>
              <w:start w:w="80" w:type="dxa"/>
              <w:bottom w:w="55" w:type="dxa"/>
              <w:end w:w="80" w:type="dxa"/>
            </w:tcMar>
            <w:shd w:fill="4F81BD"/>
            <w:shd w:fill="4F81BD"/>
          </w:tcPr>
          <w:p>
            <w:pPr>
              <w:spacing w:after="0" w:before="0" w:line="240" w:lineRule="auto"/>
              <w:jc w:val="center"/>
            </w:pPr>
            <w:r>
              <w:rPr>
                <w:rFonts w:ascii="Times New Roman" w:hAnsi="Times New Roman" w:eastAsia="Times New Roman"/>
                <w:b/>
                <w:color w:val="FFFFFF"/>
                <w:sz w:val="18"/>
              </w:rPr>
              <w:t>Kutiladigan natija</w:t>
            </w:r>
          </w:p>
        </w:tc>
        <w:tc>
          <w:tcPr>
            <w:tcW w:type="dxa" w:w="1304"/>
            <w:vMerge w:val="restart"/>
            <w:vAlign w:val="center"/>
            <w:tcMar>
              <w:top w:w="55" w:type="dxa"/>
              <w:start w:w="80" w:type="dxa"/>
              <w:bottom w:w="55" w:type="dxa"/>
              <w:end w:w="80" w:type="dxa"/>
            </w:tcMar>
            <w:shd w:fill="4F81BD"/>
            <w:shd w:fill="DCEAF7"/>
          </w:tcPr>
          <w:p>
            <w:pPr>
              <w:spacing w:after="0" w:before="0" w:line="240" w:lineRule="auto"/>
              <w:jc w:val="center"/>
            </w:pPr>
            <w:r>
              <w:rPr>
                <w:rFonts w:ascii="Times New Roman" w:hAnsi="Times New Roman" w:eastAsia="Times New Roman"/>
                <w:b/>
                <w:color w:val="1F4E79"/>
                <w:sz w:val="18"/>
              </w:rPr>
              <w:t>Mas'ullar</w:t>
            </w:r>
          </w:p>
        </w:tc>
      </w:tr>
      <w:tr>
        <w:tc>
          <w:tcPr>
            <w:tcW w:type="dxa" w:w="510"/>
            <w:vMerge/>
          </w:tcPr>
          <w:p/>
        </w:tc>
        <w:tc>
          <w:tcPr>
            <w:tcW w:type="dxa" w:w="1332"/>
            <w:vMerge/>
          </w:tcPr>
          <w:p/>
        </w:tc>
        <w:tc>
          <w:tcPr>
            <w:tcW w:type="dxa" w:w="1247"/>
            <w:vAlign w:val="center"/>
            <w:tcMar>
              <w:top w:w="55" w:type="dxa"/>
              <w:start w:w="80" w:type="dxa"/>
              <w:bottom w:w="55" w:type="dxa"/>
              <w:end w:w="80" w:type="dxa"/>
            </w:tcMar>
            <w:shd w:fill="DCEAF7"/>
          </w:tcPr>
          <w:p>
            <w:pPr>
              <w:spacing w:after="0" w:before="0" w:line="240" w:lineRule="auto"/>
              <w:jc w:val="center"/>
            </w:pPr>
            <w:r>
              <w:rPr>
                <w:rFonts w:ascii="Times New Roman" w:hAnsi="Times New Roman" w:eastAsia="Times New Roman"/>
                <w:b/>
                <w:color w:val="1F4E79"/>
                <w:sz w:val="18"/>
              </w:rPr>
              <w:t>Asosiy ish</w:t>
            </w:r>
          </w:p>
        </w:tc>
        <w:tc>
          <w:tcPr>
            <w:tcW w:type="dxa" w:w="1162"/>
            <w:vAlign w:val="center"/>
            <w:tcMar>
              <w:top w:w="55" w:type="dxa"/>
              <w:start w:w="80" w:type="dxa"/>
              <w:bottom w:w="55" w:type="dxa"/>
              <w:end w:w="80" w:type="dxa"/>
            </w:tcMar>
            <w:shd w:fill="DCEAF7"/>
          </w:tcPr>
          <w:p>
            <w:pPr>
              <w:spacing w:after="0" w:before="0" w:line="240" w:lineRule="auto"/>
              <w:jc w:val="center"/>
            </w:pPr>
            <w:r>
              <w:rPr>
                <w:rFonts w:ascii="Times New Roman" w:hAnsi="Times New Roman" w:eastAsia="Times New Roman"/>
                <w:b/>
                <w:color w:val="1F4E79"/>
                <w:sz w:val="18"/>
              </w:rPr>
              <w:t>Vosita / usul</w:t>
            </w:r>
          </w:p>
        </w:tc>
        <w:tc>
          <w:tcPr>
            <w:tcW w:type="dxa" w:w="1049"/>
            <w:vAlign w:val="center"/>
            <w:tcMar>
              <w:top w:w="55" w:type="dxa"/>
              <w:start w:w="80" w:type="dxa"/>
              <w:bottom w:w="55" w:type="dxa"/>
              <w:end w:w="80" w:type="dxa"/>
            </w:tcMar>
            <w:shd w:fill="DCEAF7"/>
          </w:tcPr>
          <w:p>
            <w:pPr>
              <w:spacing w:after="0" w:before="0" w:line="240" w:lineRule="auto"/>
              <w:jc w:val="center"/>
            </w:pPr>
            <w:r>
              <w:rPr>
                <w:rFonts w:ascii="Times New Roman" w:hAnsi="Times New Roman" w:eastAsia="Times New Roman"/>
                <w:b/>
                <w:color w:val="1F4E79"/>
                <w:sz w:val="18"/>
              </w:rPr>
              <w:t>Davriylik</w:t>
            </w:r>
          </w:p>
        </w:tc>
        <w:tc>
          <w:tcPr>
            <w:tcW w:type="dxa" w:w="1247"/>
            <w:vAlign w:val="center"/>
            <w:tcMar>
              <w:top w:w="55" w:type="dxa"/>
              <w:start w:w="80" w:type="dxa"/>
              <w:bottom w:w="55" w:type="dxa"/>
              <w:end w:w="80" w:type="dxa"/>
            </w:tcMar>
            <w:shd w:fill="DCEAF7"/>
          </w:tcPr>
          <w:p>
            <w:pPr>
              <w:spacing w:after="0" w:before="0" w:line="240" w:lineRule="auto"/>
              <w:jc w:val="center"/>
            </w:pPr>
            <w:r>
              <w:rPr>
                <w:rFonts w:ascii="Times New Roman" w:hAnsi="Times New Roman" w:eastAsia="Times New Roman"/>
                <w:b/>
                <w:color w:val="1F4E79"/>
                <w:sz w:val="18"/>
              </w:rPr>
              <w:t>Ekologik foyda</w:t>
            </w:r>
          </w:p>
        </w:tc>
        <w:tc>
          <w:tcPr>
            <w:tcW w:type="dxa" w:w="1219"/>
            <w:vAlign w:val="center"/>
            <w:tcMar>
              <w:top w:w="55" w:type="dxa"/>
              <w:start w:w="80" w:type="dxa"/>
              <w:bottom w:w="55" w:type="dxa"/>
              <w:end w:w="80" w:type="dxa"/>
            </w:tcMar>
            <w:shd w:fill="DCEAF7"/>
          </w:tcPr>
          <w:p>
            <w:pPr>
              <w:spacing w:after="0" w:before="0" w:line="240" w:lineRule="auto"/>
              <w:jc w:val="center"/>
            </w:pPr>
            <w:r>
              <w:rPr>
                <w:rFonts w:ascii="Times New Roman" w:hAnsi="Times New Roman" w:eastAsia="Times New Roman"/>
                <w:b/>
                <w:color w:val="1F4E79"/>
                <w:sz w:val="18"/>
              </w:rPr>
              <w:t>Ijtimoiy foyda</w:t>
            </w:r>
          </w:p>
        </w:tc>
        <w:tc>
          <w:tcPr>
            <w:tcW w:type="dxa" w:w="1304"/>
            <w:vMerge/>
          </w:tcPr>
          <w:p/>
        </w:tc>
      </w:tr>
      <w:tr>
        <w:tc>
          <w:tcPr>
            <w:tcW w:type="dxa" w:w="510"/>
            <w:vAlign w:val="center"/>
            <w:tcMar>
              <w:top w:w="55" w:type="dxa"/>
              <w:start w:w="80" w:type="dxa"/>
              <w:bottom w:w="55" w:type="dxa"/>
              <w:end w:w="80" w:type="dxa"/>
            </w:tcMar>
            <w:shd w:fill="F7FBFF"/>
          </w:tcPr>
          <w:p>
            <w:pPr>
              <w:spacing w:after="0" w:before="0" w:line="240" w:lineRule="auto"/>
              <w:jc w:val="center"/>
            </w:pPr>
            <w:r>
              <w:rPr>
                <w:rFonts w:ascii="Times New Roman" w:hAnsi="Times New Roman" w:eastAsia="Times New Roman"/>
                <w:b w:val="0"/>
                <w:sz w:val="18"/>
              </w:rPr>
              <w:t>1</w:t>
            </w:r>
          </w:p>
        </w:tc>
        <w:tc>
          <w:tcPr>
            <w:tcW w:type="dxa" w:w="1332"/>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Suv va elektrni tejash</w:t>
            </w:r>
          </w:p>
        </w:tc>
        <w:tc>
          <w:tcPr>
            <w:tcW w:type="dxa" w:w="1247"/>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Kranni ochiq qoldirmaslik, chiroqlarni vaqtida o'chirish</w:t>
            </w:r>
          </w:p>
        </w:tc>
        <w:tc>
          <w:tcPr>
            <w:tcW w:type="dxa" w:w="1162"/>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Nazorat, eslatma</w:t>
            </w:r>
          </w:p>
        </w:tc>
        <w:tc>
          <w:tcPr>
            <w:tcW w:type="dxa" w:w="1049"/>
            <w:vAlign w:val="center"/>
            <w:tcMar>
              <w:top w:w="55" w:type="dxa"/>
              <w:start w:w="80" w:type="dxa"/>
              <w:bottom w:w="55" w:type="dxa"/>
              <w:end w:w="80" w:type="dxa"/>
            </w:tcMar>
            <w:shd w:fill="F7FBFF"/>
          </w:tcPr>
          <w:p>
            <w:pPr>
              <w:spacing w:after="0" w:before="0" w:line="240" w:lineRule="auto"/>
              <w:jc w:val="center"/>
            </w:pPr>
            <w:r>
              <w:rPr>
                <w:rFonts w:ascii="Times New Roman" w:hAnsi="Times New Roman" w:eastAsia="Times New Roman"/>
                <w:b w:val="0"/>
                <w:sz w:val="18"/>
              </w:rPr>
              <w:t>Har kuni</w:t>
            </w:r>
          </w:p>
        </w:tc>
        <w:tc>
          <w:tcPr>
            <w:tcW w:type="dxa" w:w="1247"/>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Resurslar tejaladi</w:t>
            </w:r>
          </w:p>
        </w:tc>
        <w:tc>
          <w:tcPr>
            <w:tcW w:type="dxa" w:w="1219"/>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Tejamkorlik odati shakllanadi</w:t>
            </w:r>
          </w:p>
        </w:tc>
        <w:tc>
          <w:tcPr>
            <w:tcW w:type="dxa" w:w="1304"/>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O'quvchi, oila</w:t>
            </w:r>
          </w:p>
        </w:tc>
      </w:tr>
      <w:tr>
        <w:tc>
          <w:tcPr>
            <w:tcW w:type="dxa" w:w="510"/>
            <w:vAlign w:val="center"/>
            <w:tcMar>
              <w:top w:w="55" w:type="dxa"/>
              <w:start w:w="80" w:type="dxa"/>
              <w:bottom w:w="55" w:type="dxa"/>
              <w:end w:w="80" w:type="dxa"/>
            </w:tcMar>
          </w:tcPr>
          <w:p>
            <w:pPr>
              <w:spacing w:after="0" w:before="0" w:line="240" w:lineRule="auto"/>
              <w:jc w:val="center"/>
            </w:pPr>
            <w:r>
              <w:rPr>
                <w:rFonts w:ascii="Times New Roman" w:hAnsi="Times New Roman" w:eastAsia="Times New Roman"/>
                <w:b w:val="0"/>
                <w:sz w:val="18"/>
              </w:rPr>
              <w:t>2</w:t>
            </w:r>
          </w:p>
        </w:tc>
        <w:tc>
          <w:tcPr>
            <w:tcW w:type="dxa" w:w="1332"/>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Ko'chat ekish</w:t>
            </w:r>
          </w:p>
        </w:tc>
        <w:tc>
          <w:tcPr>
            <w:tcW w:type="dxa" w:w="1247"/>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Daraxt va gul ko'chatlarini ekib parvarish qilish</w:t>
            </w:r>
          </w:p>
        </w:tc>
        <w:tc>
          <w:tcPr>
            <w:tcW w:type="dxa" w:w="1162"/>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Hashar, sug'orish rejasi</w:t>
            </w:r>
          </w:p>
        </w:tc>
        <w:tc>
          <w:tcPr>
            <w:tcW w:type="dxa" w:w="1049"/>
            <w:vAlign w:val="center"/>
            <w:tcMar>
              <w:top w:w="55" w:type="dxa"/>
              <w:start w:w="80" w:type="dxa"/>
              <w:bottom w:w="55" w:type="dxa"/>
              <w:end w:w="80" w:type="dxa"/>
            </w:tcMar>
          </w:tcPr>
          <w:p>
            <w:pPr>
              <w:spacing w:after="0" w:before="0" w:line="240" w:lineRule="auto"/>
              <w:jc w:val="center"/>
            </w:pPr>
            <w:r>
              <w:rPr>
                <w:rFonts w:ascii="Times New Roman" w:hAnsi="Times New Roman" w:eastAsia="Times New Roman"/>
                <w:b w:val="0"/>
                <w:sz w:val="18"/>
              </w:rPr>
              <w:t>Haftalik / mavsumiy</w:t>
            </w:r>
          </w:p>
        </w:tc>
        <w:tc>
          <w:tcPr>
            <w:tcW w:type="dxa" w:w="1247"/>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Havo tozalanadi</w:t>
            </w:r>
          </w:p>
        </w:tc>
        <w:tc>
          <w:tcPr>
            <w:tcW w:type="dxa" w:w="1219"/>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Hudud chiroyli bo'ladi</w:t>
            </w:r>
          </w:p>
        </w:tc>
        <w:tc>
          <w:tcPr>
            <w:tcW w:type="dxa" w:w="1304"/>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O'quvchi, ota-ona</w:t>
            </w:r>
          </w:p>
        </w:tc>
      </w:tr>
      <w:tr>
        <w:tc>
          <w:tcPr>
            <w:tcW w:type="dxa" w:w="510"/>
            <w:vAlign w:val="center"/>
            <w:tcMar>
              <w:top w:w="55" w:type="dxa"/>
              <w:start w:w="80" w:type="dxa"/>
              <w:bottom w:w="55" w:type="dxa"/>
              <w:end w:w="80" w:type="dxa"/>
            </w:tcMar>
            <w:shd w:fill="F7FBFF"/>
          </w:tcPr>
          <w:p>
            <w:pPr>
              <w:spacing w:after="0" w:before="0" w:line="240" w:lineRule="auto"/>
              <w:jc w:val="center"/>
            </w:pPr>
            <w:r>
              <w:rPr>
                <w:rFonts w:ascii="Times New Roman" w:hAnsi="Times New Roman" w:eastAsia="Times New Roman"/>
                <w:b w:val="0"/>
                <w:sz w:val="18"/>
              </w:rPr>
              <w:t>3</w:t>
            </w:r>
          </w:p>
        </w:tc>
        <w:tc>
          <w:tcPr>
            <w:tcW w:type="dxa" w:w="1332"/>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Tozalik va saralash</w:t>
            </w:r>
          </w:p>
        </w:tc>
        <w:tc>
          <w:tcPr>
            <w:tcW w:type="dxa" w:w="1247"/>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Chiqindilarni alohida qutilarga tashlash</w:t>
            </w:r>
          </w:p>
        </w:tc>
        <w:tc>
          <w:tcPr>
            <w:tcW w:type="dxa" w:w="1162"/>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Qog'oz, plastik quti</w:t>
            </w:r>
          </w:p>
        </w:tc>
        <w:tc>
          <w:tcPr>
            <w:tcW w:type="dxa" w:w="1049"/>
            <w:vAlign w:val="center"/>
            <w:tcMar>
              <w:top w:w="55" w:type="dxa"/>
              <w:start w:w="80" w:type="dxa"/>
              <w:bottom w:w="55" w:type="dxa"/>
              <w:end w:w="80" w:type="dxa"/>
            </w:tcMar>
            <w:shd w:fill="F7FBFF"/>
          </w:tcPr>
          <w:p>
            <w:pPr>
              <w:spacing w:after="0" w:before="0" w:line="240" w:lineRule="auto"/>
              <w:jc w:val="center"/>
            </w:pPr>
            <w:r>
              <w:rPr>
                <w:rFonts w:ascii="Times New Roman" w:hAnsi="Times New Roman" w:eastAsia="Times New Roman"/>
                <w:b w:val="0"/>
                <w:sz w:val="18"/>
              </w:rPr>
              <w:t>Doimiy</w:t>
            </w:r>
          </w:p>
        </w:tc>
        <w:tc>
          <w:tcPr>
            <w:tcW w:type="dxa" w:w="1247"/>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Ifloslanish kamayadi</w:t>
            </w:r>
          </w:p>
        </w:tc>
        <w:tc>
          <w:tcPr>
            <w:tcW w:type="dxa" w:w="1219"/>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Jamoada tartib kuchayadi</w:t>
            </w:r>
          </w:p>
        </w:tc>
        <w:tc>
          <w:tcPr>
            <w:tcW w:type="dxa" w:w="1304"/>
            <w:vAlign w:val="center"/>
            <w:tcMar>
              <w:top w:w="55" w:type="dxa"/>
              <w:start w:w="80" w:type="dxa"/>
              <w:bottom w:w="55" w:type="dxa"/>
              <w:end w:w="80" w:type="dxa"/>
            </w:tcMar>
            <w:shd w:fill="F7FBFF"/>
          </w:tcPr>
          <w:p>
            <w:pPr>
              <w:spacing w:after="0" w:before="0" w:line="240" w:lineRule="auto"/>
              <w:jc w:val="left"/>
            </w:pPr>
            <w:r>
              <w:rPr>
                <w:rFonts w:ascii="Times New Roman" w:hAnsi="Times New Roman" w:eastAsia="Times New Roman"/>
                <w:b w:val="0"/>
                <w:sz w:val="18"/>
              </w:rPr>
              <w:t>Barcha</w:t>
            </w:r>
          </w:p>
        </w:tc>
      </w:tr>
      <w:tr>
        <w:tc>
          <w:tcPr>
            <w:tcW w:type="dxa" w:w="510"/>
            <w:vAlign w:val="center"/>
            <w:tcMar>
              <w:top w:w="55" w:type="dxa"/>
              <w:start w:w="80" w:type="dxa"/>
              <w:bottom w:w="55" w:type="dxa"/>
              <w:end w:w="80" w:type="dxa"/>
            </w:tcMar>
          </w:tcPr>
          <w:p>
            <w:pPr>
              <w:spacing w:after="0" w:before="0" w:line="240" w:lineRule="auto"/>
              <w:jc w:val="center"/>
            </w:pPr>
            <w:r>
              <w:rPr>
                <w:rFonts w:ascii="Times New Roman" w:hAnsi="Times New Roman" w:eastAsia="Times New Roman"/>
                <w:b w:val="0"/>
                <w:sz w:val="18"/>
              </w:rPr>
              <w:t>4</w:t>
            </w:r>
          </w:p>
        </w:tc>
        <w:tc>
          <w:tcPr>
            <w:tcW w:type="dxa" w:w="1332"/>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Jonivorlarni asrash</w:t>
            </w:r>
          </w:p>
        </w:tc>
        <w:tc>
          <w:tcPr>
            <w:tcW w:type="dxa" w:w="1247"/>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Qush va hayvonlarga ozor bermaslik</w:t>
            </w:r>
          </w:p>
        </w:tc>
        <w:tc>
          <w:tcPr>
            <w:tcW w:type="dxa" w:w="1162"/>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Tarbiyaviy suhbat</w:t>
            </w:r>
          </w:p>
        </w:tc>
        <w:tc>
          <w:tcPr>
            <w:tcW w:type="dxa" w:w="1049"/>
            <w:vAlign w:val="center"/>
            <w:tcMar>
              <w:top w:w="55" w:type="dxa"/>
              <w:start w:w="80" w:type="dxa"/>
              <w:bottom w:w="55" w:type="dxa"/>
              <w:end w:w="80" w:type="dxa"/>
            </w:tcMar>
          </w:tcPr>
          <w:p>
            <w:pPr>
              <w:spacing w:after="0" w:before="0" w:line="240" w:lineRule="auto"/>
              <w:jc w:val="center"/>
            </w:pPr>
            <w:r>
              <w:rPr>
                <w:rFonts w:ascii="Times New Roman" w:hAnsi="Times New Roman" w:eastAsia="Times New Roman"/>
                <w:b w:val="0"/>
                <w:sz w:val="18"/>
              </w:rPr>
              <w:t>Doimiy</w:t>
            </w:r>
          </w:p>
        </w:tc>
        <w:tc>
          <w:tcPr>
            <w:tcW w:type="dxa" w:w="1247"/>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Biologik muvozanat saqlanadi</w:t>
            </w:r>
          </w:p>
        </w:tc>
        <w:tc>
          <w:tcPr>
            <w:tcW w:type="dxa" w:w="1219"/>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Mehr-shafqat rivojlanadi</w:t>
            </w:r>
          </w:p>
        </w:tc>
        <w:tc>
          <w:tcPr>
            <w:tcW w:type="dxa" w:w="1304"/>
            <w:vAlign w:val="center"/>
            <w:tcMar>
              <w:top w:w="55" w:type="dxa"/>
              <w:start w:w="80" w:type="dxa"/>
              <w:bottom w:w="55" w:type="dxa"/>
              <w:end w:w="80" w:type="dxa"/>
            </w:tcMar>
          </w:tcPr>
          <w:p>
            <w:pPr>
              <w:spacing w:after="0" w:before="0" w:line="240" w:lineRule="auto"/>
              <w:jc w:val="left"/>
            </w:pPr>
            <w:r>
              <w:rPr>
                <w:rFonts w:ascii="Times New Roman" w:hAnsi="Times New Roman" w:eastAsia="Times New Roman"/>
                <w:b w:val="0"/>
                <w:sz w:val="18"/>
              </w:rPr>
              <w:t>O'quvchi va ustoz</w:t>
            </w:r>
          </w:p>
        </w:tc>
      </w:tr>
    </w:tbl>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