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5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4675"/>
            <w:tcBorders>
              <w:top w:val="none" w:color="FFFFFF" w:sz="0"/>
              <w:left w:val="none" w:color="FFFFFF" w:sz="0"/>
              <w:bottom w:val="none" w:color="FFFFFF" w:sz="0"/>
              <w:right w:val="none" w:color="FFFFFF" w:sz="0"/>
            </w:tcBorders>
            <w:vAlign w:val="center"/>
          </w:tcPr>
          <w:p>
            <w:r>
              <w:drawing>
                <wp:inline distT="0" distB="0" distL="0" distR="0">
                  <wp:extent cx="1666875" cy="552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666875" cy="552450"/>
                          </a:xfrm>
                          <a:prstGeom prst="rect">
                            <a:avLst/>
                          </a:prstGeom>
                        </pic:spPr>
                      </pic:pic>
                    </a:graphicData>
                  </a:graphic>
                </wp:inline>
              </w:drawing>
            </w:r>
          </w:p>
        </w:tc>
        <w:tc>
          <w:tcPr>
            <w:tcW w:type="dxa" w:w="4675"/>
            <w:tcBorders>
              <w:top w:val="none" w:color="FFFFFF" w:sz="0"/>
              <w:left w:val="none" w:color="FFFFFF" w:sz="0"/>
              <w:bottom w:val="none" w:color="FFFFFF" w:sz="0"/>
              <w:right w:val="none" w:color="FFFFFF" w:sz="0"/>
            </w:tcBorders>
            <w:vAlign w:val="center"/>
          </w:tcPr>
          <w:p>
            <w:pPr>
              <w:jc w:val="right"/>
            </w:pPr>
            <w:r>
              <w:drawing>
                <wp:inline distT="0" distB="0" distL="0" distR="0">
                  <wp:extent cx="904875" cy="44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04875" cy="447675"/>
                          </a:xfrm>
                          <a:prstGeom prst="rect">
                            <a:avLst/>
                          </a:prstGeom>
                        </pic:spPr>
                      </pic:pic>
                    </a:graphicData>
                  </a:graphic>
                </wp:inline>
              </w:drawing>
            </w:r>
          </w:p>
        </w:tc>
      </w:tr>
    </w:tbl>
    <w:p>
      <w:pPr>
        <w:spacing w:after="100" w:before="1400"/>
        <w:jc w:val="center"/>
      </w:pPr>
      <w:r>
        <w:rPr>
          <w:rFonts w:ascii="Calibri" w:cs="Calibri" w:eastAsia="Calibri" w:hAnsi="Calibri"/>
          <w:b/>
          <w:bCs/>
          <w:color w:val="334155"/>
          <w:sz w:val="24"/>
          <w:szCs w:val="24"/>
        </w:rPr>
        <w:t xml:space="preserve">PROJECT REPORT</w:t>
      </w:r>
    </w:p>
    <w:p>
      <w:pPr>
        <w:spacing w:after="300"/>
        <w:jc w:val="center"/>
      </w:pPr>
      <w:r>
        <w:rPr>
          <w:rFonts w:ascii="Calibri" w:cs="Calibri" w:eastAsia="Calibri" w:hAnsi="Calibri"/>
          <w:b/>
          <w:bCs/>
          <w:color w:val="1E3A8A"/>
          <w:sz w:val="44"/>
          <w:szCs w:val="44"/>
        </w:rPr>
        <w:t xml:space="preserve">Voice-Based Concept Understanding Analyser (VBCUA)</w:t>
      </w:r>
    </w:p>
    <w:p>
      <w:pPr>
        <w:spacing w:after="700"/>
        <w:jc w:val="center"/>
      </w:pPr>
      <w:r>
        <w:rPr>
          <w:rFonts w:ascii="Calibri" w:cs="Calibri" w:eastAsia="Calibri" w:hAnsi="Calibri"/>
          <w:i/>
          <w:iCs/>
          <w:color w:val="334155"/>
          <w:sz w:val="24"/>
          <w:szCs w:val="24"/>
        </w:rPr>
        <w:t xml:space="preserve">An AI-powered application to evaluate spoken conceptual explanations</w:t>
      </w:r>
    </w:p>
    <w:p>
      <w:pPr>
        <w:spacing w:after="100"/>
        <w:jc w:val="center"/>
      </w:pPr>
      <w:r>
        <w:rPr>
          <w:rFonts w:ascii="Calibri" w:cs="Calibri" w:eastAsia="Calibri" w:hAnsi="Calibri"/>
          <w:b/>
          <w:bCs/>
          <w:sz w:val="22"/>
          <w:szCs w:val="22"/>
        </w:rPr>
        <w:t xml:space="preserve">Team ID: </w:t>
      </w:r>
      <w:r>
        <w:rPr>
          <w:rFonts w:ascii="Calibri" w:cs="Calibri" w:eastAsia="Calibri" w:hAnsi="Calibri"/>
          <w:sz w:val="22"/>
          <w:szCs w:val="22"/>
        </w:rPr>
        <w:t xml:space="preserve">Individual Project</w:t>
      </w:r>
    </w:p>
    <w:p>
      <w:pPr>
        <w:spacing w:after="100"/>
        <w:jc w:val="center"/>
      </w:pPr>
      <w:r>
        <w:rPr>
          <w:rFonts w:ascii="Calibri" w:cs="Calibri" w:eastAsia="Calibri" w:hAnsi="Calibri"/>
          <w:b/>
          <w:bCs/>
          <w:sz w:val="22"/>
          <w:szCs w:val="22"/>
        </w:rPr>
        <w:t xml:space="preserve">Project Name: </w:t>
      </w:r>
      <w:r>
        <w:rPr>
          <w:rFonts w:ascii="Calibri" w:cs="Calibri" w:eastAsia="Calibri" w:hAnsi="Calibri"/>
          <w:sz w:val="22"/>
          <w:szCs w:val="22"/>
        </w:rPr>
        <w:t xml:space="preserve">VBCUA – Voice-Based Concept Understanding Analyser</w:t>
      </w:r>
    </w:p>
    <w:p>
      <w:pPr>
        <w:spacing w:after="100"/>
        <w:jc w:val="center"/>
      </w:pPr>
      <w:r>
        <w:rPr>
          <w:rFonts w:ascii="Calibri" w:cs="Calibri" w:eastAsia="Calibri" w:hAnsi="Calibri"/>
          <w:b/>
          <w:bCs/>
          <w:sz w:val="22"/>
          <w:szCs w:val="22"/>
        </w:rPr>
        <w:t xml:space="preserve">Date: </w:t>
      </w:r>
      <w:r>
        <w:rPr>
          <w:rFonts w:ascii="Calibri" w:cs="Calibri" w:eastAsia="Calibri" w:hAnsi="Calibri"/>
          <w:sz w:val="22"/>
          <w:szCs w:val="22"/>
        </w:rPr>
        <w:t xml:space="preserve">07 July 2026</w:t>
      </w:r>
    </w:p>
    <w:p>
      <w:pPr>
        <w:spacing w:after="100"/>
        <w:jc w:val="center"/>
      </w:pPr>
      <w:r>
        <w:rPr>
          <w:rFonts w:ascii="Calibri" w:cs="Calibri" w:eastAsia="Calibri" w:hAnsi="Calibri"/>
          <w:b/>
          <w:bCs/>
          <w:sz w:val="22"/>
          <w:szCs w:val="22"/>
        </w:rPr>
        <w:t xml:space="preserve">Status: </w:t>
      </w:r>
      <w:r>
        <w:rPr>
          <w:rFonts w:ascii="Calibri" w:cs="Calibri" w:eastAsia="Calibri" w:hAnsi="Calibri"/>
          <w:sz w:val="22"/>
          <w:szCs w:val="22"/>
        </w:rPr>
        <w:t xml:space="preserve">Built and Functionally Verified</w:t>
      </w:r>
    </w:p>
    <w:p>
      <w:r>
        <w:br w:type="page"/>
      </w:r>
    </w:p>
    <w:p>
      <w:pPr>
        <w:pStyle w:val="Heading1"/>
        <w:spacing w:after="220" w:before="200"/>
      </w:pPr>
      <w:r>
        <w:t xml:space="preserve">Table of Contents</w:t>
      </w:r>
    </w:p>
    <w:p>
      <w:pPr>
        <w:spacing w:after="120"/>
      </w:pPr>
      <w:r>
        <w:rPr>
          <w:rFonts w:ascii="Calibri" w:cs="Calibri" w:eastAsia="Calibri" w:hAnsi="Calibri"/>
          <w:sz w:val="23"/>
          <w:szCs w:val="23"/>
        </w:rPr>
        <w:t xml:space="preserve">1. Abstract</w:t>
      </w:r>
    </w:p>
    <w:p>
      <w:pPr>
        <w:spacing w:after="120"/>
      </w:pPr>
      <w:r>
        <w:rPr>
          <w:rFonts w:ascii="Calibri" w:cs="Calibri" w:eastAsia="Calibri" w:hAnsi="Calibri"/>
          <w:sz w:val="23"/>
          <w:szCs w:val="23"/>
        </w:rPr>
        <w:t xml:space="preserve">2. Introduction</w:t>
      </w:r>
    </w:p>
    <w:p>
      <w:pPr>
        <w:spacing w:after="120"/>
      </w:pPr>
      <w:r>
        <w:rPr>
          <w:rFonts w:ascii="Calibri" w:cs="Calibri" w:eastAsia="Calibri" w:hAnsi="Calibri"/>
          <w:sz w:val="23"/>
          <w:szCs w:val="23"/>
        </w:rPr>
        <w:t xml:space="preserve">3. Objectives</w:t>
      </w:r>
    </w:p>
    <w:p>
      <w:pPr>
        <w:spacing w:after="120"/>
      </w:pPr>
      <w:r>
        <w:rPr>
          <w:rFonts w:ascii="Calibri" w:cs="Calibri" w:eastAsia="Calibri" w:hAnsi="Calibri"/>
          <w:sz w:val="23"/>
          <w:szCs w:val="23"/>
        </w:rPr>
        <w:t xml:space="preserve">4. Existing System vs. Proposed System</w:t>
      </w:r>
    </w:p>
    <w:p>
      <w:pPr>
        <w:spacing w:after="120"/>
      </w:pPr>
      <w:r>
        <w:rPr>
          <w:rFonts w:ascii="Calibri" w:cs="Calibri" w:eastAsia="Calibri" w:hAnsi="Calibri"/>
          <w:sz w:val="23"/>
          <w:szCs w:val="23"/>
        </w:rPr>
        <w:t xml:space="preserve">5. System Requirements</w:t>
      </w:r>
    </w:p>
    <w:p>
      <w:pPr>
        <w:spacing w:after="120"/>
      </w:pPr>
      <w:r>
        <w:rPr>
          <w:rFonts w:ascii="Calibri" w:cs="Calibri" w:eastAsia="Calibri" w:hAnsi="Calibri"/>
          <w:sz w:val="23"/>
          <w:szCs w:val="23"/>
        </w:rPr>
        <w:t xml:space="preserve">6. System Architecture</w:t>
      </w:r>
    </w:p>
    <w:p>
      <w:pPr>
        <w:spacing w:after="120"/>
      </w:pPr>
      <w:r>
        <w:rPr>
          <w:rFonts w:ascii="Calibri" w:cs="Calibri" w:eastAsia="Calibri" w:hAnsi="Calibri"/>
          <w:sz w:val="23"/>
          <w:szCs w:val="23"/>
        </w:rPr>
        <w:t xml:space="preserve">7. Technology Stack</w:t>
      </w:r>
    </w:p>
    <w:p>
      <w:pPr>
        <w:spacing w:after="120"/>
      </w:pPr>
      <w:r>
        <w:rPr>
          <w:rFonts w:ascii="Calibri" w:cs="Calibri" w:eastAsia="Calibri" w:hAnsi="Calibri"/>
          <w:sz w:val="23"/>
          <w:szCs w:val="23"/>
        </w:rPr>
        <w:t xml:space="preserve">8. Implementation Details</w:t>
      </w:r>
    </w:p>
    <w:p>
      <w:pPr>
        <w:spacing w:after="120"/>
      </w:pPr>
      <w:r>
        <w:rPr>
          <w:rFonts w:ascii="Calibri" w:cs="Calibri" w:eastAsia="Calibri" w:hAnsi="Calibri"/>
          <w:sz w:val="23"/>
          <w:szCs w:val="23"/>
        </w:rPr>
        <w:t xml:space="preserve">9. Testing &amp; Verification</w:t>
      </w:r>
    </w:p>
    <w:p>
      <w:pPr>
        <w:spacing w:after="120"/>
      </w:pPr>
      <w:r>
        <w:rPr>
          <w:rFonts w:ascii="Calibri" w:cs="Calibri" w:eastAsia="Calibri" w:hAnsi="Calibri"/>
          <w:sz w:val="23"/>
          <w:szCs w:val="23"/>
        </w:rPr>
        <w:t xml:space="preserve">10. Advantages and Limitations</w:t>
      </w:r>
    </w:p>
    <w:p>
      <w:pPr>
        <w:spacing w:after="120"/>
      </w:pPr>
      <w:r>
        <w:rPr>
          <w:rFonts w:ascii="Calibri" w:cs="Calibri" w:eastAsia="Calibri" w:hAnsi="Calibri"/>
          <w:sz w:val="23"/>
          <w:szCs w:val="23"/>
        </w:rPr>
        <w:t xml:space="preserve">11. Conclusion</w:t>
      </w:r>
    </w:p>
    <w:p>
      <w:pPr>
        <w:spacing w:after="120"/>
      </w:pPr>
      <w:r>
        <w:rPr>
          <w:rFonts w:ascii="Calibri" w:cs="Calibri" w:eastAsia="Calibri" w:hAnsi="Calibri"/>
          <w:sz w:val="23"/>
          <w:szCs w:val="23"/>
        </w:rPr>
        <w:t xml:space="preserve">12. Future Scope</w:t>
      </w:r>
    </w:p>
    <w:p>
      <w:pPr>
        <w:spacing w:after="120"/>
      </w:pPr>
      <w:r>
        <w:rPr>
          <w:rFonts w:ascii="Calibri" w:cs="Calibri" w:eastAsia="Calibri" w:hAnsi="Calibri"/>
          <w:sz w:val="23"/>
          <w:szCs w:val="23"/>
        </w:rPr>
        <w:t xml:space="preserve">13. References</w:t>
      </w:r>
    </w:p>
    <w:p>
      <w:r>
        <w:br w:type="page"/>
      </w:r>
    </w:p>
    <w:p>
      <w:pPr>
        <w:pStyle w:val="Heading1"/>
        <w:spacing w:after="140" w:before="340"/>
      </w:pPr>
      <w:r>
        <w:t xml:space="preserve">1. Abstract</w:t>
      </w:r>
    </w:p>
    <w:p>
      <w:pPr>
        <w:spacing w:after="140" w:line="300"/>
      </w:pPr>
      <w:r>
        <w:rPr>
          <w:rFonts w:ascii="Calibri" w:cs="Calibri" w:eastAsia="Calibri" w:hAnsi="Calibri"/>
          <w:sz w:val="22"/>
          <w:szCs w:val="22"/>
        </w:rPr>
        <w:t xml:space="preserve">Traditional academic and hiring assessments emphasize written answers, leaving verbal communication — a critical real-world skill — largely unevaluated. VBCUA (Voice-Based Concept Understanding Analyser) addresses this gap by combining speech-to-text transcription, semantic similarity scoring, audio-based fluency analysis, AI-generated feedback, and automated PDF reporting into a single web application. A learner selects a topic, records a spoken explanation, and receives an objective, two-dimensional evaluation of both conceptual accuracy and delivery quality within seconds. This report documents the problem, design, implementation, and verification of VBCUA, which was built end-to-end using OpenAI Whisper, Sentence-BERT, Librosa, Google Gemini, and Streamlit, and validated with an automated test suite of 17 passing tests.</w:t>
      </w:r>
    </w:p>
    <w:p>
      <w:pPr>
        <w:pStyle w:val="Heading1"/>
        <w:spacing w:after="140" w:before="340"/>
      </w:pPr>
      <w:r>
        <w:t xml:space="preserve">2. Introduction</w:t>
      </w:r>
    </w:p>
    <w:p>
      <w:pPr>
        <w:spacing w:after="140" w:line="300"/>
      </w:pPr>
      <w:r>
        <w:rPr>
          <w:rFonts w:ascii="Calibri" w:cs="Calibri" w:eastAsia="Calibri" w:hAnsi="Calibri"/>
          <w:sz w:val="22"/>
          <w:szCs w:val="22"/>
        </w:rPr>
        <w:t xml:space="preserve">Explaining a concept clearly out loud requires more than knowing the material — it requires organizing thoughts on the fly, speaking fluently, and adapting to a listener in real time. This skill is assessed in vivas, interviews, presentations, and teaching, yet learners rarely get consistent, objective feedback on it, since manually listening to and grading spoken answers does not scale for instructors, and self-assessment is inherently unreliable.</w:t>
      </w:r>
    </w:p>
    <w:p>
      <w:pPr>
        <w:pStyle w:val="Heading2"/>
        <w:spacing w:after="100" w:before="220"/>
      </w:pPr>
      <w:r>
        <w:t xml:space="preserve">2.1 Problem Statement</w:t>
      </w:r>
    </w:p>
    <w:p>
      <w:pPr>
        <w:spacing w:after="140" w:line="300"/>
      </w:pPr>
      <w:r>
        <w:rPr>
          <w:rFonts w:ascii="Calibri" w:cs="Calibri" w:eastAsia="Calibri" w:hAnsi="Calibri"/>
          <w:sz w:val="22"/>
          <w:szCs w:val="22"/>
        </w:rPr>
        <w:t xml:space="preserve">Students preparing for oral exams, instructors evaluating many spoken submissions, and job seekers rehearsing interview answers all share the same underlying problem: there is no fast, objective way to check whether a spoken explanation is both conceptually correct and clearly delivered. VBCUA was built to close that gap using automated speech and language AI.</w:t>
      </w:r>
    </w:p>
    <w:p>
      <w:pPr>
        <w:pStyle w:val="Heading1"/>
        <w:spacing w:after="140" w:before="340"/>
      </w:pPr>
      <w:r>
        <w:t xml:space="preserve">3. Objectives</w:t>
      </w:r>
    </w:p>
    <w:p>
      <w:pPr>
        <w:pStyle w:val="ListParagraph"/>
        <w:numPr>
          <w:ilvl w:val="0"/>
          <w:numId w:val="1"/>
        </w:numPr>
        <w:spacing w:after="90" w:line="280"/>
      </w:pPr>
      <w:r>
        <w:rPr>
          <w:rFonts w:ascii="Calibri" w:cs="Calibri" w:eastAsia="Calibri" w:hAnsi="Calibri"/>
          <w:sz w:val="22"/>
          <w:szCs w:val="22"/>
        </w:rPr>
        <w:t xml:space="preserve">Convert a learner's spoken explanation into text using OpenAI Whisper.</w:t>
      </w:r>
    </w:p>
    <w:p>
      <w:pPr>
        <w:pStyle w:val="ListParagraph"/>
        <w:numPr>
          <w:ilvl w:val="0"/>
          <w:numId w:val="1"/>
        </w:numPr>
        <w:spacing w:after="90" w:line="280"/>
      </w:pPr>
      <w:r>
        <w:rPr>
          <w:rFonts w:ascii="Calibri" w:cs="Calibri" w:eastAsia="Calibri" w:hAnsi="Calibri"/>
          <w:sz w:val="22"/>
          <w:szCs w:val="22"/>
        </w:rPr>
        <w:t xml:space="preserve">Score conceptual accuracy by comparing the transcript to a reference explanation using Sentence-BERT.</w:t>
      </w:r>
    </w:p>
    <w:p>
      <w:pPr>
        <w:pStyle w:val="ListParagraph"/>
        <w:numPr>
          <w:ilvl w:val="0"/>
          <w:numId w:val="1"/>
        </w:numPr>
        <w:spacing w:after="90" w:line="280"/>
      </w:pPr>
      <w:r>
        <w:rPr>
          <w:rFonts w:ascii="Calibri" w:cs="Calibri" w:eastAsia="Calibri" w:hAnsi="Calibri"/>
          <w:sz w:val="22"/>
          <w:szCs w:val="22"/>
        </w:rPr>
        <w:t xml:space="preserve">Analyze spoken delivery — pace, pauses, and filler words — using Librosa.</w:t>
      </w:r>
    </w:p>
    <w:p>
      <w:pPr>
        <w:pStyle w:val="ListParagraph"/>
        <w:numPr>
          <w:ilvl w:val="0"/>
          <w:numId w:val="1"/>
        </w:numPr>
        <w:spacing w:after="90" w:line="280"/>
      </w:pPr>
      <w:r>
        <w:rPr>
          <w:rFonts w:ascii="Calibri" w:cs="Calibri" w:eastAsia="Calibri" w:hAnsi="Calibri"/>
          <w:sz w:val="22"/>
          <w:szCs w:val="22"/>
        </w:rPr>
        <w:t xml:space="preserve">Combine both signals into a single, weighted overall score and grade.</w:t>
      </w:r>
    </w:p>
    <w:p>
      <w:pPr>
        <w:pStyle w:val="ListParagraph"/>
        <w:numPr>
          <w:ilvl w:val="0"/>
          <w:numId w:val="1"/>
        </w:numPr>
        <w:spacing w:after="90" w:line="280"/>
      </w:pPr>
      <w:r>
        <w:rPr>
          <w:rFonts w:ascii="Calibri" w:cs="Calibri" w:eastAsia="Calibri" w:hAnsi="Calibri"/>
          <w:sz w:val="22"/>
          <w:szCs w:val="22"/>
        </w:rPr>
        <w:t xml:space="preserve">Generate natural-language feedback using Google Gemini, with an offline fallback.</w:t>
      </w:r>
    </w:p>
    <w:p>
      <w:pPr>
        <w:pStyle w:val="ListParagraph"/>
        <w:numPr>
          <w:ilvl w:val="0"/>
          <w:numId w:val="1"/>
        </w:numPr>
        <w:spacing w:after="90" w:line="280"/>
      </w:pPr>
      <w:r>
        <w:rPr>
          <w:rFonts w:ascii="Calibri" w:cs="Calibri" w:eastAsia="Calibri" w:hAnsi="Calibri"/>
          <w:sz w:val="22"/>
          <w:szCs w:val="22"/>
        </w:rPr>
        <w:t xml:space="preserve">Persist every evaluation and expose history/trends through a dashboard.</w:t>
      </w:r>
    </w:p>
    <w:p>
      <w:pPr>
        <w:pStyle w:val="ListParagraph"/>
        <w:numPr>
          <w:ilvl w:val="0"/>
          <w:numId w:val="1"/>
        </w:numPr>
        <w:spacing w:after="90" w:line="280"/>
      </w:pPr>
      <w:r>
        <w:rPr>
          <w:rFonts w:ascii="Calibri" w:cs="Calibri" w:eastAsia="Calibri" w:hAnsi="Calibri"/>
          <w:sz w:val="22"/>
          <w:szCs w:val="22"/>
        </w:rPr>
        <w:t xml:space="preserve">Produce a professional, downloadable PDF report for each evaluation.</w:t>
      </w:r>
    </w:p>
    <w:p>
      <w:pPr>
        <w:pStyle w:val="Heading1"/>
        <w:spacing w:after="140" w:before="340"/>
      </w:pPr>
      <w:r>
        <w:t xml:space="preserve">4. Existing System vs. Proposed System</w:t>
      </w:r>
    </w:p>
    <w:p>
      <w:pPr>
        <w:pStyle w:val="Heading2"/>
        <w:spacing w:after="100" w:before="220"/>
      </w:pPr>
      <w:r>
        <w:t xml:space="preserve">4.1 Existing Approach</w:t>
      </w:r>
    </w:p>
    <w:p>
      <w:pPr>
        <w:spacing w:after="140" w:line="300"/>
      </w:pPr>
      <w:r>
        <w:rPr>
          <w:rFonts w:ascii="Calibri" w:cs="Calibri" w:eastAsia="Calibri" w:hAnsi="Calibri"/>
          <w:sz w:val="22"/>
          <w:szCs w:val="22"/>
        </w:rPr>
        <w:t xml:space="preserve">Spoken-explanation assessment today is almost entirely manual: instructors listen to students one at a time, or peers give informal, inconsistent feedback. Written quizzes and MCQs, the typical automated alternative, do not test verbal articulation at all, leaving a measurable gap between what is tested and what is actually needed in vivas, interviews, and presentations.</w:t>
      </w:r>
    </w:p>
    <w:p>
      <w:pPr>
        <w:pStyle w:val="Heading2"/>
        <w:spacing w:after="100" w:before="220"/>
      </w:pPr>
      <w:r>
        <w:t xml:space="preserve">4.2 Proposed System — VBCUA</w:t>
      </w:r>
    </w:p>
    <w:p>
      <w:pPr>
        <w:spacing w:after="140" w:line="300"/>
      </w:pPr>
      <w:r>
        <w:rPr>
          <w:rFonts w:ascii="Calibri" w:cs="Calibri" w:eastAsia="Calibri" w:hAnsi="Calibri"/>
          <w:sz w:val="22"/>
          <w:szCs w:val="22"/>
        </w:rPr>
        <w:t xml:space="preserve">VBCUA automates the entire evaluation loop. A learner uploads a recording; the system transcribes it, scores it against a reference explanation and against fluency benchmarks, generates written feedback, and returns a report — all within roughly 30 seconds for a short recording. This turns an otherwise manual, unscalable process into an on-demand, self-serve practice tool.</w:t>
      </w:r>
    </w:p>
    <w:p>
      <w:pPr>
        <w:pStyle w:val="Heading1"/>
        <w:spacing w:after="140" w:before="340"/>
      </w:pPr>
      <w:r>
        <w:t xml:space="preserve">5. System Requirements</w:t>
      </w:r>
    </w:p>
    <w:p>
      <w:pPr>
        <w:spacing w:after="140" w:line="300"/>
      </w:pPr>
      <w:r>
        <w:rPr>
          <w:rFonts w:ascii="Calibri" w:cs="Calibri" w:eastAsia="Calibri" w:hAnsi="Calibri"/>
          <w:sz w:val="22"/>
          <w:szCs w:val="22"/>
        </w:rPr>
        <w:t xml:space="preserve">A condensed summary of the functional requirements driving the build (see the separate Solution Requirements document for the full functional and non-functional requirement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200"/>
            <w:tcBorders>
              <w:top w:val="single" w:color="CBD5E1" w:sz="2"/>
              <w:left w:val="single" w:color="CBD5E1" w:sz="2"/>
              <w:bottom w:val="single" w:color="CBD5E1" w:sz="2"/>
              <w:right w:val="single" w:color="CBD5E1" w:sz="2"/>
            </w:tcBorders>
            <w:shd w:fill="1E3A8A" w:val="clear"/>
            <w:tcMar>
              <w:top w:type="dxa" w:w="100"/>
              <w:left w:type="dxa" w:w="120"/>
              <w:bottom w:type="dxa" w:w="100"/>
              <w:right w:type="dxa" w:w="120"/>
            </w:tcMar>
          </w:tcPr>
          <w:p>
            <w:r>
              <w:rPr>
                <w:rFonts w:ascii="Calibri" w:cs="Calibri" w:eastAsia="Calibri" w:hAnsi="Calibri"/>
                <w:b/>
                <w:bCs/>
                <w:color w:val="FFFFFF"/>
                <w:sz w:val="20"/>
                <w:szCs w:val="20"/>
              </w:rPr>
              <w:t xml:space="preserve">Requirement</w:t>
            </w:r>
          </w:p>
        </w:tc>
        <w:tc>
          <w:tcPr>
            <w:tcW w:type="dxa" w:w="5150"/>
            <w:tcBorders>
              <w:top w:val="single" w:color="CBD5E1" w:sz="2"/>
              <w:left w:val="single" w:color="CBD5E1" w:sz="2"/>
              <w:bottom w:val="single" w:color="CBD5E1" w:sz="2"/>
              <w:right w:val="single" w:color="CBD5E1" w:sz="2"/>
            </w:tcBorders>
            <w:shd w:fill="1E3A8A" w:val="clear"/>
            <w:tcMar>
              <w:top w:type="dxa" w:w="100"/>
              <w:left w:type="dxa" w:w="120"/>
              <w:bottom w:type="dxa" w:w="100"/>
              <w:right w:type="dxa" w:w="120"/>
            </w:tcMar>
          </w:tcPr>
          <w:p>
            <w:r>
              <w:rPr>
                <w:rFonts w:ascii="Calibri" w:cs="Calibri" w:eastAsia="Calibri" w:hAnsi="Calibri"/>
                <w:b/>
                <w:bCs/>
                <w:color w:val="FFFFFF"/>
                <w:sz w:val="20"/>
                <w:szCs w:val="20"/>
              </w:rPr>
              <w:t xml:space="preserve">Description</w:t>
            </w:r>
          </w:p>
        </w:tc>
        <w:tc>
          <w:tcPr>
            <w:tcW w:type="dxa" w:w="2000"/>
            <w:tcBorders>
              <w:top w:val="single" w:color="CBD5E1" w:sz="2"/>
              <w:left w:val="single" w:color="CBD5E1" w:sz="2"/>
              <w:bottom w:val="single" w:color="CBD5E1" w:sz="2"/>
              <w:right w:val="single" w:color="CBD5E1" w:sz="2"/>
            </w:tcBorders>
            <w:shd w:fill="1E3A8A" w:val="clear"/>
            <w:tcMar>
              <w:top w:type="dxa" w:w="100"/>
              <w:left w:type="dxa" w:w="120"/>
              <w:bottom w:type="dxa" w:w="100"/>
              <w:right w:type="dxa" w:w="120"/>
            </w:tcMar>
          </w:tcPr>
          <w:p>
            <w:r>
              <w:rPr>
                <w:rFonts w:ascii="Calibri" w:cs="Calibri" w:eastAsia="Calibri" w:hAnsi="Calibri"/>
                <w:b/>
                <w:bCs/>
                <w:color w:val="FFFFFF"/>
                <w:sz w:val="20"/>
                <w:szCs w:val="20"/>
              </w:rPr>
              <w:t xml:space="preserve">Priority</w:t>
            </w:r>
          </w:p>
        </w:tc>
      </w:tr>
      <w:tr>
        <w:tc>
          <w:tcPr>
            <w:tcW w:type="dxa" w:w="220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rFonts w:ascii="Calibri" w:cs="Calibri" w:eastAsia="Calibri" w:hAnsi="Calibri"/>
                <w:b/>
                <w:bCs/>
                <w:sz w:val="20"/>
                <w:szCs w:val="20"/>
              </w:rPr>
              <w:t xml:space="preserve">Speech-to-Text</w:t>
            </w:r>
          </w:p>
        </w:tc>
        <w:tc>
          <w:tcPr>
            <w:tcW w:type="dxa" w:w="515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rFonts w:ascii="Calibri" w:cs="Calibri" w:eastAsia="Calibri" w:hAnsi="Calibri"/>
                <w:b w:val="false"/>
                <w:bCs w:val="false"/>
                <w:sz w:val="20"/>
                <w:szCs w:val="20"/>
              </w:rPr>
              <w:t xml:space="preserve">Transcribe uploaded audio using Whisper.</w:t>
            </w:r>
          </w:p>
        </w:tc>
        <w:tc>
          <w:tcPr>
            <w:tcW w:type="dxa" w:w="200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rFonts w:ascii="Calibri" w:cs="Calibri" w:eastAsia="Calibri" w:hAnsi="Calibri"/>
                <w:b w:val="false"/>
                <w:bCs w:val="false"/>
                <w:sz w:val="20"/>
                <w:szCs w:val="20"/>
              </w:rPr>
              <w:t xml:space="preserve">High</w:t>
            </w:r>
          </w:p>
        </w:tc>
      </w:tr>
      <w:tr>
        <w:tc>
          <w:tcPr>
            <w:tcW w:type="dxa" w:w="2200"/>
            <w:tcBorders>
              <w:top w:val="single" w:color="CBD5E1" w:sz="2"/>
              <w:left w:val="single" w:color="CBD5E1" w:sz="2"/>
              <w:bottom w:val="single" w:color="CBD5E1" w:sz="2"/>
              <w:right w:val="single" w:color="CBD5E1" w:sz="2"/>
            </w:tcBorders>
            <w:shd w:fill="EFF6FF" w:val="clear"/>
            <w:tcMar>
              <w:top w:type="dxa" w:w="100"/>
              <w:left w:type="dxa" w:w="120"/>
              <w:bottom w:type="dxa" w:w="100"/>
              <w:right w:type="dxa" w:w="120"/>
            </w:tcMar>
          </w:tcPr>
          <w:p>
            <w:r>
              <w:rPr>
                <w:rFonts w:ascii="Calibri" w:cs="Calibri" w:eastAsia="Calibri" w:hAnsi="Calibri"/>
                <w:b/>
                <w:bCs/>
                <w:sz w:val="20"/>
                <w:szCs w:val="20"/>
              </w:rPr>
              <w:t xml:space="preserve">Semantic Scoring</w:t>
            </w:r>
          </w:p>
        </w:tc>
        <w:tc>
          <w:tcPr>
            <w:tcW w:type="dxa" w:w="5150"/>
            <w:tcBorders>
              <w:top w:val="single" w:color="CBD5E1" w:sz="2"/>
              <w:left w:val="single" w:color="CBD5E1" w:sz="2"/>
              <w:bottom w:val="single" w:color="CBD5E1" w:sz="2"/>
              <w:right w:val="single" w:color="CBD5E1" w:sz="2"/>
            </w:tcBorders>
            <w:shd w:fill="EFF6FF" w:val="clear"/>
            <w:tcMar>
              <w:top w:type="dxa" w:w="100"/>
              <w:left w:type="dxa" w:w="120"/>
              <w:bottom w:type="dxa" w:w="100"/>
              <w:right w:type="dxa" w:w="120"/>
            </w:tcMar>
          </w:tcPr>
          <w:p>
            <w:r>
              <w:rPr>
                <w:rFonts w:ascii="Calibri" w:cs="Calibri" w:eastAsia="Calibri" w:hAnsi="Calibri"/>
                <w:b w:val="false"/>
                <w:bCs w:val="false"/>
                <w:sz w:val="20"/>
                <w:szCs w:val="20"/>
              </w:rPr>
              <w:t xml:space="preserve">Compare transcript to reference explanation via Sentence-BERT.</w:t>
            </w:r>
          </w:p>
        </w:tc>
        <w:tc>
          <w:tcPr>
            <w:tcW w:type="dxa" w:w="2000"/>
            <w:tcBorders>
              <w:top w:val="single" w:color="CBD5E1" w:sz="2"/>
              <w:left w:val="single" w:color="CBD5E1" w:sz="2"/>
              <w:bottom w:val="single" w:color="CBD5E1" w:sz="2"/>
              <w:right w:val="single" w:color="CBD5E1" w:sz="2"/>
            </w:tcBorders>
            <w:shd w:fill="EFF6FF" w:val="clear"/>
            <w:tcMar>
              <w:top w:type="dxa" w:w="100"/>
              <w:left w:type="dxa" w:w="120"/>
              <w:bottom w:type="dxa" w:w="100"/>
              <w:right w:type="dxa" w:w="120"/>
            </w:tcMar>
          </w:tcPr>
          <w:p>
            <w:r>
              <w:rPr>
                <w:rFonts w:ascii="Calibri" w:cs="Calibri" w:eastAsia="Calibri" w:hAnsi="Calibri"/>
                <w:b w:val="false"/>
                <w:bCs w:val="false"/>
                <w:sz w:val="20"/>
                <w:szCs w:val="20"/>
              </w:rPr>
              <w:t xml:space="preserve">High</w:t>
            </w:r>
          </w:p>
        </w:tc>
      </w:tr>
      <w:tr>
        <w:tc>
          <w:tcPr>
            <w:tcW w:type="dxa" w:w="220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rFonts w:ascii="Calibri" w:cs="Calibri" w:eastAsia="Calibri" w:hAnsi="Calibri"/>
                <w:b/>
                <w:bCs/>
                <w:sz w:val="20"/>
                <w:szCs w:val="20"/>
              </w:rPr>
              <w:t xml:space="preserve">Fluency Scoring</w:t>
            </w:r>
          </w:p>
        </w:tc>
        <w:tc>
          <w:tcPr>
            <w:tcW w:type="dxa" w:w="515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rFonts w:ascii="Calibri" w:cs="Calibri" w:eastAsia="Calibri" w:hAnsi="Calibri"/>
                <w:b w:val="false"/>
                <w:bCs w:val="false"/>
                <w:sz w:val="20"/>
                <w:szCs w:val="20"/>
              </w:rPr>
              <w:t xml:space="preserve">Detect pace, pauses, and filler words via Librosa.</w:t>
            </w:r>
          </w:p>
        </w:tc>
        <w:tc>
          <w:tcPr>
            <w:tcW w:type="dxa" w:w="200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rFonts w:ascii="Calibri" w:cs="Calibri" w:eastAsia="Calibri" w:hAnsi="Calibri"/>
                <w:b w:val="false"/>
                <w:bCs w:val="false"/>
                <w:sz w:val="20"/>
                <w:szCs w:val="20"/>
              </w:rPr>
              <w:t xml:space="preserve">High</w:t>
            </w:r>
          </w:p>
        </w:tc>
      </w:tr>
      <w:tr>
        <w:tc>
          <w:tcPr>
            <w:tcW w:type="dxa" w:w="2200"/>
            <w:tcBorders>
              <w:top w:val="single" w:color="CBD5E1" w:sz="2"/>
              <w:left w:val="single" w:color="CBD5E1" w:sz="2"/>
              <w:bottom w:val="single" w:color="CBD5E1" w:sz="2"/>
              <w:right w:val="single" w:color="CBD5E1" w:sz="2"/>
            </w:tcBorders>
            <w:shd w:fill="EFF6FF" w:val="clear"/>
            <w:tcMar>
              <w:top w:type="dxa" w:w="100"/>
              <w:left w:type="dxa" w:w="120"/>
              <w:bottom w:type="dxa" w:w="100"/>
              <w:right w:type="dxa" w:w="120"/>
            </w:tcMar>
          </w:tcPr>
          <w:p>
            <w:r>
              <w:rPr>
                <w:rFonts w:ascii="Calibri" w:cs="Calibri" w:eastAsia="Calibri" w:hAnsi="Calibri"/>
                <w:b/>
                <w:bCs/>
                <w:sz w:val="20"/>
                <w:szCs w:val="20"/>
              </w:rPr>
              <w:t xml:space="preserve">AI Feedback</w:t>
            </w:r>
          </w:p>
        </w:tc>
        <w:tc>
          <w:tcPr>
            <w:tcW w:type="dxa" w:w="5150"/>
            <w:tcBorders>
              <w:top w:val="single" w:color="CBD5E1" w:sz="2"/>
              <w:left w:val="single" w:color="CBD5E1" w:sz="2"/>
              <w:bottom w:val="single" w:color="CBD5E1" w:sz="2"/>
              <w:right w:val="single" w:color="CBD5E1" w:sz="2"/>
            </w:tcBorders>
            <w:shd w:fill="EFF6FF" w:val="clear"/>
            <w:tcMar>
              <w:top w:type="dxa" w:w="100"/>
              <w:left w:type="dxa" w:w="120"/>
              <w:bottom w:type="dxa" w:w="100"/>
              <w:right w:type="dxa" w:w="120"/>
            </w:tcMar>
          </w:tcPr>
          <w:p>
            <w:r>
              <w:rPr>
                <w:rFonts w:ascii="Calibri" w:cs="Calibri" w:eastAsia="Calibri" w:hAnsi="Calibri"/>
                <w:b w:val="false"/>
                <w:bCs w:val="false"/>
                <w:sz w:val="20"/>
                <w:szCs w:val="20"/>
              </w:rPr>
              <w:t xml:space="preserve">Generate feedback via Gemini, with rule-based fallback.</w:t>
            </w:r>
          </w:p>
        </w:tc>
        <w:tc>
          <w:tcPr>
            <w:tcW w:type="dxa" w:w="2000"/>
            <w:tcBorders>
              <w:top w:val="single" w:color="CBD5E1" w:sz="2"/>
              <w:left w:val="single" w:color="CBD5E1" w:sz="2"/>
              <w:bottom w:val="single" w:color="CBD5E1" w:sz="2"/>
              <w:right w:val="single" w:color="CBD5E1" w:sz="2"/>
            </w:tcBorders>
            <w:shd w:fill="EFF6FF" w:val="clear"/>
            <w:tcMar>
              <w:top w:type="dxa" w:w="100"/>
              <w:left w:type="dxa" w:w="120"/>
              <w:bottom w:type="dxa" w:w="100"/>
              <w:right w:type="dxa" w:w="120"/>
            </w:tcMar>
          </w:tcPr>
          <w:p>
            <w:r>
              <w:rPr>
                <w:rFonts w:ascii="Calibri" w:cs="Calibri" w:eastAsia="Calibri" w:hAnsi="Calibri"/>
                <w:b w:val="false"/>
                <w:bCs w:val="false"/>
                <w:sz w:val="20"/>
                <w:szCs w:val="20"/>
              </w:rPr>
              <w:t xml:space="preserve">High</w:t>
            </w:r>
          </w:p>
        </w:tc>
      </w:tr>
      <w:tr>
        <w:tc>
          <w:tcPr>
            <w:tcW w:type="dxa" w:w="220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rFonts w:ascii="Calibri" w:cs="Calibri" w:eastAsia="Calibri" w:hAnsi="Calibri"/>
                <w:b/>
                <w:bCs/>
                <w:sz w:val="20"/>
                <w:szCs w:val="20"/>
              </w:rPr>
              <w:t xml:space="preserve">PDF Reporting</w:t>
            </w:r>
          </w:p>
        </w:tc>
        <w:tc>
          <w:tcPr>
            <w:tcW w:type="dxa" w:w="515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rFonts w:ascii="Calibri" w:cs="Calibri" w:eastAsia="Calibri" w:hAnsi="Calibri"/>
                <w:b w:val="false"/>
                <w:bCs w:val="false"/>
                <w:sz w:val="20"/>
                <w:szCs w:val="20"/>
              </w:rPr>
              <w:t xml:space="preserve">Produce a downloadable evaluation report via ReportLab.</w:t>
            </w:r>
          </w:p>
        </w:tc>
        <w:tc>
          <w:tcPr>
            <w:tcW w:type="dxa" w:w="200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rFonts w:ascii="Calibri" w:cs="Calibri" w:eastAsia="Calibri" w:hAnsi="Calibri"/>
                <w:b w:val="false"/>
                <w:bCs w:val="false"/>
                <w:sz w:val="20"/>
                <w:szCs w:val="20"/>
              </w:rPr>
              <w:t xml:space="preserve">High</w:t>
            </w:r>
          </w:p>
        </w:tc>
      </w:tr>
      <w:tr>
        <w:tc>
          <w:tcPr>
            <w:tcW w:type="dxa" w:w="2200"/>
            <w:tcBorders>
              <w:top w:val="single" w:color="CBD5E1" w:sz="2"/>
              <w:left w:val="single" w:color="CBD5E1" w:sz="2"/>
              <w:bottom w:val="single" w:color="CBD5E1" w:sz="2"/>
              <w:right w:val="single" w:color="CBD5E1" w:sz="2"/>
            </w:tcBorders>
            <w:shd w:fill="EFF6FF" w:val="clear"/>
            <w:tcMar>
              <w:top w:type="dxa" w:w="100"/>
              <w:left w:type="dxa" w:w="120"/>
              <w:bottom w:type="dxa" w:w="100"/>
              <w:right w:type="dxa" w:w="120"/>
            </w:tcMar>
          </w:tcPr>
          <w:p>
            <w:r>
              <w:rPr>
                <w:rFonts w:ascii="Calibri" w:cs="Calibri" w:eastAsia="Calibri" w:hAnsi="Calibri"/>
                <w:b/>
                <w:bCs/>
                <w:sz w:val="20"/>
                <w:szCs w:val="20"/>
              </w:rPr>
              <w:t xml:space="preserve">Dashboard</w:t>
            </w:r>
          </w:p>
        </w:tc>
        <w:tc>
          <w:tcPr>
            <w:tcW w:type="dxa" w:w="5150"/>
            <w:tcBorders>
              <w:top w:val="single" w:color="CBD5E1" w:sz="2"/>
              <w:left w:val="single" w:color="CBD5E1" w:sz="2"/>
              <w:bottom w:val="single" w:color="CBD5E1" w:sz="2"/>
              <w:right w:val="single" w:color="CBD5E1" w:sz="2"/>
            </w:tcBorders>
            <w:shd w:fill="EFF6FF" w:val="clear"/>
            <w:tcMar>
              <w:top w:type="dxa" w:w="100"/>
              <w:left w:type="dxa" w:w="120"/>
              <w:bottom w:type="dxa" w:w="100"/>
              <w:right w:type="dxa" w:w="120"/>
            </w:tcMar>
          </w:tcPr>
          <w:p>
            <w:r>
              <w:rPr>
                <w:rFonts w:ascii="Calibri" w:cs="Calibri" w:eastAsia="Calibri" w:hAnsi="Calibri"/>
                <w:b w:val="false"/>
                <w:bCs w:val="false"/>
                <w:sz w:val="20"/>
                <w:szCs w:val="20"/>
              </w:rPr>
              <w:t xml:space="preserve">Show evaluation history and score trends.</w:t>
            </w:r>
          </w:p>
        </w:tc>
        <w:tc>
          <w:tcPr>
            <w:tcW w:type="dxa" w:w="2000"/>
            <w:tcBorders>
              <w:top w:val="single" w:color="CBD5E1" w:sz="2"/>
              <w:left w:val="single" w:color="CBD5E1" w:sz="2"/>
              <w:bottom w:val="single" w:color="CBD5E1" w:sz="2"/>
              <w:right w:val="single" w:color="CBD5E1" w:sz="2"/>
            </w:tcBorders>
            <w:shd w:fill="EFF6FF" w:val="clear"/>
            <w:tcMar>
              <w:top w:type="dxa" w:w="100"/>
              <w:left w:type="dxa" w:w="120"/>
              <w:bottom w:type="dxa" w:w="100"/>
              <w:right w:type="dxa" w:w="120"/>
            </w:tcMar>
          </w:tcPr>
          <w:p>
            <w:r>
              <w:rPr>
                <w:rFonts w:ascii="Calibri" w:cs="Calibri" w:eastAsia="Calibri" w:hAnsi="Calibri"/>
                <w:b w:val="false"/>
                <w:bCs w:val="false"/>
                <w:sz w:val="20"/>
                <w:szCs w:val="20"/>
              </w:rPr>
              <w:t xml:space="preserve">Medium</w:t>
            </w:r>
          </w:p>
        </w:tc>
      </w:tr>
      <w:tr>
        <w:tc>
          <w:tcPr>
            <w:tcW w:type="dxa" w:w="220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rFonts w:ascii="Calibri" w:cs="Calibri" w:eastAsia="Calibri" w:hAnsi="Calibri"/>
                <w:b/>
                <w:bCs/>
                <w:sz w:val="20"/>
                <w:szCs w:val="20"/>
              </w:rPr>
              <w:t xml:space="preserve">Persistence</w:t>
            </w:r>
          </w:p>
        </w:tc>
        <w:tc>
          <w:tcPr>
            <w:tcW w:type="dxa" w:w="515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rFonts w:ascii="Calibri" w:cs="Calibri" w:eastAsia="Calibri" w:hAnsi="Calibri"/>
                <w:b w:val="false"/>
                <w:bCs w:val="false"/>
                <w:sz w:val="20"/>
                <w:szCs w:val="20"/>
              </w:rPr>
              <w:t xml:space="preserve">Store evaluations via SQLAlchemy (SQLite/PostgreSQL).</w:t>
            </w:r>
          </w:p>
        </w:tc>
        <w:tc>
          <w:tcPr>
            <w:tcW w:type="dxa" w:w="200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rFonts w:ascii="Calibri" w:cs="Calibri" w:eastAsia="Calibri" w:hAnsi="Calibri"/>
                <w:b w:val="false"/>
                <w:bCs w:val="false"/>
                <w:sz w:val="20"/>
                <w:szCs w:val="20"/>
              </w:rPr>
              <w:t xml:space="preserve">High</w:t>
            </w:r>
          </w:p>
        </w:tc>
      </w:tr>
      <w:tr>
        <w:tc>
          <w:tcPr>
            <w:tcW w:type="dxa" w:w="2200"/>
            <w:tcBorders>
              <w:top w:val="single" w:color="CBD5E1" w:sz="2"/>
              <w:left w:val="single" w:color="CBD5E1" w:sz="2"/>
              <w:bottom w:val="single" w:color="CBD5E1" w:sz="2"/>
              <w:right w:val="single" w:color="CBD5E1" w:sz="2"/>
            </w:tcBorders>
            <w:shd w:fill="EFF6FF" w:val="clear"/>
            <w:tcMar>
              <w:top w:type="dxa" w:w="100"/>
              <w:left w:type="dxa" w:w="120"/>
              <w:bottom w:type="dxa" w:w="100"/>
              <w:right w:type="dxa" w:w="120"/>
            </w:tcMar>
          </w:tcPr>
          <w:p>
            <w:r>
              <w:rPr>
                <w:rFonts w:ascii="Calibri" w:cs="Calibri" w:eastAsia="Calibri" w:hAnsi="Calibri"/>
                <w:b/>
                <w:bCs/>
                <w:sz w:val="20"/>
                <w:szCs w:val="20"/>
              </w:rPr>
              <w:t xml:space="preserve">Authentication</w:t>
            </w:r>
          </w:p>
        </w:tc>
        <w:tc>
          <w:tcPr>
            <w:tcW w:type="dxa" w:w="5150"/>
            <w:tcBorders>
              <w:top w:val="single" w:color="CBD5E1" w:sz="2"/>
              <w:left w:val="single" w:color="CBD5E1" w:sz="2"/>
              <w:bottom w:val="single" w:color="CBD5E1" w:sz="2"/>
              <w:right w:val="single" w:color="CBD5E1" w:sz="2"/>
            </w:tcBorders>
            <w:shd w:fill="EFF6FF" w:val="clear"/>
            <w:tcMar>
              <w:top w:type="dxa" w:w="100"/>
              <w:left w:type="dxa" w:w="120"/>
              <w:bottom w:type="dxa" w:w="100"/>
              <w:right w:type="dxa" w:w="120"/>
            </w:tcMar>
          </w:tcPr>
          <w:p>
            <w:r>
              <w:rPr>
                <w:rFonts w:ascii="Calibri" w:cs="Calibri" w:eastAsia="Calibri" w:hAnsi="Calibri"/>
                <w:b w:val="false"/>
                <w:bCs w:val="false"/>
                <w:sz w:val="20"/>
                <w:szCs w:val="20"/>
              </w:rPr>
              <w:t xml:space="preserve">Not required for the current single-user version.</w:t>
            </w:r>
          </w:p>
        </w:tc>
        <w:tc>
          <w:tcPr>
            <w:tcW w:type="dxa" w:w="2000"/>
            <w:tcBorders>
              <w:top w:val="single" w:color="CBD5E1" w:sz="2"/>
              <w:left w:val="single" w:color="CBD5E1" w:sz="2"/>
              <w:bottom w:val="single" w:color="CBD5E1" w:sz="2"/>
              <w:right w:val="single" w:color="CBD5E1" w:sz="2"/>
            </w:tcBorders>
            <w:shd w:fill="EFF6FF" w:val="clear"/>
            <w:tcMar>
              <w:top w:type="dxa" w:w="100"/>
              <w:left w:type="dxa" w:w="120"/>
              <w:bottom w:type="dxa" w:w="100"/>
              <w:right w:type="dxa" w:w="120"/>
            </w:tcMar>
          </w:tcPr>
          <w:p>
            <w:r>
              <w:rPr>
                <w:rFonts w:ascii="Calibri" w:cs="Calibri" w:eastAsia="Calibri" w:hAnsi="Calibri"/>
                <w:b w:val="false"/>
                <w:bCs w:val="false"/>
                <w:sz w:val="20"/>
                <w:szCs w:val="20"/>
              </w:rPr>
              <w:t xml:space="preserve">Low</w:t>
            </w:r>
          </w:p>
        </w:tc>
      </w:tr>
    </w:tbl>
    <w:p>
      <w:pPr>
        <w:pStyle w:val="Heading1"/>
        <w:spacing w:after="140" w:before="340"/>
      </w:pPr>
      <w:r>
        <w:t xml:space="preserve">6. System Architecture</w:t>
      </w:r>
    </w:p>
    <w:p>
      <w:pPr>
        <w:spacing w:after="140" w:line="300"/>
      </w:pPr>
      <w:r>
        <w:rPr>
          <w:rFonts w:ascii="Calibri" w:cs="Calibri" w:eastAsia="Calibri" w:hAnsi="Calibri"/>
          <w:sz w:val="22"/>
          <w:szCs w:val="22"/>
        </w:rPr>
        <w:t xml:space="preserve">VBCUA follows a linear pipeline architecture: the learner's audio flows through transcription, scoring, feedback generation, and reporting, with two data stores supporting the process — a static topic/reference-explanation store and a persistent evaluations database. The diagram below (from the project's Data Flow Diagram) illustrates this flow.</w:t>
      </w:r>
    </w:p>
    <w:p>
      <w:pPr>
        <w:spacing w:after="100" w:before="100"/>
        <w:jc w:val="center"/>
      </w:pPr>
      <w:r>
        <w:drawing>
          <wp:inline distT="0" distB="0" distL="0" distR="0">
            <wp:extent cx="5905500" cy="3924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3924300"/>
                    </a:xfrm>
                    <a:prstGeom prst="rect">
                      <a:avLst/>
                    </a:prstGeom>
                  </pic:spPr>
                </pic:pic>
              </a:graphicData>
            </a:graphic>
          </wp:inline>
        </w:drawing>
      </w:r>
    </w:p>
    <w:p>
      <w:pPr>
        <w:pStyle w:val="Heading2"/>
        <w:spacing w:after="100" w:before="220"/>
      </w:pPr>
      <w:r>
        <w:t xml:space="preserve">6.1 Project Structure</w:t>
      </w:r>
    </w:p>
    <w:p>
      <w:pPr>
        <w:pStyle w:val="ListParagraph"/>
        <w:numPr>
          <w:ilvl w:val="0"/>
          <w:numId w:val="1"/>
        </w:numPr>
        <w:spacing w:after="90" w:line="280"/>
      </w:pPr>
      <w:r>
        <w:rPr>
          <w:rFonts w:ascii="Calibri" w:cs="Calibri" w:eastAsia="Calibri" w:hAnsi="Calibri"/>
          <w:sz w:val="22"/>
          <w:szCs w:val="22"/>
        </w:rPr>
        <w:t xml:space="preserve">app.py — Streamlit UI entry point, orchestrates the full pipeline.</w:t>
      </w:r>
    </w:p>
    <w:p>
      <w:pPr>
        <w:pStyle w:val="ListParagraph"/>
        <w:numPr>
          <w:ilvl w:val="0"/>
          <w:numId w:val="1"/>
        </w:numPr>
        <w:spacing w:after="90" w:line="280"/>
      </w:pPr>
      <w:r>
        <w:rPr>
          <w:rFonts w:ascii="Calibri" w:cs="Calibri" w:eastAsia="Calibri" w:hAnsi="Calibri"/>
          <w:sz w:val="22"/>
          <w:szCs w:val="22"/>
        </w:rPr>
        <w:t xml:space="preserve">config.py — centralized configuration (paths, model names, weights, thresholds).</w:t>
      </w:r>
    </w:p>
    <w:p>
      <w:pPr>
        <w:pStyle w:val="ListParagraph"/>
        <w:numPr>
          <w:ilvl w:val="0"/>
          <w:numId w:val="1"/>
        </w:numPr>
        <w:spacing w:after="90" w:line="280"/>
      </w:pPr>
      <w:r>
        <w:rPr>
          <w:rFonts w:ascii="Calibri" w:cs="Calibri" w:eastAsia="Calibri" w:hAnsi="Calibri"/>
          <w:sz w:val="22"/>
          <w:szCs w:val="22"/>
        </w:rPr>
        <w:t xml:space="preserve">src/transcription.py — Whisper-based speech-to-text.</w:t>
      </w:r>
    </w:p>
    <w:p>
      <w:pPr>
        <w:pStyle w:val="ListParagraph"/>
        <w:numPr>
          <w:ilvl w:val="0"/>
          <w:numId w:val="1"/>
        </w:numPr>
        <w:spacing w:after="90" w:line="280"/>
      </w:pPr>
      <w:r>
        <w:rPr>
          <w:rFonts w:ascii="Calibri" w:cs="Calibri" w:eastAsia="Calibri" w:hAnsi="Calibri"/>
          <w:sz w:val="22"/>
          <w:szCs w:val="22"/>
        </w:rPr>
        <w:t xml:space="preserve">src/semantic_analysis.py — Sentence-BERT cosine similarity scoring.</w:t>
      </w:r>
    </w:p>
    <w:p>
      <w:pPr>
        <w:pStyle w:val="ListParagraph"/>
        <w:numPr>
          <w:ilvl w:val="0"/>
          <w:numId w:val="1"/>
        </w:numPr>
        <w:spacing w:after="90" w:line="280"/>
      </w:pPr>
      <w:r>
        <w:rPr>
          <w:rFonts w:ascii="Calibri" w:cs="Calibri" w:eastAsia="Calibri" w:hAnsi="Calibri"/>
          <w:sz w:val="22"/>
          <w:szCs w:val="22"/>
        </w:rPr>
        <w:t xml:space="preserve">src/audio_analysis.py — pause detection, filler detection, WPM, fluency score, waveform image.</w:t>
      </w:r>
    </w:p>
    <w:p>
      <w:pPr>
        <w:pStyle w:val="ListParagraph"/>
        <w:numPr>
          <w:ilvl w:val="0"/>
          <w:numId w:val="1"/>
        </w:numPr>
        <w:spacing w:after="90" w:line="280"/>
      </w:pPr>
      <w:r>
        <w:rPr>
          <w:rFonts w:ascii="Calibri" w:cs="Calibri" w:eastAsia="Calibri" w:hAnsi="Calibri"/>
          <w:sz w:val="22"/>
          <w:szCs w:val="22"/>
        </w:rPr>
        <w:t xml:space="preserve">src/scoring.py — weighted overall score and grade banding.</w:t>
      </w:r>
    </w:p>
    <w:p>
      <w:pPr>
        <w:pStyle w:val="ListParagraph"/>
        <w:numPr>
          <w:ilvl w:val="0"/>
          <w:numId w:val="1"/>
        </w:numPr>
        <w:spacing w:after="90" w:line="280"/>
      </w:pPr>
      <w:r>
        <w:rPr>
          <w:rFonts w:ascii="Calibri" w:cs="Calibri" w:eastAsia="Calibri" w:hAnsi="Calibri"/>
          <w:sz w:val="22"/>
          <w:szCs w:val="22"/>
        </w:rPr>
        <w:t xml:space="preserve">src/feedback.py — Gemini feedback generation with rule-based fallback.</w:t>
      </w:r>
    </w:p>
    <w:p>
      <w:pPr>
        <w:pStyle w:val="ListParagraph"/>
        <w:numPr>
          <w:ilvl w:val="0"/>
          <w:numId w:val="1"/>
        </w:numPr>
        <w:spacing w:after="90" w:line="280"/>
      </w:pPr>
      <w:r>
        <w:rPr>
          <w:rFonts w:ascii="Calibri" w:cs="Calibri" w:eastAsia="Calibri" w:hAnsi="Calibri"/>
          <w:sz w:val="22"/>
          <w:szCs w:val="22"/>
        </w:rPr>
        <w:t xml:space="preserve">src/pdf_report.py — ReportLab PDF report builder.</w:t>
      </w:r>
    </w:p>
    <w:p>
      <w:pPr>
        <w:pStyle w:val="ListParagraph"/>
        <w:numPr>
          <w:ilvl w:val="0"/>
          <w:numId w:val="1"/>
        </w:numPr>
        <w:spacing w:after="90" w:line="280"/>
      </w:pPr>
      <w:r>
        <w:rPr>
          <w:rFonts w:ascii="Calibri" w:cs="Calibri" w:eastAsia="Calibri" w:hAnsi="Calibri"/>
          <w:sz w:val="22"/>
          <w:szCs w:val="22"/>
        </w:rPr>
        <w:t xml:space="preserve">src/database.py — SQLAlchemy models and persistence functions.</w:t>
      </w:r>
    </w:p>
    <w:p>
      <w:pPr>
        <w:pStyle w:val="ListParagraph"/>
        <w:numPr>
          <w:ilvl w:val="0"/>
          <w:numId w:val="1"/>
        </w:numPr>
        <w:spacing w:after="90" w:line="280"/>
      </w:pPr>
      <w:r>
        <w:rPr>
          <w:rFonts w:ascii="Calibri" w:cs="Calibri" w:eastAsia="Calibri" w:hAnsi="Calibri"/>
          <w:sz w:val="22"/>
          <w:szCs w:val="22"/>
        </w:rPr>
        <w:t xml:space="preserve">data/topics.py — sample topics and reference explanations.</w:t>
      </w:r>
    </w:p>
    <w:p>
      <w:pPr>
        <w:pStyle w:val="ListParagraph"/>
        <w:numPr>
          <w:ilvl w:val="0"/>
          <w:numId w:val="1"/>
        </w:numPr>
        <w:spacing w:after="90" w:line="280"/>
      </w:pPr>
      <w:r>
        <w:rPr>
          <w:rFonts w:ascii="Calibri" w:cs="Calibri" w:eastAsia="Calibri" w:hAnsi="Calibri"/>
          <w:sz w:val="22"/>
          <w:szCs w:val="22"/>
        </w:rPr>
        <w:t xml:space="preserve">tests/ — automated Pytest suite (17 tests).</w:t>
      </w:r>
    </w:p>
    <w:p>
      <w:pPr>
        <w:pStyle w:val="Heading1"/>
        <w:spacing w:after="140" w:before="340"/>
      </w:pPr>
      <w:r>
        <w:t xml:space="preserve">7. Technology Stack</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2600"/>
            <w:tcBorders>
              <w:top w:val="single" w:color="CBD5E1" w:sz="2"/>
              <w:left w:val="single" w:color="CBD5E1" w:sz="2"/>
              <w:bottom w:val="single" w:color="CBD5E1" w:sz="2"/>
              <w:right w:val="single" w:color="CBD5E1" w:sz="2"/>
            </w:tcBorders>
            <w:shd w:fill="1E3A8A" w:val="clear"/>
            <w:tcMar>
              <w:top w:type="dxa" w:w="100"/>
              <w:left w:type="dxa" w:w="120"/>
              <w:bottom w:type="dxa" w:w="100"/>
              <w:right w:type="dxa" w:w="120"/>
            </w:tcMar>
          </w:tcPr>
          <w:p>
            <w:r>
              <w:rPr>
                <w:rFonts w:ascii="Calibri" w:cs="Calibri" w:eastAsia="Calibri" w:hAnsi="Calibri"/>
                <w:b/>
                <w:bCs/>
                <w:color w:val="FFFFFF"/>
                <w:sz w:val="20"/>
                <w:szCs w:val="20"/>
              </w:rPr>
              <w:t xml:space="preserve">Layer</w:t>
            </w:r>
          </w:p>
        </w:tc>
        <w:tc>
          <w:tcPr>
            <w:tcW w:type="dxa" w:w="6200"/>
            <w:tcBorders>
              <w:top w:val="single" w:color="CBD5E1" w:sz="2"/>
              <w:left w:val="single" w:color="CBD5E1" w:sz="2"/>
              <w:bottom w:val="single" w:color="CBD5E1" w:sz="2"/>
              <w:right w:val="single" w:color="CBD5E1" w:sz="2"/>
            </w:tcBorders>
            <w:shd w:fill="1E3A8A" w:val="clear"/>
            <w:tcMar>
              <w:top w:type="dxa" w:w="100"/>
              <w:left w:type="dxa" w:w="120"/>
              <w:bottom w:type="dxa" w:w="100"/>
              <w:right w:type="dxa" w:w="120"/>
            </w:tcMar>
          </w:tcPr>
          <w:p>
            <w:r>
              <w:rPr>
                <w:rFonts w:ascii="Calibri" w:cs="Calibri" w:eastAsia="Calibri" w:hAnsi="Calibri"/>
                <w:b/>
                <w:bCs/>
                <w:color w:val="FFFFFF"/>
                <w:sz w:val="20"/>
                <w:szCs w:val="20"/>
              </w:rPr>
              <w:t xml:space="preserve">Technology</w:t>
            </w:r>
          </w:p>
        </w:tc>
      </w:tr>
      <w:tr>
        <w:tc>
          <w:tcPr>
            <w:tcW w:type="dxa" w:w="260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rFonts w:ascii="Calibri" w:cs="Calibri" w:eastAsia="Calibri" w:hAnsi="Calibri"/>
                <w:b/>
                <w:bCs/>
                <w:sz w:val="20"/>
                <w:szCs w:val="20"/>
              </w:rPr>
              <w:t xml:space="preserve">Frontend</w:t>
            </w:r>
          </w:p>
        </w:tc>
        <w:tc>
          <w:tcPr>
            <w:tcW w:type="dxa" w:w="620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rFonts w:ascii="Calibri" w:cs="Calibri" w:eastAsia="Calibri" w:hAnsi="Calibri"/>
                <w:b w:val="false"/>
                <w:bCs w:val="false"/>
                <w:sz w:val="20"/>
                <w:szCs w:val="20"/>
              </w:rPr>
              <w:t xml:space="preserve">Streamlit</w:t>
            </w:r>
          </w:p>
        </w:tc>
      </w:tr>
      <w:tr>
        <w:tc>
          <w:tcPr>
            <w:tcW w:type="dxa" w:w="2600"/>
            <w:tcBorders>
              <w:top w:val="single" w:color="CBD5E1" w:sz="2"/>
              <w:left w:val="single" w:color="CBD5E1" w:sz="2"/>
              <w:bottom w:val="single" w:color="CBD5E1" w:sz="2"/>
              <w:right w:val="single" w:color="CBD5E1" w:sz="2"/>
            </w:tcBorders>
            <w:shd w:fill="EFF6FF" w:val="clear"/>
            <w:tcMar>
              <w:top w:type="dxa" w:w="100"/>
              <w:left w:type="dxa" w:w="120"/>
              <w:bottom w:type="dxa" w:w="100"/>
              <w:right w:type="dxa" w:w="120"/>
            </w:tcMar>
          </w:tcPr>
          <w:p>
            <w:r>
              <w:rPr>
                <w:rFonts w:ascii="Calibri" w:cs="Calibri" w:eastAsia="Calibri" w:hAnsi="Calibri"/>
                <w:b/>
                <w:bCs/>
                <w:sz w:val="20"/>
                <w:szCs w:val="20"/>
              </w:rPr>
              <w:t xml:space="preserve">Backend</w:t>
            </w:r>
          </w:p>
        </w:tc>
        <w:tc>
          <w:tcPr>
            <w:tcW w:type="dxa" w:w="6200"/>
            <w:tcBorders>
              <w:top w:val="single" w:color="CBD5E1" w:sz="2"/>
              <w:left w:val="single" w:color="CBD5E1" w:sz="2"/>
              <w:bottom w:val="single" w:color="CBD5E1" w:sz="2"/>
              <w:right w:val="single" w:color="CBD5E1" w:sz="2"/>
            </w:tcBorders>
            <w:shd w:fill="EFF6FF" w:val="clear"/>
            <w:tcMar>
              <w:top w:type="dxa" w:w="100"/>
              <w:left w:type="dxa" w:w="120"/>
              <w:bottom w:type="dxa" w:w="100"/>
              <w:right w:type="dxa" w:w="120"/>
            </w:tcMar>
          </w:tcPr>
          <w:p>
            <w:r>
              <w:rPr>
                <w:rFonts w:ascii="Calibri" w:cs="Calibri" w:eastAsia="Calibri" w:hAnsi="Calibri"/>
                <w:b w:val="false"/>
                <w:bCs w:val="false"/>
                <w:sz w:val="20"/>
                <w:szCs w:val="20"/>
              </w:rPr>
              <w:t xml:space="preserve">Python 3.12</w:t>
            </w:r>
          </w:p>
        </w:tc>
      </w:tr>
      <w:tr>
        <w:tc>
          <w:tcPr>
            <w:tcW w:type="dxa" w:w="260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rFonts w:ascii="Calibri" w:cs="Calibri" w:eastAsia="Calibri" w:hAnsi="Calibri"/>
                <w:b/>
                <w:bCs/>
                <w:sz w:val="20"/>
                <w:szCs w:val="20"/>
              </w:rPr>
              <w:t xml:space="preserve">Speech-to-Text</w:t>
            </w:r>
          </w:p>
        </w:tc>
        <w:tc>
          <w:tcPr>
            <w:tcW w:type="dxa" w:w="620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rFonts w:ascii="Calibri" w:cs="Calibri" w:eastAsia="Calibri" w:hAnsi="Calibri"/>
                <w:b w:val="false"/>
                <w:bCs w:val="false"/>
                <w:sz w:val="20"/>
                <w:szCs w:val="20"/>
              </w:rPr>
              <w:t xml:space="preserve">OpenAI Whisper (default model: base)</w:t>
            </w:r>
          </w:p>
        </w:tc>
      </w:tr>
      <w:tr>
        <w:tc>
          <w:tcPr>
            <w:tcW w:type="dxa" w:w="2600"/>
            <w:tcBorders>
              <w:top w:val="single" w:color="CBD5E1" w:sz="2"/>
              <w:left w:val="single" w:color="CBD5E1" w:sz="2"/>
              <w:bottom w:val="single" w:color="CBD5E1" w:sz="2"/>
              <w:right w:val="single" w:color="CBD5E1" w:sz="2"/>
            </w:tcBorders>
            <w:shd w:fill="EFF6FF" w:val="clear"/>
            <w:tcMar>
              <w:top w:type="dxa" w:w="100"/>
              <w:left w:type="dxa" w:w="120"/>
              <w:bottom w:type="dxa" w:w="100"/>
              <w:right w:type="dxa" w:w="120"/>
            </w:tcMar>
          </w:tcPr>
          <w:p>
            <w:r>
              <w:rPr>
                <w:rFonts w:ascii="Calibri" w:cs="Calibri" w:eastAsia="Calibri" w:hAnsi="Calibri"/>
                <w:b/>
                <w:bCs/>
                <w:sz w:val="20"/>
                <w:szCs w:val="20"/>
              </w:rPr>
              <w:t xml:space="preserve">Semantic Analysis</w:t>
            </w:r>
          </w:p>
        </w:tc>
        <w:tc>
          <w:tcPr>
            <w:tcW w:type="dxa" w:w="6200"/>
            <w:tcBorders>
              <w:top w:val="single" w:color="CBD5E1" w:sz="2"/>
              <w:left w:val="single" w:color="CBD5E1" w:sz="2"/>
              <w:bottom w:val="single" w:color="CBD5E1" w:sz="2"/>
              <w:right w:val="single" w:color="CBD5E1" w:sz="2"/>
            </w:tcBorders>
            <w:shd w:fill="EFF6FF" w:val="clear"/>
            <w:tcMar>
              <w:top w:type="dxa" w:w="100"/>
              <w:left w:type="dxa" w:w="120"/>
              <w:bottom w:type="dxa" w:w="100"/>
              <w:right w:type="dxa" w:w="120"/>
            </w:tcMar>
          </w:tcPr>
          <w:p>
            <w:r>
              <w:rPr>
                <w:rFonts w:ascii="Calibri" w:cs="Calibri" w:eastAsia="Calibri" w:hAnsi="Calibri"/>
                <w:b w:val="false"/>
                <w:bCs w:val="false"/>
                <w:sz w:val="20"/>
                <w:szCs w:val="20"/>
              </w:rPr>
              <w:t xml:space="preserve">Sentence-BERT (all-MiniLM-L6-v2)</w:t>
            </w:r>
          </w:p>
        </w:tc>
      </w:tr>
      <w:tr>
        <w:tc>
          <w:tcPr>
            <w:tcW w:type="dxa" w:w="260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rFonts w:ascii="Calibri" w:cs="Calibri" w:eastAsia="Calibri" w:hAnsi="Calibri"/>
                <w:b/>
                <w:bCs/>
                <w:sz w:val="20"/>
                <w:szCs w:val="20"/>
              </w:rPr>
              <w:t xml:space="preserve">Audio Processing</w:t>
            </w:r>
          </w:p>
        </w:tc>
        <w:tc>
          <w:tcPr>
            <w:tcW w:type="dxa" w:w="620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rFonts w:ascii="Calibri" w:cs="Calibri" w:eastAsia="Calibri" w:hAnsi="Calibri"/>
                <w:b w:val="false"/>
                <w:bCs w:val="false"/>
                <w:sz w:val="20"/>
                <w:szCs w:val="20"/>
              </w:rPr>
              <w:t xml:space="preserve">Librosa + SoundFile</w:t>
            </w:r>
          </w:p>
        </w:tc>
      </w:tr>
      <w:tr>
        <w:tc>
          <w:tcPr>
            <w:tcW w:type="dxa" w:w="2600"/>
            <w:tcBorders>
              <w:top w:val="single" w:color="CBD5E1" w:sz="2"/>
              <w:left w:val="single" w:color="CBD5E1" w:sz="2"/>
              <w:bottom w:val="single" w:color="CBD5E1" w:sz="2"/>
              <w:right w:val="single" w:color="CBD5E1" w:sz="2"/>
            </w:tcBorders>
            <w:shd w:fill="EFF6FF" w:val="clear"/>
            <w:tcMar>
              <w:top w:type="dxa" w:w="100"/>
              <w:left w:type="dxa" w:w="120"/>
              <w:bottom w:type="dxa" w:w="100"/>
              <w:right w:type="dxa" w:w="120"/>
            </w:tcMar>
          </w:tcPr>
          <w:p>
            <w:r>
              <w:rPr>
                <w:rFonts w:ascii="Calibri" w:cs="Calibri" w:eastAsia="Calibri" w:hAnsi="Calibri"/>
                <w:b/>
                <w:bCs/>
                <w:sz w:val="20"/>
                <w:szCs w:val="20"/>
              </w:rPr>
              <w:t xml:space="preserve">AI Feedback</w:t>
            </w:r>
          </w:p>
        </w:tc>
        <w:tc>
          <w:tcPr>
            <w:tcW w:type="dxa" w:w="6200"/>
            <w:tcBorders>
              <w:top w:val="single" w:color="CBD5E1" w:sz="2"/>
              <w:left w:val="single" w:color="CBD5E1" w:sz="2"/>
              <w:bottom w:val="single" w:color="CBD5E1" w:sz="2"/>
              <w:right w:val="single" w:color="CBD5E1" w:sz="2"/>
            </w:tcBorders>
            <w:shd w:fill="EFF6FF" w:val="clear"/>
            <w:tcMar>
              <w:top w:type="dxa" w:w="100"/>
              <w:left w:type="dxa" w:w="120"/>
              <w:bottom w:type="dxa" w:w="100"/>
              <w:right w:type="dxa" w:w="120"/>
            </w:tcMar>
          </w:tcPr>
          <w:p>
            <w:r>
              <w:rPr>
                <w:rFonts w:ascii="Calibri" w:cs="Calibri" w:eastAsia="Calibri" w:hAnsi="Calibri"/>
                <w:b w:val="false"/>
                <w:bCs w:val="false"/>
                <w:sz w:val="20"/>
                <w:szCs w:val="20"/>
              </w:rPr>
              <w:t xml:space="preserve">Google Gemini API (gemini-1.5-flash), rule-based fallback</w:t>
            </w:r>
          </w:p>
        </w:tc>
      </w:tr>
      <w:tr>
        <w:tc>
          <w:tcPr>
            <w:tcW w:type="dxa" w:w="260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rFonts w:ascii="Calibri" w:cs="Calibri" w:eastAsia="Calibri" w:hAnsi="Calibri"/>
                <w:b/>
                <w:bCs/>
                <w:sz w:val="20"/>
                <w:szCs w:val="20"/>
              </w:rPr>
              <w:t xml:space="preserve">Database</w:t>
            </w:r>
          </w:p>
        </w:tc>
        <w:tc>
          <w:tcPr>
            <w:tcW w:type="dxa" w:w="620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rFonts w:ascii="Calibri" w:cs="Calibri" w:eastAsia="Calibri" w:hAnsi="Calibri"/>
                <w:b w:val="false"/>
                <w:bCs w:val="false"/>
                <w:sz w:val="20"/>
                <w:szCs w:val="20"/>
              </w:rPr>
              <w:t xml:space="preserve">SQLAlchemy ORM — SQLite (default) or PostgreSQL</w:t>
            </w:r>
          </w:p>
        </w:tc>
      </w:tr>
      <w:tr>
        <w:tc>
          <w:tcPr>
            <w:tcW w:type="dxa" w:w="2600"/>
            <w:tcBorders>
              <w:top w:val="single" w:color="CBD5E1" w:sz="2"/>
              <w:left w:val="single" w:color="CBD5E1" w:sz="2"/>
              <w:bottom w:val="single" w:color="CBD5E1" w:sz="2"/>
              <w:right w:val="single" w:color="CBD5E1" w:sz="2"/>
            </w:tcBorders>
            <w:shd w:fill="EFF6FF" w:val="clear"/>
            <w:tcMar>
              <w:top w:type="dxa" w:w="100"/>
              <w:left w:type="dxa" w:w="120"/>
              <w:bottom w:type="dxa" w:w="100"/>
              <w:right w:type="dxa" w:w="120"/>
            </w:tcMar>
          </w:tcPr>
          <w:p>
            <w:r>
              <w:rPr>
                <w:rFonts w:ascii="Calibri" w:cs="Calibri" w:eastAsia="Calibri" w:hAnsi="Calibri"/>
                <w:b/>
                <w:bCs/>
                <w:sz w:val="20"/>
                <w:szCs w:val="20"/>
              </w:rPr>
              <w:t xml:space="preserve">PDF Reporting</w:t>
            </w:r>
          </w:p>
        </w:tc>
        <w:tc>
          <w:tcPr>
            <w:tcW w:type="dxa" w:w="6200"/>
            <w:tcBorders>
              <w:top w:val="single" w:color="CBD5E1" w:sz="2"/>
              <w:left w:val="single" w:color="CBD5E1" w:sz="2"/>
              <w:bottom w:val="single" w:color="CBD5E1" w:sz="2"/>
              <w:right w:val="single" w:color="CBD5E1" w:sz="2"/>
            </w:tcBorders>
            <w:shd w:fill="EFF6FF" w:val="clear"/>
            <w:tcMar>
              <w:top w:type="dxa" w:w="100"/>
              <w:left w:type="dxa" w:w="120"/>
              <w:bottom w:type="dxa" w:w="100"/>
              <w:right w:type="dxa" w:w="120"/>
            </w:tcMar>
          </w:tcPr>
          <w:p>
            <w:r>
              <w:rPr>
                <w:rFonts w:ascii="Calibri" w:cs="Calibri" w:eastAsia="Calibri" w:hAnsi="Calibri"/>
                <w:b w:val="false"/>
                <w:bCs w:val="false"/>
                <w:sz w:val="20"/>
                <w:szCs w:val="20"/>
              </w:rPr>
              <w:t xml:space="preserve">ReportLab</w:t>
            </w:r>
          </w:p>
        </w:tc>
      </w:tr>
      <w:tr>
        <w:tc>
          <w:tcPr>
            <w:tcW w:type="dxa" w:w="260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rFonts w:ascii="Calibri" w:cs="Calibri" w:eastAsia="Calibri" w:hAnsi="Calibri"/>
                <w:b/>
                <w:bCs/>
                <w:sz w:val="20"/>
                <w:szCs w:val="20"/>
              </w:rPr>
              <w:t xml:space="preserve">Testing</w:t>
            </w:r>
          </w:p>
        </w:tc>
        <w:tc>
          <w:tcPr>
            <w:tcW w:type="dxa" w:w="6200"/>
            <w:tcBorders>
              <w:top w:val="single" w:color="CBD5E1" w:sz="2"/>
              <w:left w:val="single" w:color="CBD5E1" w:sz="2"/>
              <w:bottom w:val="single" w:color="CBD5E1" w:sz="2"/>
              <w:right w:val="single" w:color="CBD5E1" w:sz="2"/>
            </w:tcBorders>
            <w:tcMar>
              <w:top w:type="dxa" w:w="100"/>
              <w:left w:type="dxa" w:w="120"/>
              <w:bottom w:type="dxa" w:w="100"/>
              <w:right w:type="dxa" w:w="120"/>
            </w:tcMar>
          </w:tcPr>
          <w:p>
            <w:r>
              <w:rPr>
                <w:rFonts w:ascii="Calibri" w:cs="Calibri" w:eastAsia="Calibri" w:hAnsi="Calibri"/>
                <w:b w:val="false"/>
                <w:bCs w:val="false"/>
                <w:sz w:val="20"/>
                <w:szCs w:val="20"/>
              </w:rPr>
              <w:t xml:space="preserve">Pytest + pytest-mock</w:t>
            </w:r>
          </w:p>
        </w:tc>
      </w:tr>
    </w:tbl>
    <w:p>
      <w:pPr>
        <w:pStyle w:val="Heading1"/>
        <w:spacing w:after="140" w:before="340"/>
      </w:pPr>
      <w:r>
        <w:t xml:space="preserve">8. Implementation Details</w:t>
      </w:r>
    </w:p>
    <w:p>
      <w:pPr>
        <w:pStyle w:val="Heading2"/>
        <w:spacing w:after="100" w:before="220"/>
      </w:pPr>
      <w:r>
        <w:t xml:space="preserve">8.1 Transcription</w:t>
      </w:r>
    </w:p>
    <w:p>
      <w:pPr>
        <w:spacing w:after="140" w:line="300"/>
      </w:pPr>
      <w:r>
        <w:rPr>
          <w:rFonts w:ascii="Calibri" w:cs="Calibri" w:eastAsia="Calibri" w:hAnsi="Calibri"/>
          <w:sz w:val="22"/>
          <w:szCs w:val="22"/>
        </w:rPr>
        <w:t xml:space="preserve">Whisper is loaded once and cached; audio is transcribed to plain text plus timed segments, which downstream modules use for scoring.</w:t>
      </w:r>
    </w:p>
    <w:p>
      <w:pPr>
        <w:pStyle w:val="Heading2"/>
        <w:spacing w:after="100" w:before="220"/>
      </w:pPr>
      <w:r>
        <w:t xml:space="preserve">8.2 Semantic Scoring</w:t>
      </w:r>
    </w:p>
    <w:p>
      <w:pPr>
        <w:spacing w:after="140" w:line="300"/>
      </w:pPr>
      <w:r>
        <w:rPr>
          <w:rFonts w:ascii="Calibri" w:cs="Calibri" w:eastAsia="Calibri" w:hAnsi="Calibri"/>
          <w:sz w:val="22"/>
          <w:szCs w:val="22"/>
        </w:rPr>
        <w:t xml:space="preserve">The transcript and the topic's reference explanation are embedded with Sentence-BERT, and their cosine similarity is rescaled to a 0–100 semantic score.</w:t>
      </w:r>
    </w:p>
    <w:p>
      <w:pPr>
        <w:pStyle w:val="Heading2"/>
        <w:spacing w:after="100" w:before="220"/>
      </w:pPr>
      <w:r>
        <w:t xml:space="preserve">8.3 Fluency Scoring</w:t>
      </w:r>
    </w:p>
    <w:p>
      <w:pPr>
        <w:spacing w:after="140" w:line="300"/>
      </w:pPr>
      <w:r>
        <w:rPr>
          <w:rFonts w:ascii="Calibri" w:cs="Calibri" w:eastAsia="Calibri" w:hAnsi="Calibri"/>
          <w:sz w:val="22"/>
          <w:szCs w:val="22"/>
        </w:rPr>
        <w:t xml:space="preserve">Librosa detects silent gaps (pauses) and, combined with word count and filler-word detection (regex word-boundary matching), produces a weighted fluency score: 40% speaking rate, 30% pause quality, 30% filler-word rate.</w:t>
      </w:r>
    </w:p>
    <w:p>
      <w:pPr>
        <w:pStyle w:val="Heading2"/>
        <w:spacing w:after="100" w:before="220"/>
      </w:pPr>
      <w:r>
        <w:t xml:space="preserve">8.4 Overall Scoring</w:t>
      </w:r>
    </w:p>
    <w:p>
      <w:pPr>
        <w:spacing w:after="140" w:line="300"/>
      </w:pPr>
      <w:r>
        <w:rPr>
          <w:rFonts w:ascii="Calibri" w:cs="Calibri" w:eastAsia="Calibri" w:hAnsi="Calibri"/>
          <w:sz w:val="22"/>
          <w:szCs w:val="22"/>
        </w:rPr>
        <w:t xml:space="preserve">Overall Score = (Semantic × 0.6) + (Fluency × 0.4) by default (configurable), mapped to grade bands: ≥85 Excellent, ≥70 Good, ≥50 Fair, below 50 Needs Improvement.</w:t>
      </w:r>
    </w:p>
    <w:p>
      <w:pPr>
        <w:pStyle w:val="Heading2"/>
        <w:spacing w:after="100" w:before="220"/>
      </w:pPr>
      <w:r>
        <w:t xml:space="preserve">8.5 AI Feedback &amp; Reporting</w:t>
      </w:r>
    </w:p>
    <w:p>
      <w:pPr>
        <w:spacing w:after="140" w:line="300"/>
      </w:pPr>
      <w:r>
        <w:rPr>
          <w:rFonts w:ascii="Calibri" w:cs="Calibri" w:eastAsia="Calibri" w:hAnsi="Calibri"/>
          <w:sz w:val="22"/>
          <w:szCs w:val="22"/>
        </w:rPr>
        <w:t xml:space="preserve">Gemini generates qualitative feedback from the transcript, reference, and scores; if unavailable, a deterministic rule-based generator produces equivalent feedback so the pipeline never breaks. ReportLab then assembles a PDF combining the scores, waveform, transcript, and feedback, and SQLAlchemy persists the full record.</w:t>
      </w:r>
    </w:p>
    <w:p>
      <w:pPr>
        <w:pStyle w:val="Heading1"/>
        <w:spacing w:after="140" w:before="340"/>
      </w:pPr>
      <w:r>
        <w:t xml:space="preserve">9. Testing &amp; Verification</w:t>
      </w:r>
    </w:p>
    <w:p>
      <w:pPr>
        <w:spacing w:after="140" w:line="300"/>
      </w:pPr>
      <w:r>
        <w:rPr>
          <w:rFonts w:ascii="Calibri" w:cs="Calibri" w:eastAsia="Calibri" w:hAnsi="Calibri"/>
          <w:sz w:val="22"/>
          <w:szCs w:val="22"/>
        </w:rPr>
        <w:t xml:space="preserve">The project was verified with an automated Pytest suite plus a live end-to-end run:</w:t>
      </w:r>
    </w:p>
    <w:p>
      <w:pPr>
        <w:pStyle w:val="ListParagraph"/>
        <w:numPr>
          <w:ilvl w:val="0"/>
          <w:numId w:val="1"/>
        </w:numPr>
        <w:spacing w:after="90" w:line="280"/>
      </w:pPr>
      <w:r>
        <w:rPr>
          <w:rFonts w:ascii="Calibri" w:cs="Calibri" w:eastAsia="Calibri" w:hAnsi="Calibri"/>
          <w:sz w:val="22"/>
          <w:szCs w:val="22"/>
        </w:rPr>
        <w:t xml:space="preserve">test_scoring.py — weighted averaging, default weights, grade banding, zero-weight fallback (4 tests).</w:t>
      </w:r>
    </w:p>
    <w:p>
      <w:pPr>
        <w:pStyle w:val="ListParagraph"/>
        <w:numPr>
          <w:ilvl w:val="0"/>
          <w:numId w:val="1"/>
        </w:numPr>
        <w:spacing w:after="90" w:line="280"/>
      </w:pPr>
      <w:r>
        <w:rPr>
          <w:rFonts w:ascii="Calibri" w:cs="Calibri" w:eastAsia="Calibri" w:hAnsi="Calibri"/>
          <w:sz w:val="22"/>
          <w:szCs w:val="22"/>
        </w:rPr>
        <w:t xml:space="preserve">test_semantic_analysis.py — cosine similarity edge cases and mocked model scoring (5 tests).</w:t>
      </w:r>
    </w:p>
    <w:p>
      <w:pPr>
        <w:pStyle w:val="ListParagraph"/>
        <w:numPr>
          <w:ilvl w:val="0"/>
          <w:numId w:val="1"/>
        </w:numPr>
        <w:spacing w:after="90" w:line="280"/>
      </w:pPr>
      <w:r>
        <w:rPr>
          <w:rFonts w:ascii="Calibri" w:cs="Calibri" w:eastAsia="Calibri" w:hAnsi="Calibri"/>
          <w:sz w:val="22"/>
          <w:szCs w:val="22"/>
        </w:rPr>
        <w:t xml:space="preserve">test_audio_analysis.py — filler-word detection, WPM calculation, fluency scoring (5 tests).</w:t>
      </w:r>
    </w:p>
    <w:p>
      <w:pPr>
        <w:pStyle w:val="ListParagraph"/>
        <w:numPr>
          <w:ilvl w:val="0"/>
          <w:numId w:val="1"/>
        </w:numPr>
        <w:spacing w:after="90" w:line="280"/>
      </w:pPr>
      <w:r>
        <w:rPr>
          <w:rFonts w:ascii="Calibri" w:cs="Calibri" w:eastAsia="Calibri" w:hAnsi="Calibri"/>
          <w:sz w:val="22"/>
          <w:szCs w:val="22"/>
        </w:rPr>
        <w:t xml:space="preserve">test_database.py — save/retrieve, topic filtering, serialization (3 tests).</w:t>
      </w:r>
    </w:p>
    <w:p>
      <w:pPr>
        <w:spacing w:after="140" w:line="300"/>
      </w:pPr>
      <w:r>
        <w:rPr>
          <w:rFonts w:ascii="Calibri" w:cs="Calibri" w:eastAsia="Calibri" w:hAnsi="Calibri"/>
          <w:b/>
          <w:bCs/>
          <w:sz w:val="22"/>
          <w:szCs w:val="22"/>
        </w:rPr>
        <w:t xml:space="preserve">Result: 17 / 17 tests passing. All heavy dependencies (torch, Whisper, Sentence-Transformers, Librosa) were installed and verified; the Streamlit server was launched and confirmed to serve correctly (HTTP 200), and PDF generation was confirmed to produce a valid file.</w:t>
      </w:r>
    </w:p>
    <w:p>
      <w:pPr>
        <w:pStyle w:val="Heading1"/>
        <w:spacing w:after="140" w:before="340"/>
      </w:pPr>
      <w:r>
        <w:t xml:space="preserve">10. Advantages and Limitations</w:t>
      </w:r>
    </w:p>
    <w:p>
      <w:pPr>
        <w:pStyle w:val="Heading2"/>
        <w:spacing w:after="100" w:before="220"/>
      </w:pPr>
      <w:r>
        <w:t xml:space="preserve">10.1 Advantages</w:t>
      </w:r>
    </w:p>
    <w:p>
      <w:pPr>
        <w:pStyle w:val="ListParagraph"/>
        <w:numPr>
          <w:ilvl w:val="0"/>
          <w:numId w:val="1"/>
        </w:numPr>
        <w:spacing w:after="90" w:line="280"/>
      </w:pPr>
      <w:r>
        <w:rPr>
          <w:rFonts w:ascii="Calibri" w:cs="Calibri" w:eastAsia="Calibri" w:hAnsi="Calibri"/>
          <w:sz w:val="22"/>
          <w:szCs w:val="22"/>
        </w:rPr>
        <w:t xml:space="preserve">Fully automated — no instructor time required per attempt.</w:t>
      </w:r>
    </w:p>
    <w:p>
      <w:pPr>
        <w:pStyle w:val="ListParagraph"/>
        <w:numPr>
          <w:ilvl w:val="0"/>
          <w:numId w:val="1"/>
        </w:numPr>
        <w:spacing w:after="90" w:line="280"/>
      </w:pPr>
      <w:r>
        <w:rPr>
          <w:rFonts w:ascii="Calibri" w:cs="Calibri" w:eastAsia="Calibri" w:hAnsi="Calibri"/>
          <w:sz w:val="22"/>
          <w:szCs w:val="22"/>
        </w:rPr>
        <w:t xml:space="preserve">Dual evaluation of both what is said and how it is said.</w:t>
      </w:r>
    </w:p>
    <w:p>
      <w:pPr>
        <w:pStyle w:val="ListParagraph"/>
        <w:numPr>
          <w:ilvl w:val="0"/>
          <w:numId w:val="1"/>
        </w:numPr>
        <w:spacing w:after="90" w:line="280"/>
      </w:pPr>
      <w:r>
        <w:rPr>
          <w:rFonts w:ascii="Calibri" w:cs="Calibri" w:eastAsia="Calibri" w:hAnsi="Calibri"/>
          <w:sz w:val="22"/>
          <w:szCs w:val="22"/>
        </w:rPr>
        <w:t xml:space="preserve">Works offline for feedback generation via the rule-based fallback.</w:t>
      </w:r>
    </w:p>
    <w:p>
      <w:pPr>
        <w:pStyle w:val="ListParagraph"/>
        <w:numPr>
          <w:ilvl w:val="0"/>
          <w:numId w:val="1"/>
        </w:numPr>
        <w:spacing w:after="90" w:line="280"/>
      </w:pPr>
      <w:r>
        <w:rPr>
          <w:rFonts w:ascii="Calibri" w:cs="Calibri" w:eastAsia="Calibri" w:hAnsi="Calibri"/>
          <w:sz w:val="22"/>
          <w:szCs w:val="22"/>
        </w:rPr>
        <w:t xml:space="preserve">Modular codebase that is easy to test, extend, or swap components in.</w:t>
      </w:r>
    </w:p>
    <w:p>
      <w:pPr>
        <w:pStyle w:val="Heading2"/>
        <w:spacing w:after="100" w:before="220"/>
      </w:pPr>
      <w:r>
        <w:t xml:space="preserve">10.2 Limitations</w:t>
      </w:r>
    </w:p>
    <w:p>
      <w:pPr>
        <w:pStyle w:val="ListParagraph"/>
        <w:numPr>
          <w:ilvl w:val="0"/>
          <w:numId w:val="1"/>
        </w:numPr>
        <w:spacing w:after="90" w:line="280"/>
      </w:pPr>
      <w:r>
        <w:rPr>
          <w:rFonts w:ascii="Calibri" w:cs="Calibri" w:eastAsia="Calibri" w:hAnsi="Calibri"/>
          <w:sz w:val="22"/>
          <w:szCs w:val="22"/>
        </w:rPr>
        <w:t xml:space="preserve">Single-user design; no authentication or multi-user roles yet.</w:t>
      </w:r>
    </w:p>
    <w:p>
      <w:pPr>
        <w:pStyle w:val="ListParagraph"/>
        <w:numPr>
          <w:ilvl w:val="0"/>
          <w:numId w:val="1"/>
        </w:numPr>
        <w:spacing w:after="90" w:line="280"/>
      </w:pPr>
      <w:r>
        <w:rPr>
          <w:rFonts w:ascii="Calibri" w:cs="Calibri" w:eastAsia="Calibri" w:hAnsi="Calibri"/>
          <w:sz w:val="22"/>
          <w:szCs w:val="22"/>
        </w:rPr>
        <w:t xml:space="preserve">Reference explanations are limited to a fixed set of five sample topics.</w:t>
      </w:r>
    </w:p>
    <w:p>
      <w:pPr>
        <w:pStyle w:val="ListParagraph"/>
        <w:numPr>
          <w:ilvl w:val="0"/>
          <w:numId w:val="1"/>
        </w:numPr>
        <w:spacing w:after="90" w:line="280"/>
      </w:pPr>
      <w:r>
        <w:rPr>
          <w:rFonts w:ascii="Calibri" w:cs="Calibri" w:eastAsia="Calibri" w:hAnsi="Calibri"/>
          <w:sz w:val="22"/>
          <w:szCs w:val="22"/>
        </w:rPr>
        <w:t xml:space="preserve">English-only transcription and scoring in the current version.</w:t>
      </w:r>
    </w:p>
    <w:p>
      <w:pPr>
        <w:pStyle w:val="ListParagraph"/>
        <w:numPr>
          <w:ilvl w:val="0"/>
          <w:numId w:val="1"/>
        </w:numPr>
        <w:spacing w:after="90" w:line="280"/>
      </w:pPr>
      <w:r>
        <w:rPr>
          <w:rFonts w:ascii="Calibri" w:cs="Calibri" w:eastAsia="Calibri" w:hAnsi="Calibri"/>
          <w:sz w:val="22"/>
          <w:szCs w:val="22"/>
        </w:rPr>
        <w:t xml:space="preserve">No real-time microphone capture; audio must be uploaded as a file.</w:t>
      </w:r>
    </w:p>
    <w:p>
      <w:pPr>
        <w:pStyle w:val="Heading1"/>
        <w:spacing w:after="140" w:before="340"/>
      </w:pPr>
      <w:r>
        <w:t xml:space="preserve">11. Conclusion</w:t>
      </w:r>
    </w:p>
    <w:p>
      <w:pPr>
        <w:spacing w:after="140" w:line="300"/>
      </w:pPr>
      <w:r>
        <w:rPr>
          <w:rFonts w:ascii="Calibri" w:cs="Calibri" w:eastAsia="Calibri" w:hAnsi="Calibri"/>
          <w:sz w:val="22"/>
          <w:szCs w:val="22"/>
        </w:rPr>
        <w:t xml:space="preserve">VBCUA successfully demonstrates that speech-to-text, semantic similarity, and audio fluency analysis can be combined into a practical, automated tool for evaluating spoken conceptual understanding. The system was built, tested (17/17 passing tests), and run end-to-end successfully, confirming that it meets its core objective: giving learners fast, objective, two-dimensional feedback on their spoken explanations without requiring an instructor's time.</w:t>
      </w:r>
    </w:p>
    <w:p>
      <w:pPr>
        <w:pStyle w:val="Heading1"/>
        <w:spacing w:after="140" w:before="340"/>
      </w:pPr>
      <w:r>
        <w:t xml:space="preserve">12. Future Scope</w:t>
      </w:r>
    </w:p>
    <w:p>
      <w:pPr>
        <w:pStyle w:val="ListParagraph"/>
        <w:numPr>
          <w:ilvl w:val="0"/>
          <w:numId w:val="1"/>
        </w:numPr>
        <w:spacing w:after="90" w:line="280"/>
      </w:pPr>
      <w:r>
        <w:rPr>
          <w:rFonts w:ascii="Calibri" w:cs="Calibri" w:eastAsia="Calibri" w:hAnsi="Calibri"/>
          <w:sz w:val="22"/>
          <w:szCs w:val="22"/>
        </w:rPr>
        <w:t xml:space="preserve">Real-time in-browser microphone recording.</w:t>
      </w:r>
    </w:p>
    <w:p>
      <w:pPr>
        <w:pStyle w:val="ListParagraph"/>
        <w:numPr>
          <w:ilvl w:val="0"/>
          <w:numId w:val="1"/>
        </w:numPr>
        <w:spacing w:after="90" w:line="280"/>
      </w:pPr>
      <w:r>
        <w:rPr>
          <w:rFonts w:ascii="Calibri" w:cs="Calibri" w:eastAsia="Calibri" w:hAnsi="Calibri"/>
          <w:sz w:val="22"/>
          <w:szCs w:val="22"/>
        </w:rPr>
        <w:t xml:space="preserve">Multilingual transcription and semantic comparison.</w:t>
      </w:r>
    </w:p>
    <w:p>
      <w:pPr>
        <w:pStyle w:val="ListParagraph"/>
        <w:numPr>
          <w:ilvl w:val="0"/>
          <w:numId w:val="1"/>
        </w:numPr>
        <w:spacing w:after="90" w:line="280"/>
      </w:pPr>
      <w:r>
        <w:rPr>
          <w:rFonts w:ascii="Calibri" w:cs="Calibri" w:eastAsia="Calibri" w:hAnsi="Calibri"/>
          <w:sz w:val="22"/>
          <w:szCs w:val="22"/>
        </w:rPr>
        <w:t xml:space="preserve">Emotion/tone detection from voice.</w:t>
      </w:r>
    </w:p>
    <w:p>
      <w:pPr>
        <w:pStyle w:val="ListParagraph"/>
        <w:numPr>
          <w:ilvl w:val="0"/>
          <w:numId w:val="1"/>
        </w:numPr>
        <w:spacing w:after="90" w:line="280"/>
      </w:pPr>
      <w:r>
        <w:rPr>
          <w:rFonts w:ascii="Calibri" w:cs="Calibri" w:eastAsia="Calibri" w:hAnsi="Calibri"/>
          <w:sz w:val="22"/>
          <w:szCs w:val="22"/>
        </w:rPr>
        <w:t xml:space="preserve">User authentication and role-based access (Learner / Instructor / Admin).</w:t>
      </w:r>
    </w:p>
    <w:p>
      <w:pPr>
        <w:pStyle w:val="ListParagraph"/>
        <w:numPr>
          <w:ilvl w:val="0"/>
          <w:numId w:val="1"/>
        </w:numPr>
        <w:spacing w:after="90" w:line="280"/>
      </w:pPr>
      <w:r>
        <w:rPr>
          <w:rFonts w:ascii="Calibri" w:cs="Calibri" w:eastAsia="Calibri" w:hAnsi="Calibri"/>
          <w:sz w:val="22"/>
          <w:szCs w:val="22"/>
        </w:rPr>
        <w:t xml:space="preserve">Richer analytics dashboard with topic-level and cohort breakdowns.</w:t>
      </w:r>
    </w:p>
    <w:p>
      <w:pPr>
        <w:pStyle w:val="ListParagraph"/>
        <w:numPr>
          <w:ilvl w:val="0"/>
          <w:numId w:val="1"/>
        </w:numPr>
        <w:spacing w:after="90" w:line="280"/>
      </w:pPr>
      <w:r>
        <w:rPr>
          <w:rFonts w:ascii="Calibri" w:cs="Calibri" w:eastAsia="Calibri" w:hAnsi="Calibri"/>
          <w:sz w:val="22"/>
          <w:szCs w:val="22"/>
        </w:rPr>
        <w:t xml:space="preserve">LMS integration (e.g., Moodle, Canvas) for classroom deployment.</w:t>
      </w:r>
    </w:p>
    <w:p>
      <w:pPr>
        <w:pStyle w:val="ListParagraph"/>
        <w:numPr>
          <w:ilvl w:val="0"/>
          <w:numId w:val="1"/>
        </w:numPr>
        <w:spacing w:after="90" w:line="280"/>
      </w:pPr>
      <w:r>
        <w:rPr>
          <w:rFonts w:ascii="Calibri" w:cs="Calibri" w:eastAsia="Calibri" w:hAnsi="Calibri"/>
          <w:sz w:val="22"/>
          <w:szCs w:val="22"/>
        </w:rPr>
        <w:t xml:space="preserve">One-click cloud deployment (Docker + hosted PostgreSQL).</w:t>
      </w:r>
    </w:p>
    <w:p>
      <w:pPr>
        <w:pStyle w:val="Heading1"/>
        <w:spacing w:after="140" w:before="340"/>
      </w:pPr>
      <w:r>
        <w:t xml:space="preserve">13. References</w:t>
      </w:r>
    </w:p>
    <w:p>
      <w:pPr>
        <w:pStyle w:val="ListParagraph"/>
        <w:numPr>
          <w:ilvl w:val="0"/>
          <w:numId w:val="1"/>
        </w:numPr>
        <w:spacing w:after="90" w:line="280"/>
      </w:pPr>
      <w:r>
        <w:rPr>
          <w:rFonts w:ascii="Calibri" w:cs="Calibri" w:eastAsia="Calibri" w:hAnsi="Calibri"/>
          <w:sz w:val="22"/>
          <w:szCs w:val="22"/>
        </w:rPr>
        <w:t xml:space="preserve">OpenAI Whisper — https://github.com/openai/whisper</w:t>
      </w:r>
    </w:p>
    <w:p>
      <w:pPr>
        <w:pStyle w:val="ListParagraph"/>
        <w:numPr>
          <w:ilvl w:val="0"/>
          <w:numId w:val="1"/>
        </w:numPr>
        <w:spacing w:after="90" w:line="280"/>
      </w:pPr>
      <w:r>
        <w:rPr>
          <w:rFonts w:ascii="Calibri" w:cs="Calibri" w:eastAsia="Calibri" w:hAnsi="Calibri"/>
          <w:sz w:val="22"/>
          <w:szCs w:val="22"/>
        </w:rPr>
        <w:t xml:space="preserve">Sentence-Transformers — https://www.sbert.net</w:t>
      </w:r>
    </w:p>
    <w:p>
      <w:pPr>
        <w:pStyle w:val="ListParagraph"/>
        <w:numPr>
          <w:ilvl w:val="0"/>
          <w:numId w:val="1"/>
        </w:numPr>
        <w:spacing w:after="90" w:line="280"/>
      </w:pPr>
      <w:r>
        <w:rPr>
          <w:rFonts w:ascii="Calibri" w:cs="Calibri" w:eastAsia="Calibri" w:hAnsi="Calibri"/>
          <w:sz w:val="22"/>
          <w:szCs w:val="22"/>
        </w:rPr>
        <w:t xml:space="preserve">Librosa — https://librosa.org</w:t>
      </w:r>
    </w:p>
    <w:p>
      <w:pPr>
        <w:pStyle w:val="ListParagraph"/>
        <w:numPr>
          <w:ilvl w:val="0"/>
          <w:numId w:val="1"/>
        </w:numPr>
        <w:spacing w:after="90" w:line="280"/>
      </w:pPr>
      <w:r>
        <w:rPr>
          <w:rFonts w:ascii="Calibri" w:cs="Calibri" w:eastAsia="Calibri" w:hAnsi="Calibri"/>
          <w:sz w:val="22"/>
          <w:szCs w:val="22"/>
        </w:rPr>
        <w:t xml:space="preserve">Google Gemini API — https://ai.google.dev</w:t>
      </w:r>
    </w:p>
    <w:p>
      <w:pPr>
        <w:pStyle w:val="ListParagraph"/>
        <w:numPr>
          <w:ilvl w:val="0"/>
          <w:numId w:val="1"/>
        </w:numPr>
        <w:spacing w:after="90" w:line="280"/>
      </w:pPr>
      <w:r>
        <w:rPr>
          <w:rFonts w:ascii="Calibri" w:cs="Calibri" w:eastAsia="Calibri" w:hAnsi="Calibri"/>
          <w:sz w:val="22"/>
          <w:szCs w:val="22"/>
        </w:rPr>
        <w:t xml:space="preserve">ReportLab — https://www.reportlab.com</w:t>
      </w:r>
    </w:p>
    <w:p>
      <w:pPr>
        <w:pStyle w:val="ListParagraph"/>
        <w:numPr>
          <w:ilvl w:val="0"/>
          <w:numId w:val="1"/>
        </w:numPr>
        <w:spacing w:after="90" w:line="280"/>
      </w:pPr>
      <w:r>
        <w:rPr>
          <w:rFonts w:ascii="Calibri" w:cs="Calibri" w:eastAsia="Calibri" w:hAnsi="Calibri"/>
          <w:sz w:val="22"/>
          <w:szCs w:val="22"/>
        </w:rPr>
        <w:t xml:space="preserve">Streamlit — https://streamlit.io</w:t>
      </w:r>
    </w:p>
    <w:p>
      <w:pPr>
        <w:pStyle w:val="ListParagraph"/>
        <w:numPr>
          <w:ilvl w:val="0"/>
          <w:numId w:val="1"/>
        </w:numPr>
        <w:spacing w:after="90" w:line="280"/>
      </w:pPr>
      <w:r>
        <w:rPr>
          <w:rFonts w:ascii="Calibri" w:cs="Calibri" w:eastAsia="Calibri" w:hAnsi="Calibri"/>
          <w:sz w:val="22"/>
          <w:szCs w:val="22"/>
        </w:rPr>
        <w:t xml:space="preserve">SQLAlchemy — https://www.sqlalchemy.org</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00"/>
      <w:outlineLvl w:val="0"/>
    </w:pPr>
    <w:rPr>
      <w:rFonts w:ascii="Calibri" w:cs="Calibri" w:eastAsia="Calibri" w:hAnsi="Calibri"/>
      <w:b/>
      <w:bCs/>
      <w:color w:val="1E3A8A"/>
      <w:sz w:val="30"/>
      <w:szCs w:val="30"/>
    </w:rPr>
  </w:style>
  <w:style w:type="paragraph" w:styleId="Heading2">
    <w:name w:val="Heading 2"/>
    <w:basedOn w:val="Normal"/>
    <w:next w:val="Normal"/>
    <w:qFormat/>
    <w:pPr>
      <w:spacing w:after="100" w:before="200"/>
      <w:outlineLvl w:val="1"/>
    </w:pPr>
    <w:rPr>
      <w:rFonts w:ascii="Calibri" w:cs="Calibri" w:eastAsia="Calibri" w:hAnsi="Calibri"/>
      <w:b/>
      <w:bCs/>
      <w:color w:val="1D4ED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570757ec5aa961845f4b744d1610e1d6ea3f6e6.png"/><Relationship Id="rId8" Type="http://schemas.openxmlformats.org/officeDocument/2006/relationships/image" Target="media/be523efd22f1c7519b3e64eac979edd9e4447095.png"/><Relationship Id="rId9" Type="http://schemas.openxmlformats.org/officeDocument/2006/relationships/image" Target="media/67be2b64f9460799299308e003208a619ec9bf9c.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2026-07-07T04:29:40.818Z</dcterms:created>
  <dcterms:modified xsi:type="dcterms:W3CDTF">2026-07-07T04:29:40.831Z</dcterms:modified>
</cp:coreProperties>
</file>

<file path=docProps/custom.xml><?xml version="1.0" encoding="utf-8"?>
<Properties xmlns="http://schemas.openxmlformats.org/officeDocument/2006/custom-properties" xmlns:vt="http://schemas.openxmlformats.org/officeDocument/2006/docPropsVTypes"/>
</file>