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675"/>
            <w:tcBorders>
              <w:top w:val="none" w:color="FFFFFF" w:sz="0"/>
              <w:left w:val="none" w:color="FFFFFF" w:sz="0"/>
              <w:bottom w:val="none" w:color="FFFFFF" w:sz="0"/>
              <w:right w:val="none" w:color="FFFFFF" w:sz="0"/>
            </w:tcBorders>
            <w:vAlign w:val="center"/>
          </w:tcPr>
          <w:p>
            <w:pPr>
              <w:jc w:val="left"/>
            </w:pPr>
            <w:r>
              <w:drawing>
                <wp:inline distT="0" distB="0" distL="0" distR="0">
                  <wp:extent cx="1857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57375" cy="619125"/>
                          </a:xfrm>
                          <a:prstGeom prst="rect">
                            <a:avLst/>
                          </a:prstGeom>
                        </pic:spPr>
                      </pic:pic>
                    </a:graphicData>
                  </a:graphic>
                </wp:inline>
              </w:drawing>
            </w:r>
          </w:p>
        </w:tc>
        <w:tc>
          <w:tcPr>
            <w:tcW w:type="dxa" w:w="4675"/>
            <w:tcBorders>
              <w:top w:val="none" w:color="FFFFFF" w:sz="0"/>
              <w:left w:val="none" w:color="FFFFFF" w:sz="0"/>
              <w:bottom w:val="none" w:color="FFFFFF" w:sz="0"/>
              <w:right w:val="none" w:color="FFFFFF" w:sz="0"/>
            </w:tcBorders>
            <w:vAlign w:val="center"/>
          </w:tcPr>
          <w:p>
            <w:pPr>
              <w:jc w:val="right"/>
            </w:pPr>
            <w:r>
              <w:drawing>
                <wp:inline distT="0" distB="0" distL="0" distR="0">
                  <wp:extent cx="100012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0125" cy="495300"/>
                          </a:xfrm>
                          <a:prstGeom prst="rect">
                            <a:avLst/>
                          </a:prstGeom>
                        </pic:spPr>
                      </pic:pic>
                    </a:graphicData>
                  </a:graphic>
                </wp:inline>
              </w:drawing>
            </w:r>
          </w:p>
        </w:tc>
      </w:tr>
    </w:tbl>
    <w:p>
      <w:pPr>
        <w:spacing w:after="300" w:before="300"/>
        <w:jc w:val="center"/>
      </w:pPr>
      <w:r>
        <w:rPr>
          <w:rFonts w:ascii="Times New Roman" w:cs="Times New Roman" w:eastAsia="Times New Roman" w:hAnsi="Times New Roman"/>
          <w:b/>
          <w:bCs/>
          <w:sz w:val="28"/>
          <w:szCs w:val="28"/>
        </w:rPr>
        <w:t xml:space="preserve">Project Initialization and Planning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2"/>
                <w:szCs w:val="22"/>
              </w:rPr>
              <w:t xml:space="preserve">Date</w:t>
            </w:r>
          </w:p>
        </w:tc>
        <w:tc>
          <w:tcPr>
            <w:tcW w:type="dxa" w:w="63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2"/>
                <w:szCs w:val="22"/>
              </w:rPr>
              <w:t xml:space="preserve">06 July 2026</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2"/>
                <w:szCs w:val="22"/>
              </w:rPr>
              <w:t xml:space="preserve">Team ID</w:t>
            </w:r>
          </w:p>
        </w:tc>
        <w:tc>
          <w:tcPr>
            <w:tcW w:type="dxa" w:w="63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2"/>
                <w:szCs w:val="22"/>
              </w:rPr>
              <w:t xml:space="preserve">Individual Project</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2"/>
                <w:szCs w:val="22"/>
              </w:rPr>
              <w:t xml:space="preserve">Project Name</w:t>
            </w:r>
          </w:p>
        </w:tc>
        <w:tc>
          <w:tcPr>
            <w:tcW w:type="dxa" w:w="63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2"/>
                <w:szCs w:val="22"/>
              </w:rPr>
              <w:t xml:space="preserve">VBCUA – Voice-Based Concept Understanding Analyser</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2"/>
                <w:szCs w:val="22"/>
              </w:rPr>
              <w:t xml:space="preserve">Maximum Marks</w:t>
            </w:r>
          </w:p>
        </w:tc>
        <w:tc>
          <w:tcPr>
            <w:tcW w:type="dxa" w:w="63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2"/>
                <w:szCs w:val="22"/>
              </w:rPr>
              <w:t xml:space="preserve">3 Marks</w:t>
            </w:r>
          </w:p>
        </w:tc>
      </w:tr>
    </w:tbl>
    <w:p>
      <w:pPr>
        <w:spacing w:after="120" w:before="280"/>
      </w:pPr>
      <w:r>
        <w:rPr>
          <w:rFonts w:ascii="Times New Roman" w:cs="Times New Roman" w:eastAsia="Times New Roman" w:hAnsi="Times New Roman"/>
          <w:b/>
          <w:bCs/>
          <w:sz w:val="22"/>
          <w:szCs w:val="22"/>
        </w:rPr>
        <w:t xml:space="preserve">Define Problem Statements (Customer Problem Statement Template):</w:t>
      </w:r>
    </w:p>
    <w:p>
      <w:pPr>
        <w:spacing w:after="200" w:line="300"/>
      </w:pPr>
      <w:r>
        <w:rPr>
          <w:rFonts w:ascii="Times New Roman" w:cs="Times New Roman" w:eastAsia="Times New Roman" w:hAnsi="Times New Roman"/>
          <w:sz w:val="22"/>
          <w:szCs w:val="22"/>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pPr>
        <w:spacing w:after="150" w:before="100"/>
      </w:pPr>
      <w:r>
        <w:rPr>
          <w:rFonts w:ascii="Times New Roman" w:cs="Times New Roman" w:eastAsia="Times New Roman" w:hAnsi="Times New Roman"/>
          <w:b/>
          <w:bCs/>
          <w:sz w:val="22"/>
          <w:szCs w:val="22"/>
        </w:rPr>
        <w:t xml:space="preserve">Problem Statements — VBCUA Project:</w:t>
      </w:r>
    </w:p>
    <w:p>
      <w:pPr>
        <w:spacing w:after="200"/>
        <w:jc w:val="center"/>
      </w:pPr>
      <w:r>
        <w:drawing>
          <wp:inline distT="0" distB="0" distL="0" distR="0">
            <wp:extent cx="58293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129540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Problem Statement (PS)</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I am (Customer)</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I'm trying to</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But</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Because</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Which makes me feel</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PS-1</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student preparing for an oral viva or spoken assessment.</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Explain concepts clearly and confidently out loud.</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feedback only from friends or busy professors.</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instructors don't have time to review every spoken answer individually.</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anxious about my speaking skills before a real assessment.</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PS-2</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teacher evaluating many students' spoken understanding.</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objectively assess each student's conceptual clarity and delivery.</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can't listen to and grade dozens of recordings individually.</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evaluation of speech is slow and inconsistent across a large class.</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overwhelmed by the time manual spoken assessment takes.</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PS-3</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job seeker preparing for technical or behavioral interviews.</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reduce filler words, pauses, and sound more confident when speaking.</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have no objective way to measure how I actually sound.</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self-recording is hard to evaluate accurately without expert feedback.</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uncertain and underprepared heading into real interviews.</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0757ec5aa961845f4b744d1610e1d6ea3f6e6.png"/><Relationship Id="rId8" Type="http://schemas.openxmlformats.org/officeDocument/2006/relationships/image" Target="media/be523efd22f1c7519b3e64eac979edd9e4447095.png"/><Relationship Id="rId9" Type="http://schemas.openxmlformats.org/officeDocument/2006/relationships/image" Target="media/6ee425c595932dcb5bf9b29aa68a54c448b540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2026-07-06T10:21:41.037Z</dcterms:created>
  <dcterms:modified xsi:type="dcterms:W3CDTF">2026-07-06T10:21:41.038Z</dcterms:modified>
</cp:coreProperties>
</file>

<file path=docProps/custom.xml><?xml version="1.0" encoding="utf-8"?>
<Properties xmlns="http://schemas.openxmlformats.org/officeDocument/2006/custom-properties" xmlns:vt="http://schemas.openxmlformats.org/officeDocument/2006/docPropsVTypes"/>
</file>