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86C0" w14:textId="77777777" w:rsidR="008C1F2C" w:rsidRDefault="008C1F2C" w:rsidP="008C1F2C">
      <w:pPr>
        <w:spacing w:before="2000"/>
        <w:jc w:val="center"/>
      </w:pPr>
      <w:bookmarkStart w:id="0" w:name="_Toc234072267"/>
      <w:bookmarkStart w:id="1" w:name="_Toc234072698"/>
      <w:bookmarkStart w:id="2" w:name="_Toc234072771"/>
      <w:r>
        <w:rPr>
          <w:color w:val="1F3864"/>
          <w:sz w:val="32"/>
          <w:szCs w:val="32"/>
        </w:rPr>
        <w:t>Capstone Project</w:t>
      </w:r>
    </w:p>
    <w:p w14:paraId="433E15E2" w14:textId="77777777" w:rsidR="00805885" w:rsidRDefault="00805885" w:rsidP="008C1F2C">
      <w:pPr>
        <w:spacing w:after="200"/>
        <w:jc w:val="center"/>
        <w:rPr>
          <w:b/>
          <w:bCs/>
          <w:color w:val="1F3864"/>
          <w:sz w:val="56"/>
          <w:szCs w:val="56"/>
        </w:rPr>
      </w:pPr>
      <w:r w:rsidRPr="00805885">
        <w:rPr>
          <w:b/>
          <w:bCs/>
          <w:color w:val="1F3864"/>
          <w:sz w:val="56"/>
          <w:szCs w:val="56"/>
        </w:rPr>
        <w:t xml:space="preserve">Egypt Food Security &amp; </w:t>
      </w:r>
      <w:r w:rsidRPr="00805885">
        <w:rPr>
          <w:b/>
          <w:bCs/>
          <w:color w:val="FFC000"/>
          <w:sz w:val="56"/>
          <w:szCs w:val="56"/>
        </w:rPr>
        <w:t>Economic Affordability Analysis</w:t>
      </w:r>
      <w:r w:rsidRPr="00805885">
        <w:rPr>
          <w:b/>
          <w:bCs/>
          <w:color w:val="1F3864"/>
          <w:sz w:val="56"/>
          <w:szCs w:val="56"/>
        </w:rPr>
        <w:t xml:space="preserve"> (2020–2024)</w:t>
      </w:r>
    </w:p>
    <w:p w14:paraId="54B16434" w14:textId="2CB8A927" w:rsidR="008C1F2C" w:rsidRDefault="008C1F2C" w:rsidP="008C1F2C">
      <w:pPr>
        <w:spacing w:after="200"/>
        <w:jc w:val="center"/>
      </w:pPr>
      <w:r>
        <w:rPr>
          <w:color w:val="595959"/>
          <w:sz w:val="28"/>
          <w:szCs w:val="28"/>
        </w:rPr>
        <w:t>Guidebook</w:t>
      </w:r>
    </w:p>
    <w:p w14:paraId="345E1355" w14:textId="77777777" w:rsidR="008C1F2C" w:rsidRDefault="008C1F2C" w:rsidP="008C1F2C">
      <w:pPr>
        <w:spacing w:before="400" w:after="80"/>
      </w:pPr>
      <w:r>
        <w:rPr>
          <w:b/>
          <w:bCs/>
        </w:rPr>
        <w:t>CREATED BY:</w:t>
      </w:r>
    </w:p>
    <w:p w14:paraId="181861B3" w14:textId="74042B46" w:rsidR="008C1F2C" w:rsidRDefault="008C1F2C" w:rsidP="008C1F2C">
      <w:pPr>
        <w:spacing w:after="100"/>
      </w:pPr>
      <w:r>
        <w:t>CLS-CAI</w:t>
      </w:r>
      <w:r w:rsidR="00805885">
        <w:t>3</w:t>
      </w:r>
      <w:r>
        <w:t>-DAT2-</w:t>
      </w:r>
      <w:r w:rsidR="00805885">
        <w:t xml:space="preserve">S2 </w:t>
      </w:r>
      <w:r>
        <w:t>T</w:t>
      </w:r>
      <w:r w:rsidR="00805885">
        <w:t>eam - 3</w:t>
      </w:r>
    </w:p>
    <w:p w14:paraId="7A68BDE1" w14:textId="77777777" w:rsidR="008C1F2C" w:rsidRDefault="008C1F2C" w:rsidP="008C1F2C">
      <w:pPr>
        <w:spacing w:before="80" w:after="80"/>
      </w:pPr>
      <w:r>
        <w:rPr>
          <w:b/>
          <w:bCs/>
        </w:rPr>
        <w:t>SUPERVISED BY:</w:t>
      </w:r>
    </w:p>
    <w:p w14:paraId="1F49673D" w14:textId="77777777" w:rsidR="008C1F2C" w:rsidRDefault="008C1F2C" w:rsidP="008C1F2C">
      <w:pPr>
        <w:spacing w:after="100"/>
      </w:pPr>
      <w:r>
        <w:t>Mahmoud Seraj</w:t>
      </w:r>
    </w:p>
    <w:p w14:paraId="5E0A446F" w14:textId="77777777" w:rsidR="008C1F2C" w:rsidRDefault="008C1F2C" w:rsidP="008C1F2C">
      <w:pPr>
        <w:spacing w:before="80" w:after="80"/>
      </w:pPr>
      <w:r>
        <w:rPr>
          <w:b/>
          <w:bCs/>
        </w:rPr>
        <w:t>TECHNICAL PARTNER:</w:t>
      </w:r>
    </w:p>
    <w:p w14:paraId="4AF035C8" w14:textId="77777777" w:rsidR="008C1F2C" w:rsidRDefault="008C1F2C" w:rsidP="008C1F2C">
      <w:pPr>
        <w:spacing w:after="100"/>
      </w:pPr>
      <w:r>
        <w:t>Computik Learning Solutions - CLS</w:t>
      </w:r>
    </w:p>
    <w:p w14:paraId="7C4C233A" w14:textId="77777777" w:rsidR="008C1F2C" w:rsidRDefault="008C1F2C" w:rsidP="008C1F2C">
      <w:pPr>
        <w:spacing w:before="200"/>
        <w:jc w:val="right"/>
      </w:pPr>
      <w:r>
        <w:rPr>
          <w:i/>
          <w:iCs/>
          <w:color w:val="2E5FA3"/>
        </w:rPr>
        <w:t>Digital Egypt Pioneers Initiative</w:t>
      </w:r>
    </w:p>
    <w:p w14:paraId="0FF065A7" w14:textId="77777777" w:rsidR="008C1F2C" w:rsidRDefault="008C1F2C" w:rsidP="008C1F2C">
      <w:r>
        <w:br w:type="page"/>
      </w:r>
    </w:p>
    <w:p w14:paraId="5FA1D1C6" w14:textId="77777777" w:rsidR="007A1CFD" w:rsidRDefault="00887338">
      <w:pPr>
        <w:pStyle w:val="Heading1"/>
        <w:pageBreakBefore/>
        <w:pBdr>
          <w:bottom w:val="single" w:sz="12" w:space="8" w:color="B8860B"/>
        </w:pBdr>
        <w:spacing w:before="200" w:after="240"/>
      </w:pPr>
      <w:bookmarkStart w:id="3" w:name="_Toc234081830"/>
      <w:bookmarkStart w:id="4" w:name="_Toc234429619"/>
      <w:bookmarkStart w:id="5" w:name="_Toc234429709"/>
      <w:r>
        <w:rPr>
          <w:b/>
          <w:bCs/>
          <w:color w:val="1F3864"/>
          <w:sz w:val="34"/>
          <w:szCs w:val="34"/>
        </w:rPr>
        <w:lastRenderedPageBreak/>
        <w:t>About the Authors: A Mosaic of Expertise</w:t>
      </w:r>
      <w:bookmarkEnd w:id="0"/>
      <w:bookmarkEnd w:id="1"/>
      <w:bookmarkEnd w:id="2"/>
      <w:bookmarkEnd w:id="3"/>
      <w:bookmarkEnd w:id="4"/>
      <w:bookmarkEnd w:id="5"/>
    </w:p>
    <w:p w14:paraId="1519B61C" w14:textId="4BFB22DA" w:rsidR="007A1CFD" w:rsidRDefault="00887338" w:rsidP="00805885">
      <w:pPr>
        <w:spacing w:after="160" w:line="300" w:lineRule="auto"/>
        <w:jc w:val="both"/>
      </w:pPr>
      <w:r>
        <w:rPr>
          <w:sz w:val="22"/>
          <w:szCs w:val="22"/>
        </w:rPr>
        <w:t xml:space="preserve">We are a team of </w:t>
      </w:r>
      <w:r w:rsidR="00D356AB">
        <w:rPr>
          <w:sz w:val="22"/>
          <w:szCs w:val="22"/>
        </w:rPr>
        <w:t>five</w:t>
      </w:r>
      <w:r>
        <w:rPr>
          <w:sz w:val="22"/>
          <w:szCs w:val="22"/>
        </w:rPr>
        <w:t xml:space="preserve"> brought together by the Digital Egypt Pioneers Initiative (DEPI), each contributing unique professional and academic backgrounds</w:t>
      </w:r>
      <w:r w:rsidR="00805885">
        <w:rPr>
          <w:sz w:val="22"/>
          <w:szCs w:val="22"/>
        </w:rPr>
        <w:t>.</w:t>
      </w:r>
    </w:p>
    <w:p w14:paraId="166C0958" w14:textId="77777777" w:rsidR="007A1CFD" w:rsidRDefault="007A1CFD">
      <w:pPr>
        <w:spacing w:before="300"/>
      </w:pPr>
    </w:p>
    <w:p w14:paraId="49AF3F26" w14:textId="43FEE33B" w:rsidR="007A1CFD" w:rsidRDefault="00887338">
      <w:pPr>
        <w:spacing w:after="100"/>
      </w:pPr>
      <w:r>
        <w:rPr>
          <w:sz w:val="24"/>
          <w:szCs w:val="24"/>
        </w:rPr>
        <w:t xml:space="preserve">👤  </w:t>
      </w:r>
      <w:r w:rsidR="00805885" w:rsidRPr="00805885">
        <w:rPr>
          <w:b/>
          <w:bCs/>
          <w:color w:val="1F3864"/>
          <w:sz w:val="24"/>
          <w:szCs w:val="24"/>
        </w:rPr>
        <w:t>Omar Sherif</w:t>
      </w:r>
      <w:r>
        <w:rPr>
          <w:i/>
          <w:iCs/>
          <w:color w:val="595959"/>
        </w:rPr>
        <w:t xml:space="preserve">  (</w:t>
      </w:r>
      <w:r w:rsidR="00805885" w:rsidRPr="00805885">
        <w:rPr>
          <w:i/>
          <w:iCs/>
          <w:color w:val="595959"/>
        </w:rPr>
        <w:t>omarsheshtawy2121@gmail.com</w:t>
      </w:r>
      <w:r>
        <w:rPr>
          <w:i/>
          <w:iCs/>
          <w:color w:val="595959"/>
        </w:rPr>
        <w:t>)</w:t>
      </w:r>
    </w:p>
    <w:p w14:paraId="631667E6" w14:textId="43BB15B3" w:rsidR="007A1CFD" w:rsidRDefault="00887338">
      <w:pPr>
        <w:spacing w:after="100"/>
      </w:pPr>
      <w:r>
        <w:rPr>
          <w:sz w:val="24"/>
          <w:szCs w:val="24"/>
        </w:rPr>
        <w:t xml:space="preserve">👤  </w:t>
      </w:r>
      <w:r w:rsidR="00805885" w:rsidRPr="00805885">
        <w:rPr>
          <w:b/>
          <w:bCs/>
          <w:color w:val="1F3864"/>
          <w:sz w:val="24"/>
          <w:szCs w:val="24"/>
        </w:rPr>
        <w:t xml:space="preserve">Abdolrahman Ashraf </w:t>
      </w:r>
      <w:r>
        <w:rPr>
          <w:i/>
          <w:iCs/>
          <w:color w:val="595959"/>
        </w:rPr>
        <w:t>(</w:t>
      </w:r>
      <w:r w:rsidR="00805885" w:rsidRPr="00805885">
        <w:rPr>
          <w:i/>
          <w:iCs/>
          <w:color w:val="595959"/>
        </w:rPr>
        <w:t>abdolrahmaneata@gmail.com</w:t>
      </w:r>
      <w:r>
        <w:rPr>
          <w:i/>
          <w:iCs/>
          <w:color w:val="595959"/>
        </w:rPr>
        <w:t>)</w:t>
      </w:r>
    </w:p>
    <w:p w14:paraId="6D9CCD40" w14:textId="0EF6552D" w:rsidR="007A1CFD" w:rsidRDefault="00887338">
      <w:pPr>
        <w:spacing w:after="100"/>
      </w:pPr>
      <w:r>
        <w:rPr>
          <w:sz w:val="24"/>
          <w:szCs w:val="24"/>
        </w:rPr>
        <w:t xml:space="preserve">👤  </w:t>
      </w:r>
      <w:r w:rsidR="00805885" w:rsidRPr="00805885">
        <w:rPr>
          <w:b/>
          <w:bCs/>
          <w:color w:val="1F3864"/>
          <w:sz w:val="24"/>
          <w:szCs w:val="24"/>
        </w:rPr>
        <w:t xml:space="preserve">Ahmed Mohamed </w:t>
      </w:r>
      <w:r>
        <w:rPr>
          <w:i/>
          <w:iCs/>
          <w:color w:val="595959"/>
        </w:rPr>
        <w:t>(</w:t>
      </w:r>
      <w:r w:rsidR="00805885" w:rsidRPr="00805885">
        <w:rPr>
          <w:i/>
          <w:iCs/>
          <w:color w:val="595959"/>
        </w:rPr>
        <w:t>ahmedkalabala1979@gmail.com</w:t>
      </w:r>
      <w:r>
        <w:rPr>
          <w:i/>
          <w:iCs/>
          <w:color w:val="595959"/>
        </w:rPr>
        <w:t>)</w:t>
      </w:r>
    </w:p>
    <w:p w14:paraId="337B0344" w14:textId="2E07F6EB" w:rsidR="007A1CFD" w:rsidRPr="00805885" w:rsidRDefault="00887338">
      <w:pPr>
        <w:spacing w:after="100"/>
        <w:rPr>
          <w:lang w:val="pt-BR"/>
        </w:rPr>
      </w:pPr>
      <w:r>
        <w:rPr>
          <w:sz w:val="24"/>
          <w:szCs w:val="24"/>
        </w:rPr>
        <w:t>👤</w:t>
      </w:r>
      <w:r w:rsidRPr="00805885">
        <w:rPr>
          <w:sz w:val="24"/>
          <w:szCs w:val="24"/>
          <w:lang w:val="pt-BR"/>
        </w:rPr>
        <w:t xml:space="preserve">  </w:t>
      </w:r>
      <w:r w:rsidR="00805885" w:rsidRPr="00805885">
        <w:rPr>
          <w:b/>
          <w:bCs/>
          <w:color w:val="1F3864"/>
          <w:sz w:val="24"/>
          <w:szCs w:val="24"/>
          <w:lang w:val="pt-BR"/>
        </w:rPr>
        <w:t xml:space="preserve">Ahmed Essam </w:t>
      </w:r>
      <w:r w:rsidRPr="00805885">
        <w:rPr>
          <w:i/>
          <w:iCs/>
          <w:color w:val="595959"/>
          <w:lang w:val="pt-BR"/>
        </w:rPr>
        <w:t>(</w:t>
      </w:r>
      <w:r w:rsidR="00805885" w:rsidRPr="00805885">
        <w:rPr>
          <w:i/>
          <w:iCs/>
          <w:color w:val="595959"/>
          <w:lang w:val="pt-BR"/>
        </w:rPr>
        <w:t>ae8637356@gmail.com</w:t>
      </w:r>
      <w:r w:rsidRPr="00805885">
        <w:rPr>
          <w:i/>
          <w:iCs/>
          <w:color w:val="595959"/>
          <w:lang w:val="pt-BR"/>
        </w:rPr>
        <w:t>)</w:t>
      </w:r>
    </w:p>
    <w:p w14:paraId="56C02F11" w14:textId="0AB7F4DE" w:rsidR="007A1CFD" w:rsidRPr="006528AB" w:rsidRDefault="00887338" w:rsidP="00805885">
      <w:pPr>
        <w:spacing w:after="100"/>
        <w:rPr>
          <w:lang w:val="pt-BR"/>
        </w:rPr>
      </w:pPr>
      <w:r>
        <w:rPr>
          <w:rFonts w:ascii="Segoe UI Emoji" w:hAnsi="Segoe UI Emoji" w:cs="Segoe UI Emoji"/>
          <w:sz w:val="24"/>
          <w:szCs w:val="24"/>
        </w:rPr>
        <w:t>👤</w:t>
      </w:r>
      <w:r w:rsidRPr="00805885">
        <w:rPr>
          <w:sz w:val="24"/>
          <w:szCs w:val="24"/>
          <w:lang w:val="pt-BR"/>
        </w:rPr>
        <w:t xml:space="preserve">  </w:t>
      </w:r>
      <w:r w:rsidR="00805885" w:rsidRPr="00805885">
        <w:rPr>
          <w:b/>
          <w:bCs/>
          <w:color w:val="1F3864"/>
          <w:sz w:val="24"/>
          <w:szCs w:val="24"/>
          <w:lang w:val="pt-BR"/>
        </w:rPr>
        <w:t xml:space="preserve">Omar Ashraf </w:t>
      </w:r>
      <w:r w:rsidRPr="00805885">
        <w:rPr>
          <w:i/>
          <w:iCs/>
          <w:color w:val="595959"/>
          <w:lang w:val="pt-BR"/>
        </w:rPr>
        <w:t>(</w:t>
      </w:r>
      <w:r w:rsidR="00805885" w:rsidRPr="00805885">
        <w:rPr>
          <w:i/>
          <w:iCs/>
          <w:color w:val="595959"/>
          <w:lang w:val="pt-BR"/>
        </w:rPr>
        <w:t>bluemoon2000200@gmail.com</w:t>
      </w:r>
      <w:r w:rsidRPr="00805885">
        <w:rPr>
          <w:i/>
          <w:iCs/>
          <w:color w:val="595959"/>
          <w:lang w:val="pt-BR"/>
        </w:rPr>
        <w:t>)</w:t>
      </w:r>
    </w:p>
    <w:p w14:paraId="25DA7412" w14:textId="77777777" w:rsidR="007A1CFD" w:rsidRDefault="00887338">
      <w:pPr>
        <w:pStyle w:val="Heading1"/>
        <w:pageBreakBefore/>
        <w:pBdr>
          <w:bottom w:val="single" w:sz="12" w:space="8" w:color="B8860B"/>
        </w:pBdr>
        <w:spacing w:before="200" w:after="240"/>
      </w:pPr>
      <w:bookmarkStart w:id="6" w:name="_Toc234072271"/>
      <w:bookmarkStart w:id="7" w:name="_Toc234072702"/>
      <w:bookmarkStart w:id="8" w:name="_Toc234072775"/>
      <w:bookmarkStart w:id="9" w:name="_Toc234081834"/>
      <w:bookmarkStart w:id="10" w:name="_Toc234429620"/>
      <w:bookmarkStart w:id="11" w:name="_Toc234429710"/>
      <w:r>
        <w:rPr>
          <w:b/>
          <w:bCs/>
          <w:color w:val="1F3864"/>
          <w:sz w:val="34"/>
          <w:szCs w:val="34"/>
        </w:rPr>
        <w:lastRenderedPageBreak/>
        <w:t>Acknowledgements</w:t>
      </w:r>
      <w:bookmarkEnd w:id="6"/>
      <w:bookmarkEnd w:id="7"/>
      <w:bookmarkEnd w:id="8"/>
      <w:bookmarkEnd w:id="9"/>
      <w:bookmarkEnd w:id="10"/>
      <w:bookmarkEnd w:id="11"/>
    </w:p>
    <w:p w14:paraId="48A3A8A9" w14:textId="77777777" w:rsidR="007A1CFD" w:rsidRDefault="00887338">
      <w:pPr>
        <w:spacing w:after="160" w:line="300" w:lineRule="auto"/>
        <w:jc w:val="both"/>
      </w:pPr>
      <w:r>
        <w:rPr>
          <w:sz w:val="22"/>
          <w:szCs w:val="22"/>
        </w:rPr>
        <w:t>We would like to express our deepest gratitude to everyone who contributed to the success of this project.</w:t>
      </w:r>
    </w:p>
    <w:p w14:paraId="498A383B" w14:textId="77777777" w:rsidR="007A1CFD" w:rsidRDefault="00887338">
      <w:pPr>
        <w:spacing w:after="160" w:line="300" w:lineRule="auto"/>
        <w:jc w:val="both"/>
      </w:pPr>
      <w:r>
        <w:rPr>
          <w:sz w:val="22"/>
          <w:szCs w:val="22"/>
        </w:rPr>
        <w:t xml:space="preserve">First and foremost, we extend our sincere appreciation to </w:t>
      </w:r>
      <w:r>
        <w:rPr>
          <w:b/>
          <w:bCs/>
          <w:sz w:val="22"/>
          <w:szCs w:val="22"/>
        </w:rPr>
        <w:t>H.E. President Abdel Fattah El-Sisi</w:t>
      </w:r>
      <w:r>
        <w:rPr>
          <w:sz w:val="22"/>
          <w:szCs w:val="22"/>
        </w:rPr>
        <w:t xml:space="preserve"> for launching the ambitious national initiatives aiming to develop the technology sector in Egypt and empower the youth. We also thank the </w:t>
      </w:r>
      <w:r>
        <w:rPr>
          <w:b/>
          <w:bCs/>
          <w:sz w:val="22"/>
          <w:szCs w:val="22"/>
        </w:rPr>
        <w:t>Ministry of Communications and Information Technology (MCIT)</w:t>
      </w:r>
      <w:r>
        <w:rPr>
          <w:sz w:val="22"/>
          <w:szCs w:val="22"/>
        </w:rPr>
        <w:t xml:space="preserve">, led by </w:t>
      </w:r>
      <w:r>
        <w:rPr>
          <w:b/>
          <w:bCs/>
          <w:sz w:val="22"/>
          <w:szCs w:val="22"/>
        </w:rPr>
        <w:t>Dr. Amr Talaat</w:t>
      </w:r>
      <w:r>
        <w:rPr>
          <w:sz w:val="22"/>
          <w:szCs w:val="22"/>
        </w:rPr>
        <w:t xml:space="preserve">, for their continuous efforts in fostering digital transformation through the </w:t>
      </w:r>
      <w:r>
        <w:rPr>
          <w:b/>
          <w:bCs/>
          <w:sz w:val="22"/>
          <w:szCs w:val="22"/>
        </w:rPr>
        <w:t>Digital Egypt Pioneers Initiative (DEPI)</w:t>
      </w:r>
      <w:r>
        <w:rPr>
          <w:sz w:val="22"/>
          <w:szCs w:val="22"/>
        </w:rPr>
        <w:t>.</w:t>
      </w:r>
    </w:p>
    <w:p w14:paraId="569C0B4B" w14:textId="77777777" w:rsidR="007A1CFD" w:rsidRDefault="00887338">
      <w:pPr>
        <w:spacing w:after="160" w:line="300" w:lineRule="auto"/>
        <w:jc w:val="both"/>
      </w:pPr>
      <w:r>
        <w:rPr>
          <w:sz w:val="22"/>
          <w:szCs w:val="22"/>
        </w:rPr>
        <w:t xml:space="preserve">We are also grateful to </w:t>
      </w:r>
      <w:r>
        <w:rPr>
          <w:b/>
          <w:bCs/>
          <w:sz w:val="22"/>
          <w:szCs w:val="22"/>
        </w:rPr>
        <w:t>CLS Learning Solutions</w:t>
      </w:r>
      <w:r>
        <w:rPr>
          <w:sz w:val="22"/>
          <w:szCs w:val="22"/>
        </w:rPr>
        <w:t xml:space="preserve"> for providing us with a professional learning environment and the necessary resources to complete this analysis. A special vote of thanks goes to our mentor and instructor, </w:t>
      </w:r>
      <w:r>
        <w:rPr>
          <w:b/>
          <w:bCs/>
          <w:sz w:val="22"/>
          <w:szCs w:val="22"/>
        </w:rPr>
        <w:t>Eng. Mahmoud Seraj</w:t>
      </w:r>
      <w:r>
        <w:rPr>
          <w:sz w:val="22"/>
          <w:szCs w:val="22"/>
        </w:rPr>
        <w:t>, whose guidance, technical expertise, and constructive feedback were instrumental in mastering Power BI.</w:t>
      </w:r>
    </w:p>
    <w:p w14:paraId="3B6A309C" w14:textId="77777777" w:rsidR="007A1CFD" w:rsidRDefault="00887338">
      <w:pPr>
        <w:spacing w:after="160" w:line="300" w:lineRule="auto"/>
        <w:jc w:val="both"/>
      </w:pPr>
      <w:r>
        <w:rPr>
          <w:sz w:val="22"/>
          <w:szCs w:val="22"/>
        </w:rPr>
        <w:t xml:space="preserve">Finally, our heartfelt thanks go to our </w:t>
      </w:r>
      <w:r>
        <w:rPr>
          <w:b/>
          <w:bCs/>
          <w:sz w:val="22"/>
          <w:szCs w:val="22"/>
        </w:rPr>
        <w:t>families and friends</w:t>
      </w:r>
      <w:r>
        <w:rPr>
          <w:sz w:val="22"/>
          <w:szCs w:val="22"/>
        </w:rPr>
        <w:t>. Your unwavering support, patience, and encouragement provided the motivation we needed to push through the challenges and reach this milestone.</w:t>
      </w:r>
    </w:p>
    <w:p w14:paraId="73D7ADE1" w14:textId="6147C90E" w:rsidR="007A1CFD" w:rsidRDefault="00887338">
      <w:pPr>
        <w:pStyle w:val="Heading1"/>
        <w:pageBreakBefore/>
        <w:pBdr>
          <w:bottom w:val="single" w:sz="12" w:space="8" w:color="B8860B"/>
        </w:pBdr>
        <w:spacing w:before="200" w:after="240"/>
      </w:pPr>
      <w:bookmarkStart w:id="12" w:name="_Toc234072272"/>
      <w:bookmarkStart w:id="13" w:name="_Toc234072703"/>
      <w:bookmarkStart w:id="14" w:name="_Toc234072776"/>
      <w:bookmarkStart w:id="15" w:name="_Toc234081835"/>
      <w:bookmarkStart w:id="16" w:name="_Toc234429621"/>
      <w:bookmarkStart w:id="17" w:name="_Toc234429711"/>
      <w:r>
        <w:rPr>
          <w:b/>
          <w:bCs/>
          <w:color w:val="1F3864"/>
          <w:sz w:val="34"/>
          <w:szCs w:val="34"/>
        </w:rPr>
        <w:lastRenderedPageBreak/>
        <w:t>Project Timeline Summary (</w:t>
      </w:r>
      <w:r w:rsidR="008C1F2C">
        <w:rPr>
          <w:b/>
          <w:bCs/>
          <w:color w:val="1F3864"/>
          <w:sz w:val="34"/>
          <w:szCs w:val="34"/>
        </w:rPr>
        <w:t>March</w:t>
      </w:r>
      <w:r>
        <w:rPr>
          <w:b/>
          <w:bCs/>
          <w:color w:val="1F3864"/>
          <w:sz w:val="34"/>
          <w:szCs w:val="34"/>
        </w:rPr>
        <w:t>–</w:t>
      </w:r>
      <w:r w:rsidR="008C1F2C">
        <w:rPr>
          <w:b/>
          <w:bCs/>
          <w:color w:val="1F3864"/>
          <w:sz w:val="34"/>
          <w:szCs w:val="34"/>
        </w:rPr>
        <w:t xml:space="preserve">June </w:t>
      </w:r>
      <w:r>
        <w:rPr>
          <w:b/>
          <w:bCs/>
          <w:color w:val="1F3864"/>
          <w:sz w:val="34"/>
          <w:szCs w:val="34"/>
        </w:rPr>
        <w:t>202</w:t>
      </w:r>
      <w:r w:rsidR="008C1F2C">
        <w:rPr>
          <w:b/>
          <w:bCs/>
          <w:color w:val="1F3864"/>
          <w:sz w:val="34"/>
          <w:szCs w:val="34"/>
        </w:rPr>
        <w:t>6</w:t>
      </w:r>
      <w:r>
        <w:rPr>
          <w:b/>
          <w:bCs/>
          <w:color w:val="1F3864"/>
          <w:sz w:val="34"/>
          <w:szCs w:val="34"/>
        </w:rPr>
        <w:t>)</w:t>
      </w:r>
      <w:bookmarkEnd w:id="12"/>
      <w:bookmarkEnd w:id="13"/>
      <w:bookmarkEnd w:id="14"/>
      <w:bookmarkEnd w:id="15"/>
      <w:bookmarkEnd w:id="16"/>
      <w:bookmarkEnd w:id="17"/>
    </w:p>
    <w:p w14:paraId="709CB8C5" w14:textId="77777777" w:rsidR="008C1F2C" w:rsidRPr="008C1F2C" w:rsidRDefault="008C1F2C" w:rsidP="008C1F2C">
      <w:pPr>
        <w:spacing w:before="60" w:after="80" w:line="296" w:lineRule="auto"/>
        <w:jc w:val="both"/>
        <w:rPr>
          <w:sz w:val="22"/>
          <w:szCs w:val="22"/>
        </w:rPr>
      </w:pPr>
      <w:bookmarkStart w:id="18" w:name="_Toc234072273"/>
      <w:r w:rsidRPr="008C1F2C">
        <w:rPr>
          <w:sz w:val="22"/>
          <w:szCs w:val="22"/>
        </w:rPr>
        <w:t>The project follows a structured four-month timeline starting in early March 2026 and extending through the end of June. It begins with defining the problem and conducting research, followed by data collection, cleaning, and modeling. After establishing a validated data model, an extended exploratory analysis phase runs through early June to uncover patterns and validate findings.</w:t>
      </w:r>
    </w:p>
    <w:p w14:paraId="476945F1" w14:textId="77777777" w:rsidR="008C1F2C" w:rsidRPr="008C1F2C" w:rsidRDefault="008C1F2C" w:rsidP="008C1F2C">
      <w:pPr>
        <w:rPr>
          <w:sz w:val="22"/>
          <w:szCs w:val="22"/>
        </w:rPr>
      </w:pPr>
    </w:p>
    <w:p w14:paraId="2CAD0971" w14:textId="77777777" w:rsidR="008C1F2C" w:rsidRPr="008C1F2C" w:rsidRDefault="008C1F2C" w:rsidP="008C1F2C">
      <w:pPr>
        <w:spacing w:before="60" w:after="80" w:line="296" w:lineRule="auto"/>
        <w:jc w:val="both"/>
        <w:rPr>
          <w:sz w:val="22"/>
          <w:szCs w:val="22"/>
        </w:rPr>
      </w:pPr>
      <w:r w:rsidRPr="008C1F2C">
        <w:rPr>
          <w:sz w:val="22"/>
          <w:szCs w:val="22"/>
        </w:rPr>
        <w:t>The visualization phase begins in early June, where the dashboard is designed, implemented, and refined over approximately two weeks. Insights and recommendations are then developed and validated with the team in the penultimate week.</w:t>
      </w:r>
    </w:p>
    <w:p w14:paraId="054FF431" w14:textId="77777777" w:rsidR="008C1F2C" w:rsidRPr="008C1F2C" w:rsidRDefault="008C1F2C" w:rsidP="008C1F2C">
      <w:pPr>
        <w:rPr>
          <w:sz w:val="22"/>
          <w:szCs w:val="22"/>
        </w:rPr>
      </w:pPr>
    </w:p>
    <w:p w14:paraId="2CB4E865" w14:textId="77777777" w:rsidR="008C1F2C" w:rsidRDefault="008C1F2C" w:rsidP="008C1F2C"/>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1006"/>
        <w:gridCol w:w="1005"/>
        <w:gridCol w:w="1005"/>
        <w:gridCol w:w="1005"/>
        <w:gridCol w:w="1005"/>
        <w:gridCol w:w="1005"/>
        <w:gridCol w:w="1005"/>
      </w:tblGrid>
      <w:tr w:rsidR="008C1F2C" w14:paraId="47E0CD7B" w14:textId="77777777" w:rsidTr="006F5EC5">
        <w:tc>
          <w:tcPr>
            <w:tcW w:w="2602"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3442B81" w14:textId="77777777" w:rsidR="008C1F2C" w:rsidRDefault="008C1F2C" w:rsidP="006F5EC5">
            <w:r>
              <w:rPr>
                <w:b/>
                <w:bCs/>
                <w:color w:val="FFFFFF"/>
                <w:sz w:val="18"/>
                <w:szCs w:val="18"/>
              </w:rPr>
              <w:t>Task</w:t>
            </w:r>
          </w:p>
        </w:tc>
        <w:tc>
          <w:tcPr>
            <w:tcW w:w="1006"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5945D246" w14:textId="77777777" w:rsidR="008C1F2C" w:rsidRDefault="008C1F2C" w:rsidP="006F5EC5">
            <w:pPr>
              <w:jc w:val="center"/>
            </w:pPr>
            <w:r>
              <w:rPr>
                <w:b/>
                <w:bCs/>
                <w:color w:val="FFFFFF"/>
                <w:sz w:val="16"/>
                <w:szCs w:val="16"/>
              </w:rPr>
              <w:t>04-03</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66A09C2C" w14:textId="77777777" w:rsidR="008C1F2C" w:rsidRDefault="008C1F2C" w:rsidP="006F5EC5">
            <w:pPr>
              <w:jc w:val="center"/>
            </w:pPr>
            <w:r>
              <w:rPr>
                <w:b/>
                <w:bCs/>
                <w:color w:val="FFFFFF"/>
                <w:sz w:val="16"/>
                <w:szCs w:val="16"/>
              </w:rPr>
              <w:t>14-03</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3A942E88" w14:textId="77777777" w:rsidR="008C1F2C" w:rsidRDefault="008C1F2C" w:rsidP="006F5EC5">
            <w:pPr>
              <w:jc w:val="center"/>
            </w:pPr>
            <w:r>
              <w:rPr>
                <w:b/>
                <w:bCs/>
                <w:color w:val="FFFFFF"/>
                <w:sz w:val="16"/>
                <w:szCs w:val="16"/>
              </w:rPr>
              <w:t>24-03</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61C9FC7C" w14:textId="77777777" w:rsidR="008C1F2C" w:rsidRDefault="008C1F2C" w:rsidP="006F5EC5">
            <w:pPr>
              <w:jc w:val="center"/>
            </w:pPr>
            <w:r>
              <w:rPr>
                <w:b/>
                <w:bCs/>
                <w:color w:val="FFFFFF"/>
                <w:sz w:val="16"/>
                <w:szCs w:val="16"/>
              </w:rPr>
              <w:t>04-04</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1CE7FC2A" w14:textId="77777777" w:rsidR="008C1F2C" w:rsidRDefault="008C1F2C" w:rsidP="006F5EC5">
            <w:pPr>
              <w:jc w:val="center"/>
            </w:pPr>
            <w:r>
              <w:rPr>
                <w:b/>
                <w:bCs/>
                <w:color w:val="FFFFFF"/>
                <w:sz w:val="16"/>
                <w:szCs w:val="16"/>
              </w:rPr>
              <w:t>02-06</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0AC185F1" w14:textId="77777777" w:rsidR="008C1F2C" w:rsidRDefault="008C1F2C" w:rsidP="006F5EC5">
            <w:pPr>
              <w:jc w:val="center"/>
            </w:pPr>
            <w:r>
              <w:rPr>
                <w:b/>
                <w:bCs/>
                <w:color w:val="FFFFFF"/>
                <w:sz w:val="16"/>
                <w:szCs w:val="16"/>
              </w:rPr>
              <w:t>15-06</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3D3C283F" w14:textId="77777777" w:rsidR="008C1F2C" w:rsidRDefault="008C1F2C" w:rsidP="006F5EC5">
            <w:pPr>
              <w:jc w:val="center"/>
            </w:pPr>
            <w:r>
              <w:rPr>
                <w:b/>
                <w:bCs/>
                <w:color w:val="FFFFFF"/>
                <w:sz w:val="16"/>
                <w:szCs w:val="16"/>
              </w:rPr>
              <w:t>22-06</w:t>
            </w:r>
          </w:p>
        </w:tc>
      </w:tr>
      <w:tr w:rsidR="008C1F2C" w14:paraId="0A344609" w14:textId="77777777" w:rsidTr="006F5EC5">
        <w:tc>
          <w:tcPr>
            <w:tcW w:w="26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37C44C" w14:textId="77777777" w:rsidR="008C1F2C" w:rsidRDefault="008C1F2C" w:rsidP="006F5EC5">
            <w:r>
              <w:rPr>
                <w:sz w:val="18"/>
                <w:szCs w:val="18"/>
              </w:rPr>
              <w:t>Problem Definition</w:t>
            </w:r>
          </w:p>
        </w:tc>
        <w:tc>
          <w:tcPr>
            <w:tcW w:w="1006"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74725E90"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2A2BB0A"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7EE4ADF"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BBB177E"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3810561"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7B83474"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0C1144C" w14:textId="77777777" w:rsidR="008C1F2C" w:rsidRDefault="008C1F2C" w:rsidP="006F5EC5">
            <w:r>
              <w:rPr>
                <w:sz w:val="18"/>
                <w:szCs w:val="18"/>
              </w:rPr>
              <w:t xml:space="preserve"> </w:t>
            </w:r>
          </w:p>
        </w:tc>
      </w:tr>
      <w:tr w:rsidR="008C1F2C" w14:paraId="6A0BBDFA" w14:textId="77777777" w:rsidTr="006F5EC5">
        <w:tc>
          <w:tcPr>
            <w:tcW w:w="260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6F7102" w14:textId="77777777" w:rsidR="008C1F2C" w:rsidRDefault="008C1F2C" w:rsidP="006F5EC5">
            <w:r>
              <w:rPr>
                <w:sz w:val="18"/>
                <w:szCs w:val="18"/>
              </w:rPr>
              <w:t>Data Collection</w:t>
            </w:r>
          </w:p>
        </w:tc>
        <w:tc>
          <w:tcPr>
            <w:tcW w:w="1006"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584F1F5F"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6E736633"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5C249D39"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03B086BA"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262D3A14"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3019E70F"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6CC20376" w14:textId="77777777" w:rsidR="008C1F2C" w:rsidRDefault="008C1F2C" w:rsidP="006F5EC5">
            <w:r>
              <w:rPr>
                <w:sz w:val="18"/>
                <w:szCs w:val="18"/>
              </w:rPr>
              <w:t xml:space="preserve"> </w:t>
            </w:r>
          </w:p>
        </w:tc>
      </w:tr>
      <w:tr w:rsidR="008C1F2C" w14:paraId="7D615DEA" w14:textId="77777777" w:rsidTr="006F5EC5">
        <w:tc>
          <w:tcPr>
            <w:tcW w:w="26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840040" w14:textId="77777777" w:rsidR="008C1F2C" w:rsidRDefault="008C1F2C" w:rsidP="006F5EC5">
            <w:r>
              <w:rPr>
                <w:sz w:val="18"/>
                <w:szCs w:val="18"/>
              </w:rPr>
              <w:t>Data Modeling</w:t>
            </w:r>
          </w:p>
        </w:tc>
        <w:tc>
          <w:tcPr>
            <w:tcW w:w="1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60A8EAF"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E10BDF2"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2353B5BF"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D702924"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E7323B"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A7EC757"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CB24081" w14:textId="77777777" w:rsidR="008C1F2C" w:rsidRDefault="008C1F2C" w:rsidP="006F5EC5">
            <w:r>
              <w:rPr>
                <w:sz w:val="18"/>
                <w:szCs w:val="18"/>
              </w:rPr>
              <w:t xml:space="preserve"> </w:t>
            </w:r>
          </w:p>
        </w:tc>
      </w:tr>
      <w:tr w:rsidR="008C1F2C" w14:paraId="52F4B1EB" w14:textId="77777777" w:rsidTr="006F5EC5">
        <w:tc>
          <w:tcPr>
            <w:tcW w:w="260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5CDE09" w14:textId="77777777" w:rsidR="008C1F2C" w:rsidRDefault="008C1F2C" w:rsidP="006F5EC5">
            <w:r>
              <w:rPr>
                <w:sz w:val="18"/>
                <w:szCs w:val="18"/>
              </w:rPr>
              <w:t>Exploratory Analysis</w:t>
            </w:r>
          </w:p>
        </w:tc>
        <w:tc>
          <w:tcPr>
            <w:tcW w:w="1006"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54BEB4D8"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332C9770"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50BA7CC7"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1D51B703"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62E6A3F6"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452D0536"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6B2DB138" w14:textId="77777777" w:rsidR="008C1F2C" w:rsidRDefault="008C1F2C" w:rsidP="006F5EC5">
            <w:r>
              <w:rPr>
                <w:sz w:val="18"/>
                <w:szCs w:val="18"/>
              </w:rPr>
              <w:t xml:space="preserve"> </w:t>
            </w:r>
          </w:p>
        </w:tc>
      </w:tr>
      <w:tr w:rsidR="008C1F2C" w14:paraId="58FFD135" w14:textId="77777777" w:rsidTr="006F5EC5">
        <w:tc>
          <w:tcPr>
            <w:tcW w:w="26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5A78E3" w14:textId="77777777" w:rsidR="008C1F2C" w:rsidRDefault="008C1F2C" w:rsidP="006F5EC5">
            <w:r>
              <w:rPr>
                <w:sz w:val="18"/>
                <w:szCs w:val="18"/>
              </w:rPr>
              <w:t>Visualization</w:t>
            </w:r>
          </w:p>
        </w:tc>
        <w:tc>
          <w:tcPr>
            <w:tcW w:w="1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DC613F"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68BA45A"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62CCAEB"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F715203"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39644995"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767A2C8"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DDCC1B3" w14:textId="77777777" w:rsidR="008C1F2C" w:rsidRDefault="008C1F2C" w:rsidP="006F5EC5">
            <w:r>
              <w:rPr>
                <w:sz w:val="18"/>
                <w:szCs w:val="18"/>
              </w:rPr>
              <w:t xml:space="preserve"> </w:t>
            </w:r>
          </w:p>
        </w:tc>
      </w:tr>
      <w:tr w:rsidR="008C1F2C" w14:paraId="44AED409" w14:textId="77777777" w:rsidTr="006F5EC5">
        <w:tc>
          <w:tcPr>
            <w:tcW w:w="260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09CEA5" w14:textId="77777777" w:rsidR="008C1F2C" w:rsidRDefault="008C1F2C" w:rsidP="006F5EC5">
            <w:r>
              <w:rPr>
                <w:sz w:val="18"/>
                <w:szCs w:val="18"/>
              </w:rPr>
              <w:t>Insights &amp; Recommendations</w:t>
            </w:r>
          </w:p>
        </w:tc>
        <w:tc>
          <w:tcPr>
            <w:tcW w:w="1006"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38497B77"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761250CE"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37B2E11A"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64727C6F"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171C8DEF"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3D7DDAF9"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60" w:type="dxa"/>
              <w:bottom w:w="60" w:type="dxa"/>
              <w:right w:w="60" w:type="dxa"/>
            </w:tcMar>
          </w:tcPr>
          <w:p w14:paraId="2046516F" w14:textId="77777777" w:rsidR="008C1F2C" w:rsidRDefault="008C1F2C" w:rsidP="006F5EC5">
            <w:r>
              <w:rPr>
                <w:sz w:val="18"/>
                <w:szCs w:val="18"/>
              </w:rPr>
              <w:t xml:space="preserve"> </w:t>
            </w:r>
          </w:p>
        </w:tc>
      </w:tr>
      <w:tr w:rsidR="008C1F2C" w14:paraId="26146C9A" w14:textId="77777777" w:rsidTr="006F5EC5">
        <w:tc>
          <w:tcPr>
            <w:tcW w:w="26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092667" w14:textId="77777777" w:rsidR="008C1F2C" w:rsidRDefault="008C1F2C" w:rsidP="006F5EC5">
            <w:r>
              <w:rPr>
                <w:sz w:val="18"/>
                <w:szCs w:val="18"/>
              </w:rPr>
              <w:t>Presentation &amp; Q&amp;A</w:t>
            </w:r>
          </w:p>
        </w:tc>
        <w:tc>
          <w:tcPr>
            <w:tcW w:w="1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412FBAF"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74E403E"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0368EE"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DDD6D91"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2C13E4D"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A7FD5A9" w14:textId="77777777" w:rsidR="008C1F2C" w:rsidRDefault="008C1F2C" w:rsidP="006F5EC5">
            <w:r>
              <w:rPr>
                <w:sz w:val="18"/>
                <w:szCs w:val="18"/>
              </w:rPr>
              <w:t xml:space="preserve"> </w:t>
            </w:r>
          </w:p>
        </w:tc>
        <w:tc>
          <w:tcPr>
            <w:tcW w:w="1005" w:type="dxa"/>
            <w:tcBorders>
              <w:top w:val="single" w:sz="1" w:space="0" w:color="CCCCCC"/>
              <w:left w:val="single" w:sz="1" w:space="0" w:color="CCCCCC"/>
              <w:bottom w:val="single" w:sz="1" w:space="0" w:color="CCCCCC"/>
              <w:right w:val="single" w:sz="1" w:space="0" w:color="CCCCCC"/>
            </w:tcBorders>
            <w:shd w:val="clear" w:color="auto" w:fill="1F3864"/>
            <w:tcMar>
              <w:top w:w="60" w:type="dxa"/>
              <w:left w:w="60" w:type="dxa"/>
              <w:bottom w:w="60" w:type="dxa"/>
              <w:right w:w="60" w:type="dxa"/>
            </w:tcMar>
          </w:tcPr>
          <w:p w14:paraId="65346505" w14:textId="77777777" w:rsidR="008C1F2C" w:rsidRDefault="008C1F2C" w:rsidP="006F5EC5">
            <w:r>
              <w:rPr>
                <w:sz w:val="18"/>
                <w:szCs w:val="18"/>
              </w:rPr>
              <w:t xml:space="preserve"> </w:t>
            </w:r>
          </w:p>
        </w:tc>
      </w:tr>
    </w:tbl>
    <w:p w14:paraId="78F40094" w14:textId="77777777" w:rsidR="00F12FA5" w:rsidRDefault="00F12FA5">
      <w:pPr>
        <w:pStyle w:val="Heading2"/>
        <w:spacing w:before="320" w:after="160"/>
        <w:rPr>
          <w:b/>
          <w:bCs/>
          <w:color w:val="1F3864"/>
        </w:rPr>
      </w:pPr>
      <w:bookmarkStart w:id="19" w:name="_Toc234072704"/>
      <w:bookmarkStart w:id="20" w:name="_Toc234072777"/>
    </w:p>
    <w:p w14:paraId="4A21A184" w14:textId="77777777" w:rsidR="00F12FA5" w:rsidRDefault="00F12FA5">
      <w:pPr>
        <w:rPr>
          <w:b/>
          <w:bCs/>
          <w:color w:val="1F3864"/>
          <w:sz w:val="26"/>
          <w:szCs w:val="26"/>
        </w:rPr>
      </w:pPr>
      <w:r>
        <w:rPr>
          <w:b/>
          <w:bCs/>
          <w:color w:val="1F3864"/>
        </w:rPr>
        <w:br w:type="page"/>
      </w:r>
    </w:p>
    <w:p w14:paraId="6B6D7E24" w14:textId="43C726A0" w:rsidR="007A1CFD" w:rsidRPr="00F12FA5" w:rsidRDefault="00887338">
      <w:pPr>
        <w:pStyle w:val="Heading2"/>
        <w:spacing w:before="320" w:after="160"/>
        <w:rPr>
          <w:sz w:val="34"/>
          <w:szCs w:val="34"/>
        </w:rPr>
      </w:pPr>
      <w:bookmarkStart w:id="21" w:name="_Toc234081836"/>
      <w:bookmarkStart w:id="22" w:name="_Toc234429622"/>
      <w:bookmarkStart w:id="23" w:name="_Toc234429712"/>
      <w:r w:rsidRPr="00F12FA5">
        <w:rPr>
          <w:b/>
          <w:bCs/>
          <w:color w:val="1F3864"/>
          <w:sz w:val="34"/>
          <w:szCs w:val="34"/>
        </w:rPr>
        <w:lastRenderedPageBreak/>
        <w:t>Project Problem Statement</w:t>
      </w:r>
      <w:bookmarkEnd w:id="18"/>
      <w:bookmarkEnd w:id="19"/>
      <w:bookmarkEnd w:id="20"/>
      <w:bookmarkEnd w:id="21"/>
      <w:bookmarkEnd w:id="22"/>
      <w:bookmarkEnd w:id="23"/>
    </w:p>
    <w:p w14:paraId="628D1746" w14:textId="70761089" w:rsidR="007A1CFD" w:rsidRDefault="00887338" w:rsidP="0013052B">
      <w:pPr>
        <w:spacing w:after="160" w:line="300" w:lineRule="auto"/>
        <w:jc w:val="both"/>
        <w:rPr>
          <w:sz w:val="22"/>
          <w:szCs w:val="22"/>
        </w:rPr>
      </w:pPr>
      <w:r>
        <w:rPr>
          <w:sz w:val="22"/>
          <w:szCs w:val="22"/>
        </w:rPr>
        <w:t xml:space="preserve">Between 2020 and 2024, the Egyptian economy experienced unprecedented macroeconomic volatility, characterized by a staggering </w:t>
      </w:r>
      <w:r>
        <w:rPr>
          <w:b/>
          <w:bCs/>
          <w:color w:val="C0392B"/>
          <w:sz w:val="22"/>
          <w:szCs w:val="22"/>
        </w:rPr>
        <w:t>59.84% currency devaluation</w:t>
      </w:r>
      <w:r>
        <w:rPr>
          <w:sz w:val="22"/>
          <w:szCs w:val="22"/>
        </w:rPr>
        <w:t xml:space="preserve"> and soaring food inflation that peaked at </w:t>
      </w:r>
      <w:r>
        <w:rPr>
          <w:b/>
          <w:bCs/>
          <w:color w:val="C0392B"/>
          <w:sz w:val="22"/>
          <w:szCs w:val="22"/>
        </w:rPr>
        <w:t>63.57%</w:t>
      </w:r>
      <w:r>
        <w:rPr>
          <w:sz w:val="22"/>
          <w:szCs w:val="22"/>
        </w:rPr>
        <w:t xml:space="preserve">. While global commodity prices remained relatively stable — even dropping to $0.98 per metric ton by 2024 — the collapse of the local currency caused the cost of imported goods to explode in Egyptian Pounds, surging from 16.2 Billion EGP in 2020 to </w:t>
      </w:r>
      <w:r>
        <w:rPr>
          <w:b/>
          <w:bCs/>
          <w:color w:val="C0392B"/>
          <w:sz w:val="22"/>
          <w:szCs w:val="22"/>
        </w:rPr>
        <w:t>119.2 Billion EGP in 2024</w:t>
      </w:r>
      <w:r>
        <w:rPr>
          <w:sz w:val="22"/>
          <w:szCs w:val="22"/>
        </w:rPr>
        <w:t xml:space="preserve">. This dynamic fundamentally disrupted the nation's "Affordability Nexus." </w:t>
      </w:r>
      <w:r w:rsidR="0013052B" w:rsidRPr="0013052B">
        <w:rPr>
          <w:sz w:val="22"/>
          <w:szCs w:val="22"/>
        </w:rPr>
        <w:t>Despite the nominal minimum wage increasing from 2,000 to 6,000 EGP, the real purchasing power of citizens collapsed, with the average "Units Affordable" capacity of a minimum wage earner plummeting from 303 units in 2021 down to just 258 units in 2024.</w:t>
      </w:r>
      <w:r>
        <w:rPr>
          <w:sz w:val="22"/>
          <w:szCs w:val="22"/>
        </w:rPr>
        <w:t xml:space="preserve"> The core problem this project addresses is identifying and quantifying the exact transmission mechanism of this imported inflation, and determining which specific commodities, trade corridors, and supply chains require immediate intervention to stabilize the nation's food security.</w:t>
      </w:r>
    </w:p>
    <w:p w14:paraId="297BBBE9" w14:textId="77777777" w:rsidR="008C1F2C" w:rsidRDefault="008C1F2C">
      <w:pPr>
        <w:spacing w:after="160" w:line="300" w:lineRule="auto"/>
        <w:jc w:val="both"/>
        <w:rPr>
          <w:sz w:val="22"/>
          <w:szCs w:val="22"/>
        </w:rPr>
      </w:pPr>
    </w:p>
    <w:p w14:paraId="0098C6D0" w14:textId="77777777" w:rsidR="008C1F2C" w:rsidRDefault="008C1F2C">
      <w:pPr>
        <w:spacing w:after="160" w:line="300" w:lineRule="auto"/>
        <w:jc w:val="both"/>
        <w:rPr>
          <w:sz w:val="22"/>
          <w:szCs w:val="22"/>
        </w:rPr>
      </w:pPr>
    </w:p>
    <w:p w14:paraId="783CD5AF" w14:textId="77777777" w:rsidR="008C1F2C" w:rsidRDefault="008C1F2C">
      <w:pPr>
        <w:spacing w:after="160" w:line="300" w:lineRule="auto"/>
        <w:jc w:val="both"/>
        <w:rPr>
          <w:sz w:val="22"/>
          <w:szCs w:val="22"/>
        </w:rPr>
      </w:pPr>
    </w:p>
    <w:p w14:paraId="760AE0DB" w14:textId="015EAC06" w:rsidR="008C1F2C" w:rsidRDefault="008C1F2C" w:rsidP="008C1F2C">
      <w:pPr>
        <w:pBdr>
          <w:top w:val="single" w:sz="4" w:space="4" w:color="2E75B6"/>
        </w:pBdr>
        <w:spacing w:before="200" w:after="60"/>
        <w:rPr>
          <w:b/>
          <w:bCs/>
          <w:color w:val="1F3864"/>
          <w:sz w:val="34"/>
          <w:szCs w:val="34"/>
        </w:rPr>
      </w:pPr>
      <w:r w:rsidRPr="008C1F2C">
        <w:rPr>
          <w:rFonts w:ascii="Calibri" w:hAnsi="Calibri" w:cs="Calibri"/>
          <w:i/>
          <w:iCs/>
          <w:color w:val="595959"/>
          <w:sz w:val="18"/>
          <w:szCs w:val="18"/>
        </w:rPr>
        <w:t>This initiative is offered by the Ministry of Communications and Information Technology under the name Digital Egypt Pioneers Initiative (DEPI), in collaboration with private training partners such as CLS Learning Solutions, Leading 365, Berlitz, and Elharefa. Launched in 2023, the program aims to equip students for the freelance and digital job market, providing specialized tracks in technical skills, soft skills, freelancing, and English.</w:t>
      </w:r>
      <w:bookmarkStart w:id="24" w:name="_Toc234072274"/>
      <w:r>
        <w:rPr>
          <w:b/>
          <w:bCs/>
          <w:color w:val="1F3864"/>
          <w:sz w:val="34"/>
          <w:szCs w:val="34"/>
        </w:rPr>
        <w:br w:type="page"/>
      </w:r>
    </w:p>
    <w:sdt>
      <w:sdtPr>
        <w:rPr>
          <w:rFonts w:ascii="Times New Roman" w:eastAsia="Times New Roman" w:hAnsi="Times New Roman" w:cs="Times New Roman"/>
          <w:color w:val="auto"/>
          <w:sz w:val="20"/>
          <w:szCs w:val="20"/>
        </w:rPr>
        <w:id w:val="1744606830"/>
        <w:docPartObj>
          <w:docPartGallery w:val="Table of Contents"/>
          <w:docPartUnique/>
        </w:docPartObj>
      </w:sdtPr>
      <w:sdtEndPr>
        <w:rPr>
          <w:b/>
          <w:bCs/>
          <w:noProof/>
        </w:rPr>
      </w:sdtEndPr>
      <w:sdtContent>
        <w:p w14:paraId="154E45DC" w14:textId="77777777" w:rsidR="008C1F2C" w:rsidRDefault="008C1F2C" w:rsidP="008C1F2C">
          <w:pPr>
            <w:pStyle w:val="TOCHeading"/>
          </w:pPr>
          <w:r>
            <w:t>Contents</w:t>
          </w:r>
        </w:p>
        <w:p w14:paraId="32B83BC7" w14:textId="3906F248" w:rsidR="003E30D0" w:rsidRDefault="008C1F2C" w:rsidP="003E30D0">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429713" w:history="1">
            <w:r w:rsidR="003E30D0" w:rsidRPr="00E83631">
              <w:rPr>
                <w:rStyle w:val="Hyperlink"/>
                <w:b/>
                <w:bCs/>
                <w:noProof/>
              </w:rPr>
              <w:t>Introduction</w:t>
            </w:r>
            <w:r w:rsidR="003E30D0">
              <w:rPr>
                <w:noProof/>
                <w:webHidden/>
              </w:rPr>
              <w:tab/>
            </w:r>
            <w:r w:rsidR="003E30D0">
              <w:rPr>
                <w:noProof/>
                <w:webHidden/>
              </w:rPr>
              <w:fldChar w:fldCharType="begin"/>
            </w:r>
            <w:r w:rsidR="003E30D0">
              <w:rPr>
                <w:noProof/>
                <w:webHidden/>
              </w:rPr>
              <w:instrText xml:space="preserve"> PAGEREF _Toc234429713 \h </w:instrText>
            </w:r>
            <w:r w:rsidR="003E30D0">
              <w:rPr>
                <w:noProof/>
                <w:webHidden/>
              </w:rPr>
            </w:r>
            <w:r w:rsidR="003E30D0">
              <w:rPr>
                <w:noProof/>
                <w:webHidden/>
              </w:rPr>
              <w:fldChar w:fldCharType="separate"/>
            </w:r>
            <w:r w:rsidR="003E30D0">
              <w:rPr>
                <w:noProof/>
                <w:webHidden/>
              </w:rPr>
              <w:t>7</w:t>
            </w:r>
            <w:r w:rsidR="003E30D0">
              <w:rPr>
                <w:noProof/>
                <w:webHidden/>
              </w:rPr>
              <w:fldChar w:fldCharType="end"/>
            </w:r>
          </w:hyperlink>
        </w:p>
        <w:p w14:paraId="60DA1164" w14:textId="78537432" w:rsidR="003E30D0" w:rsidRDefault="003E30D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4429714" w:history="1">
            <w:r w:rsidRPr="00E83631">
              <w:rPr>
                <w:rStyle w:val="Hyperlink"/>
                <w:b/>
                <w:bCs/>
                <w:noProof/>
              </w:rPr>
              <w:t>Chapter 1: Data Preparation (Cleaning and Formatting the Data)</w:t>
            </w:r>
            <w:r>
              <w:rPr>
                <w:noProof/>
                <w:webHidden/>
              </w:rPr>
              <w:tab/>
            </w:r>
            <w:r>
              <w:rPr>
                <w:noProof/>
                <w:webHidden/>
              </w:rPr>
              <w:fldChar w:fldCharType="begin"/>
            </w:r>
            <w:r>
              <w:rPr>
                <w:noProof/>
                <w:webHidden/>
              </w:rPr>
              <w:instrText xml:space="preserve"> PAGEREF _Toc234429714 \h </w:instrText>
            </w:r>
            <w:r>
              <w:rPr>
                <w:noProof/>
                <w:webHidden/>
              </w:rPr>
            </w:r>
            <w:r>
              <w:rPr>
                <w:noProof/>
                <w:webHidden/>
              </w:rPr>
              <w:fldChar w:fldCharType="separate"/>
            </w:r>
            <w:r>
              <w:rPr>
                <w:noProof/>
                <w:webHidden/>
              </w:rPr>
              <w:t>8</w:t>
            </w:r>
            <w:r>
              <w:rPr>
                <w:noProof/>
                <w:webHidden/>
              </w:rPr>
              <w:fldChar w:fldCharType="end"/>
            </w:r>
          </w:hyperlink>
        </w:p>
        <w:p w14:paraId="28DA09D6" w14:textId="1BF25E59"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15" w:history="1">
            <w:r w:rsidRPr="00E83631">
              <w:rPr>
                <w:rStyle w:val="Hyperlink"/>
                <w:b/>
                <w:bCs/>
                <w:noProof/>
              </w:rPr>
              <w:t>1.1 Overview of Data Cleaning</w:t>
            </w:r>
            <w:r>
              <w:rPr>
                <w:noProof/>
                <w:webHidden/>
              </w:rPr>
              <w:tab/>
            </w:r>
            <w:r>
              <w:rPr>
                <w:noProof/>
                <w:webHidden/>
              </w:rPr>
              <w:fldChar w:fldCharType="begin"/>
            </w:r>
            <w:r>
              <w:rPr>
                <w:noProof/>
                <w:webHidden/>
              </w:rPr>
              <w:instrText xml:space="preserve"> PAGEREF _Toc234429715 \h </w:instrText>
            </w:r>
            <w:r>
              <w:rPr>
                <w:noProof/>
                <w:webHidden/>
              </w:rPr>
            </w:r>
            <w:r>
              <w:rPr>
                <w:noProof/>
                <w:webHidden/>
              </w:rPr>
              <w:fldChar w:fldCharType="separate"/>
            </w:r>
            <w:r>
              <w:rPr>
                <w:noProof/>
                <w:webHidden/>
              </w:rPr>
              <w:t>8</w:t>
            </w:r>
            <w:r>
              <w:rPr>
                <w:noProof/>
                <w:webHidden/>
              </w:rPr>
              <w:fldChar w:fldCharType="end"/>
            </w:r>
          </w:hyperlink>
        </w:p>
        <w:p w14:paraId="4FB82EC8" w14:textId="584654B8"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16" w:history="1">
            <w:r w:rsidRPr="00E83631">
              <w:rPr>
                <w:rStyle w:val="Hyperlink"/>
                <w:b/>
                <w:bCs/>
                <w:noProof/>
              </w:rPr>
              <w:t>1.2 Macroeconomic Data Pipelines</w:t>
            </w:r>
            <w:r>
              <w:rPr>
                <w:noProof/>
                <w:webHidden/>
              </w:rPr>
              <w:tab/>
            </w:r>
            <w:r>
              <w:rPr>
                <w:noProof/>
                <w:webHidden/>
              </w:rPr>
              <w:fldChar w:fldCharType="begin"/>
            </w:r>
            <w:r>
              <w:rPr>
                <w:noProof/>
                <w:webHidden/>
              </w:rPr>
              <w:instrText xml:space="preserve"> PAGEREF _Toc234429716 \h </w:instrText>
            </w:r>
            <w:r>
              <w:rPr>
                <w:noProof/>
                <w:webHidden/>
              </w:rPr>
            </w:r>
            <w:r>
              <w:rPr>
                <w:noProof/>
                <w:webHidden/>
              </w:rPr>
              <w:fldChar w:fldCharType="separate"/>
            </w:r>
            <w:r>
              <w:rPr>
                <w:noProof/>
                <w:webHidden/>
              </w:rPr>
              <w:t>8</w:t>
            </w:r>
            <w:r>
              <w:rPr>
                <w:noProof/>
                <w:webHidden/>
              </w:rPr>
              <w:fldChar w:fldCharType="end"/>
            </w:r>
          </w:hyperlink>
        </w:p>
        <w:p w14:paraId="67E798E7" w14:textId="5F2BA5FB"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17" w:history="1">
            <w:r w:rsidRPr="00E83631">
              <w:rPr>
                <w:rStyle w:val="Hyperlink"/>
                <w:b/>
                <w:bCs/>
                <w:noProof/>
              </w:rPr>
              <w:t>1.3 Microeconomic &amp; Commodity Pipelines</w:t>
            </w:r>
            <w:r>
              <w:rPr>
                <w:noProof/>
                <w:webHidden/>
              </w:rPr>
              <w:tab/>
            </w:r>
            <w:r>
              <w:rPr>
                <w:noProof/>
                <w:webHidden/>
              </w:rPr>
              <w:fldChar w:fldCharType="begin"/>
            </w:r>
            <w:r>
              <w:rPr>
                <w:noProof/>
                <w:webHidden/>
              </w:rPr>
              <w:instrText xml:space="preserve"> PAGEREF _Toc234429717 \h </w:instrText>
            </w:r>
            <w:r>
              <w:rPr>
                <w:noProof/>
                <w:webHidden/>
              </w:rPr>
            </w:r>
            <w:r>
              <w:rPr>
                <w:noProof/>
                <w:webHidden/>
              </w:rPr>
              <w:fldChar w:fldCharType="separate"/>
            </w:r>
            <w:r>
              <w:rPr>
                <w:noProof/>
                <w:webHidden/>
              </w:rPr>
              <w:t>8</w:t>
            </w:r>
            <w:r>
              <w:rPr>
                <w:noProof/>
                <w:webHidden/>
              </w:rPr>
              <w:fldChar w:fldCharType="end"/>
            </w:r>
          </w:hyperlink>
        </w:p>
        <w:p w14:paraId="3AE1C57D" w14:textId="0695A631"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18" w:history="1">
            <w:r w:rsidRPr="00E83631">
              <w:rPr>
                <w:rStyle w:val="Hyperlink"/>
                <w:b/>
                <w:bCs/>
                <w:noProof/>
              </w:rPr>
              <w:t>1.4 International Trade Pipeline</w:t>
            </w:r>
            <w:r>
              <w:rPr>
                <w:noProof/>
                <w:webHidden/>
              </w:rPr>
              <w:tab/>
            </w:r>
            <w:r>
              <w:rPr>
                <w:noProof/>
                <w:webHidden/>
              </w:rPr>
              <w:fldChar w:fldCharType="begin"/>
            </w:r>
            <w:r>
              <w:rPr>
                <w:noProof/>
                <w:webHidden/>
              </w:rPr>
              <w:instrText xml:space="preserve"> PAGEREF _Toc234429718 \h </w:instrText>
            </w:r>
            <w:r>
              <w:rPr>
                <w:noProof/>
                <w:webHidden/>
              </w:rPr>
            </w:r>
            <w:r>
              <w:rPr>
                <w:noProof/>
                <w:webHidden/>
              </w:rPr>
              <w:fldChar w:fldCharType="separate"/>
            </w:r>
            <w:r>
              <w:rPr>
                <w:noProof/>
                <w:webHidden/>
              </w:rPr>
              <w:t>9</w:t>
            </w:r>
            <w:r>
              <w:rPr>
                <w:noProof/>
                <w:webHidden/>
              </w:rPr>
              <w:fldChar w:fldCharType="end"/>
            </w:r>
          </w:hyperlink>
        </w:p>
        <w:p w14:paraId="026211A6" w14:textId="6D8199C8" w:rsidR="003E30D0" w:rsidRDefault="003E30D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4429719" w:history="1">
            <w:r w:rsidRPr="00E83631">
              <w:rPr>
                <w:rStyle w:val="Hyperlink"/>
                <w:b/>
                <w:bCs/>
                <w:noProof/>
              </w:rPr>
              <w:t>Chapter 2: System Analysis &amp; Design (Database Design &amp; Data Modeling)</w:t>
            </w:r>
            <w:r>
              <w:rPr>
                <w:noProof/>
                <w:webHidden/>
              </w:rPr>
              <w:tab/>
            </w:r>
            <w:r>
              <w:rPr>
                <w:noProof/>
                <w:webHidden/>
              </w:rPr>
              <w:fldChar w:fldCharType="begin"/>
            </w:r>
            <w:r>
              <w:rPr>
                <w:noProof/>
                <w:webHidden/>
              </w:rPr>
              <w:instrText xml:space="preserve"> PAGEREF _Toc234429719 \h </w:instrText>
            </w:r>
            <w:r>
              <w:rPr>
                <w:noProof/>
                <w:webHidden/>
              </w:rPr>
            </w:r>
            <w:r>
              <w:rPr>
                <w:noProof/>
                <w:webHidden/>
              </w:rPr>
              <w:fldChar w:fldCharType="separate"/>
            </w:r>
            <w:r>
              <w:rPr>
                <w:noProof/>
                <w:webHidden/>
              </w:rPr>
              <w:t>10</w:t>
            </w:r>
            <w:r>
              <w:rPr>
                <w:noProof/>
                <w:webHidden/>
              </w:rPr>
              <w:fldChar w:fldCharType="end"/>
            </w:r>
          </w:hyperlink>
        </w:p>
        <w:p w14:paraId="074BBA7E" w14:textId="2550DC4C"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20" w:history="1">
            <w:r w:rsidRPr="00E83631">
              <w:rPr>
                <w:rStyle w:val="Hyperlink"/>
                <w:b/>
                <w:bCs/>
                <w:noProof/>
              </w:rPr>
              <w:t>2.1 Data Modeling and DAX Architecture</w:t>
            </w:r>
            <w:r>
              <w:rPr>
                <w:noProof/>
                <w:webHidden/>
              </w:rPr>
              <w:tab/>
            </w:r>
            <w:r>
              <w:rPr>
                <w:noProof/>
                <w:webHidden/>
              </w:rPr>
              <w:fldChar w:fldCharType="begin"/>
            </w:r>
            <w:r>
              <w:rPr>
                <w:noProof/>
                <w:webHidden/>
              </w:rPr>
              <w:instrText xml:space="preserve"> PAGEREF _Toc234429720 \h </w:instrText>
            </w:r>
            <w:r>
              <w:rPr>
                <w:noProof/>
                <w:webHidden/>
              </w:rPr>
            </w:r>
            <w:r>
              <w:rPr>
                <w:noProof/>
                <w:webHidden/>
              </w:rPr>
              <w:fldChar w:fldCharType="separate"/>
            </w:r>
            <w:r>
              <w:rPr>
                <w:noProof/>
                <w:webHidden/>
              </w:rPr>
              <w:t>10</w:t>
            </w:r>
            <w:r>
              <w:rPr>
                <w:noProof/>
                <w:webHidden/>
              </w:rPr>
              <w:fldChar w:fldCharType="end"/>
            </w:r>
          </w:hyperlink>
        </w:p>
        <w:p w14:paraId="7F3E1531" w14:textId="2A064A73"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21" w:history="1">
            <w:r w:rsidRPr="00E83631">
              <w:rPr>
                <w:rStyle w:val="Hyperlink"/>
                <w:b/>
                <w:bCs/>
                <w:noProof/>
              </w:rPr>
              <w:t>2.2 UI/UX Design &amp; Prototyping</w:t>
            </w:r>
            <w:r>
              <w:rPr>
                <w:noProof/>
                <w:webHidden/>
              </w:rPr>
              <w:tab/>
            </w:r>
            <w:r>
              <w:rPr>
                <w:noProof/>
                <w:webHidden/>
              </w:rPr>
              <w:fldChar w:fldCharType="begin"/>
            </w:r>
            <w:r>
              <w:rPr>
                <w:noProof/>
                <w:webHidden/>
              </w:rPr>
              <w:instrText xml:space="preserve"> PAGEREF _Toc234429721 \h </w:instrText>
            </w:r>
            <w:r>
              <w:rPr>
                <w:noProof/>
                <w:webHidden/>
              </w:rPr>
            </w:r>
            <w:r>
              <w:rPr>
                <w:noProof/>
                <w:webHidden/>
              </w:rPr>
              <w:fldChar w:fldCharType="separate"/>
            </w:r>
            <w:r>
              <w:rPr>
                <w:noProof/>
                <w:webHidden/>
              </w:rPr>
              <w:t>13</w:t>
            </w:r>
            <w:r>
              <w:rPr>
                <w:noProof/>
                <w:webHidden/>
              </w:rPr>
              <w:fldChar w:fldCharType="end"/>
            </w:r>
          </w:hyperlink>
        </w:p>
        <w:p w14:paraId="0BBFEA16" w14:textId="42E53B0C"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22" w:history="1">
            <w:r w:rsidRPr="00E83631">
              <w:rPr>
                <w:rStyle w:val="Hyperlink"/>
                <w:b/>
                <w:bCs/>
                <w:noProof/>
              </w:rPr>
              <w:t>2.3 Da</w:t>
            </w:r>
            <w:r w:rsidRPr="00E83631">
              <w:rPr>
                <w:rStyle w:val="Hyperlink"/>
                <w:b/>
                <w:bCs/>
                <w:noProof/>
              </w:rPr>
              <w:t>s</w:t>
            </w:r>
            <w:r w:rsidRPr="00E83631">
              <w:rPr>
                <w:rStyle w:val="Hyperlink"/>
                <w:b/>
                <w:bCs/>
                <w:noProof/>
              </w:rPr>
              <w:t>hboard Navigation Guide</w:t>
            </w:r>
            <w:r>
              <w:rPr>
                <w:noProof/>
                <w:webHidden/>
              </w:rPr>
              <w:tab/>
            </w:r>
            <w:r>
              <w:rPr>
                <w:noProof/>
                <w:webHidden/>
              </w:rPr>
              <w:fldChar w:fldCharType="begin"/>
            </w:r>
            <w:r>
              <w:rPr>
                <w:noProof/>
                <w:webHidden/>
              </w:rPr>
              <w:instrText xml:space="preserve"> PAGEREF _Toc234429722 \h </w:instrText>
            </w:r>
            <w:r>
              <w:rPr>
                <w:noProof/>
                <w:webHidden/>
              </w:rPr>
            </w:r>
            <w:r>
              <w:rPr>
                <w:noProof/>
                <w:webHidden/>
              </w:rPr>
              <w:fldChar w:fldCharType="separate"/>
            </w:r>
            <w:r>
              <w:rPr>
                <w:noProof/>
                <w:webHidden/>
              </w:rPr>
              <w:t>14</w:t>
            </w:r>
            <w:r>
              <w:rPr>
                <w:noProof/>
                <w:webHidden/>
              </w:rPr>
              <w:fldChar w:fldCharType="end"/>
            </w:r>
          </w:hyperlink>
        </w:p>
        <w:p w14:paraId="5C840AE8" w14:textId="65C59DFB" w:rsidR="003E30D0" w:rsidRDefault="003E30D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4429723" w:history="1">
            <w:r w:rsidRPr="00E83631">
              <w:rPr>
                <w:rStyle w:val="Hyperlink"/>
                <w:b/>
                <w:bCs/>
                <w:noProof/>
              </w:rPr>
              <w:t>Chapter 3: Analysis &amp; Insights</w:t>
            </w:r>
            <w:r>
              <w:rPr>
                <w:noProof/>
                <w:webHidden/>
              </w:rPr>
              <w:tab/>
            </w:r>
            <w:r>
              <w:rPr>
                <w:noProof/>
                <w:webHidden/>
              </w:rPr>
              <w:fldChar w:fldCharType="begin"/>
            </w:r>
            <w:r>
              <w:rPr>
                <w:noProof/>
                <w:webHidden/>
              </w:rPr>
              <w:instrText xml:space="preserve"> PAGEREF _Toc234429723 \h </w:instrText>
            </w:r>
            <w:r>
              <w:rPr>
                <w:noProof/>
                <w:webHidden/>
              </w:rPr>
            </w:r>
            <w:r>
              <w:rPr>
                <w:noProof/>
                <w:webHidden/>
              </w:rPr>
              <w:fldChar w:fldCharType="separate"/>
            </w:r>
            <w:r>
              <w:rPr>
                <w:noProof/>
                <w:webHidden/>
              </w:rPr>
              <w:t>19</w:t>
            </w:r>
            <w:r>
              <w:rPr>
                <w:noProof/>
                <w:webHidden/>
              </w:rPr>
              <w:fldChar w:fldCharType="end"/>
            </w:r>
          </w:hyperlink>
        </w:p>
        <w:p w14:paraId="50A359F8" w14:textId="6A5D7501"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24" w:history="1">
            <w:r w:rsidRPr="00E83631">
              <w:rPr>
                <w:rStyle w:val="Hyperlink"/>
                <w:b/>
                <w:bCs/>
                <w:noProof/>
              </w:rPr>
              <w:t>3.1 Page 1: Macroeconomic Overview Analysis</w:t>
            </w:r>
            <w:r>
              <w:rPr>
                <w:noProof/>
                <w:webHidden/>
              </w:rPr>
              <w:tab/>
            </w:r>
            <w:r>
              <w:rPr>
                <w:noProof/>
                <w:webHidden/>
              </w:rPr>
              <w:fldChar w:fldCharType="begin"/>
            </w:r>
            <w:r>
              <w:rPr>
                <w:noProof/>
                <w:webHidden/>
              </w:rPr>
              <w:instrText xml:space="preserve"> PAGEREF _Toc234429724 \h </w:instrText>
            </w:r>
            <w:r>
              <w:rPr>
                <w:noProof/>
                <w:webHidden/>
              </w:rPr>
            </w:r>
            <w:r>
              <w:rPr>
                <w:noProof/>
                <w:webHidden/>
              </w:rPr>
              <w:fldChar w:fldCharType="separate"/>
            </w:r>
            <w:r>
              <w:rPr>
                <w:noProof/>
                <w:webHidden/>
              </w:rPr>
              <w:t>19</w:t>
            </w:r>
            <w:r>
              <w:rPr>
                <w:noProof/>
                <w:webHidden/>
              </w:rPr>
              <w:fldChar w:fldCharType="end"/>
            </w:r>
          </w:hyperlink>
        </w:p>
        <w:p w14:paraId="25BF6A51" w14:textId="2E27502E"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25" w:history="1">
            <w:r w:rsidRPr="00E83631">
              <w:rPr>
                <w:rStyle w:val="Hyperlink"/>
                <w:b/>
                <w:bCs/>
                <w:noProof/>
              </w:rPr>
              <w:t>A. Core KPIs (Headline CPI, Avg Exchange Rate, Max FX Devaluation, Avg Food Inflation)</w:t>
            </w:r>
            <w:r>
              <w:rPr>
                <w:noProof/>
                <w:webHidden/>
              </w:rPr>
              <w:tab/>
            </w:r>
            <w:r>
              <w:rPr>
                <w:noProof/>
                <w:webHidden/>
              </w:rPr>
              <w:fldChar w:fldCharType="begin"/>
            </w:r>
            <w:r>
              <w:rPr>
                <w:noProof/>
                <w:webHidden/>
              </w:rPr>
              <w:instrText xml:space="preserve"> PAGEREF _Toc234429725 \h </w:instrText>
            </w:r>
            <w:r>
              <w:rPr>
                <w:noProof/>
                <w:webHidden/>
              </w:rPr>
            </w:r>
            <w:r>
              <w:rPr>
                <w:noProof/>
                <w:webHidden/>
              </w:rPr>
              <w:fldChar w:fldCharType="separate"/>
            </w:r>
            <w:r>
              <w:rPr>
                <w:noProof/>
                <w:webHidden/>
              </w:rPr>
              <w:t>19</w:t>
            </w:r>
            <w:r>
              <w:rPr>
                <w:noProof/>
                <w:webHidden/>
              </w:rPr>
              <w:fldChar w:fldCharType="end"/>
            </w:r>
          </w:hyperlink>
        </w:p>
        <w:p w14:paraId="3B5E7C7E" w14:textId="5036A280"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26" w:history="1">
            <w:r w:rsidRPr="00E83631">
              <w:rPr>
                <w:rStyle w:val="Hyperlink"/>
                <w:b/>
                <w:bCs/>
                <w:noProof/>
              </w:rPr>
              <w:t>B. Visual 1 &amp; 2 (Line/Clustered Chart for CPI vs FX &amp; Waterfall Chart for Devaluation)</w:t>
            </w:r>
            <w:r>
              <w:rPr>
                <w:noProof/>
                <w:webHidden/>
              </w:rPr>
              <w:tab/>
            </w:r>
            <w:r>
              <w:rPr>
                <w:noProof/>
                <w:webHidden/>
              </w:rPr>
              <w:fldChar w:fldCharType="begin"/>
            </w:r>
            <w:r>
              <w:rPr>
                <w:noProof/>
                <w:webHidden/>
              </w:rPr>
              <w:instrText xml:space="preserve"> PAGEREF _Toc234429726 \h </w:instrText>
            </w:r>
            <w:r>
              <w:rPr>
                <w:noProof/>
                <w:webHidden/>
              </w:rPr>
            </w:r>
            <w:r>
              <w:rPr>
                <w:noProof/>
                <w:webHidden/>
              </w:rPr>
              <w:fldChar w:fldCharType="separate"/>
            </w:r>
            <w:r>
              <w:rPr>
                <w:noProof/>
                <w:webHidden/>
              </w:rPr>
              <w:t>19</w:t>
            </w:r>
            <w:r>
              <w:rPr>
                <w:noProof/>
                <w:webHidden/>
              </w:rPr>
              <w:fldChar w:fldCharType="end"/>
            </w:r>
          </w:hyperlink>
        </w:p>
        <w:p w14:paraId="32DACA29" w14:textId="66E76434"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27" w:history="1">
            <w:r w:rsidRPr="00E83631">
              <w:rPr>
                <w:rStyle w:val="Hyperlink"/>
                <w:b/>
                <w:bCs/>
                <w:noProof/>
              </w:rPr>
              <w:t>C. Visual 3 (Line Chart: Food Inflation vs. Headline CPI)</w:t>
            </w:r>
            <w:r>
              <w:rPr>
                <w:noProof/>
                <w:webHidden/>
              </w:rPr>
              <w:tab/>
            </w:r>
            <w:r>
              <w:rPr>
                <w:noProof/>
                <w:webHidden/>
              </w:rPr>
              <w:fldChar w:fldCharType="begin"/>
            </w:r>
            <w:r>
              <w:rPr>
                <w:noProof/>
                <w:webHidden/>
              </w:rPr>
              <w:instrText xml:space="preserve"> PAGEREF _Toc234429727 \h </w:instrText>
            </w:r>
            <w:r>
              <w:rPr>
                <w:noProof/>
                <w:webHidden/>
              </w:rPr>
            </w:r>
            <w:r>
              <w:rPr>
                <w:noProof/>
                <w:webHidden/>
              </w:rPr>
              <w:fldChar w:fldCharType="separate"/>
            </w:r>
            <w:r>
              <w:rPr>
                <w:noProof/>
                <w:webHidden/>
              </w:rPr>
              <w:t>19</w:t>
            </w:r>
            <w:r>
              <w:rPr>
                <w:noProof/>
                <w:webHidden/>
              </w:rPr>
              <w:fldChar w:fldCharType="end"/>
            </w:r>
          </w:hyperlink>
        </w:p>
        <w:p w14:paraId="0E8A5F50" w14:textId="4327FA11"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28" w:history="1">
            <w:r w:rsidRPr="00E83631">
              <w:rPr>
                <w:rStyle w:val="Hyperlink"/>
                <w:b/>
                <w:bCs/>
                <w:noProof/>
              </w:rPr>
              <w:t>3.2 Page 2: Commodity Volatility &amp; Risk Analysis</w:t>
            </w:r>
            <w:r>
              <w:rPr>
                <w:noProof/>
                <w:webHidden/>
              </w:rPr>
              <w:tab/>
            </w:r>
            <w:r>
              <w:rPr>
                <w:noProof/>
                <w:webHidden/>
              </w:rPr>
              <w:fldChar w:fldCharType="begin"/>
            </w:r>
            <w:r>
              <w:rPr>
                <w:noProof/>
                <w:webHidden/>
              </w:rPr>
              <w:instrText xml:space="preserve"> PAGEREF _Toc234429728 \h </w:instrText>
            </w:r>
            <w:r>
              <w:rPr>
                <w:noProof/>
                <w:webHidden/>
              </w:rPr>
            </w:r>
            <w:r>
              <w:rPr>
                <w:noProof/>
                <w:webHidden/>
              </w:rPr>
              <w:fldChar w:fldCharType="separate"/>
            </w:r>
            <w:r>
              <w:rPr>
                <w:noProof/>
                <w:webHidden/>
              </w:rPr>
              <w:t>19</w:t>
            </w:r>
            <w:r>
              <w:rPr>
                <w:noProof/>
                <w:webHidden/>
              </w:rPr>
              <w:fldChar w:fldCharType="end"/>
            </w:r>
          </w:hyperlink>
        </w:p>
        <w:p w14:paraId="6D77406C" w14:textId="79F5E332"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29" w:history="1">
            <w:r w:rsidRPr="00E83631">
              <w:rPr>
                <w:rStyle w:val="Hyperlink"/>
                <w:b/>
                <w:bCs/>
                <w:noProof/>
              </w:rPr>
              <w:t>A. Core KPIs (Survival Basket Growth, Max Category Spike, Volatile Category, Critical Commodities)</w:t>
            </w:r>
            <w:r>
              <w:rPr>
                <w:noProof/>
                <w:webHidden/>
              </w:rPr>
              <w:tab/>
            </w:r>
            <w:r>
              <w:rPr>
                <w:noProof/>
                <w:webHidden/>
              </w:rPr>
              <w:fldChar w:fldCharType="begin"/>
            </w:r>
            <w:r>
              <w:rPr>
                <w:noProof/>
                <w:webHidden/>
              </w:rPr>
              <w:instrText xml:space="preserve"> PAGEREF _Toc234429729 \h </w:instrText>
            </w:r>
            <w:r>
              <w:rPr>
                <w:noProof/>
                <w:webHidden/>
              </w:rPr>
            </w:r>
            <w:r>
              <w:rPr>
                <w:noProof/>
                <w:webHidden/>
              </w:rPr>
              <w:fldChar w:fldCharType="separate"/>
            </w:r>
            <w:r>
              <w:rPr>
                <w:noProof/>
                <w:webHidden/>
              </w:rPr>
              <w:t>19</w:t>
            </w:r>
            <w:r>
              <w:rPr>
                <w:noProof/>
                <w:webHidden/>
              </w:rPr>
              <w:fldChar w:fldCharType="end"/>
            </w:r>
          </w:hyperlink>
        </w:p>
        <w:p w14:paraId="12EF7090" w14:textId="21CA8136"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30" w:history="1">
            <w:r w:rsidRPr="00E83631">
              <w:rPr>
                <w:rStyle w:val="Hyperlink"/>
                <w:b/>
                <w:bCs/>
                <w:noProof/>
              </w:rPr>
              <w:t>B. Visual 1, 2 &amp; 4 (YoY Bar Chart, Risk Matrix &amp; Ribbon Chart)</w:t>
            </w:r>
            <w:r>
              <w:rPr>
                <w:noProof/>
                <w:webHidden/>
              </w:rPr>
              <w:tab/>
            </w:r>
            <w:r>
              <w:rPr>
                <w:noProof/>
                <w:webHidden/>
              </w:rPr>
              <w:fldChar w:fldCharType="begin"/>
            </w:r>
            <w:r>
              <w:rPr>
                <w:noProof/>
                <w:webHidden/>
              </w:rPr>
              <w:instrText xml:space="preserve"> PAGEREF _Toc234429730 \h </w:instrText>
            </w:r>
            <w:r>
              <w:rPr>
                <w:noProof/>
                <w:webHidden/>
              </w:rPr>
            </w:r>
            <w:r>
              <w:rPr>
                <w:noProof/>
                <w:webHidden/>
              </w:rPr>
              <w:fldChar w:fldCharType="separate"/>
            </w:r>
            <w:r>
              <w:rPr>
                <w:noProof/>
                <w:webHidden/>
              </w:rPr>
              <w:t>20</w:t>
            </w:r>
            <w:r>
              <w:rPr>
                <w:noProof/>
                <w:webHidden/>
              </w:rPr>
              <w:fldChar w:fldCharType="end"/>
            </w:r>
          </w:hyperlink>
        </w:p>
        <w:p w14:paraId="06BE0B93" w14:textId="5215FA35"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31" w:history="1">
            <w:r w:rsidRPr="00E83631">
              <w:rPr>
                <w:rStyle w:val="Hyperlink"/>
                <w:b/>
                <w:bCs/>
                <w:noProof/>
              </w:rPr>
              <w:t>C. Visual 3 (Scatter Chart: Price YoY vs. Volatility)</w:t>
            </w:r>
            <w:r>
              <w:rPr>
                <w:noProof/>
                <w:webHidden/>
              </w:rPr>
              <w:tab/>
            </w:r>
            <w:r>
              <w:rPr>
                <w:noProof/>
                <w:webHidden/>
              </w:rPr>
              <w:fldChar w:fldCharType="begin"/>
            </w:r>
            <w:r>
              <w:rPr>
                <w:noProof/>
                <w:webHidden/>
              </w:rPr>
              <w:instrText xml:space="preserve"> PAGEREF _Toc234429731 \h </w:instrText>
            </w:r>
            <w:r>
              <w:rPr>
                <w:noProof/>
                <w:webHidden/>
              </w:rPr>
            </w:r>
            <w:r>
              <w:rPr>
                <w:noProof/>
                <w:webHidden/>
              </w:rPr>
              <w:fldChar w:fldCharType="separate"/>
            </w:r>
            <w:r>
              <w:rPr>
                <w:noProof/>
                <w:webHidden/>
              </w:rPr>
              <w:t>20</w:t>
            </w:r>
            <w:r>
              <w:rPr>
                <w:noProof/>
                <w:webHidden/>
              </w:rPr>
              <w:fldChar w:fldCharType="end"/>
            </w:r>
          </w:hyperlink>
        </w:p>
        <w:p w14:paraId="43CEAFEA" w14:textId="3A03B9DC"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32" w:history="1">
            <w:r w:rsidRPr="00E83631">
              <w:rPr>
                <w:rStyle w:val="Hyperlink"/>
                <w:b/>
                <w:bCs/>
                <w:noProof/>
              </w:rPr>
              <w:t>3.3 Page 3: The Affordability Nexus</w:t>
            </w:r>
            <w:r>
              <w:rPr>
                <w:noProof/>
                <w:webHidden/>
              </w:rPr>
              <w:tab/>
            </w:r>
            <w:r>
              <w:rPr>
                <w:noProof/>
                <w:webHidden/>
              </w:rPr>
              <w:fldChar w:fldCharType="begin"/>
            </w:r>
            <w:r>
              <w:rPr>
                <w:noProof/>
                <w:webHidden/>
              </w:rPr>
              <w:instrText xml:space="preserve"> PAGEREF _Toc234429732 \h </w:instrText>
            </w:r>
            <w:r>
              <w:rPr>
                <w:noProof/>
                <w:webHidden/>
              </w:rPr>
            </w:r>
            <w:r>
              <w:rPr>
                <w:noProof/>
                <w:webHidden/>
              </w:rPr>
              <w:fldChar w:fldCharType="separate"/>
            </w:r>
            <w:r>
              <w:rPr>
                <w:noProof/>
                <w:webHidden/>
              </w:rPr>
              <w:t>20</w:t>
            </w:r>
            <w:r>
              <w:rPr>
                <w:noProof/>
                <w:webHidden/>
              </w:rPr>
              <w:fldChar w:fldCharType="end"/>
            </w:r>
          </w:hyperlink>
        </w:p>
        <w:p w14:paraId="6B3F6F9C" w14:textId="17A762EF"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33" w:history="1">
            <w:r w:rsidRPr="00E83631">
              <w:rPr>
                <w:rStyle w:val="Hyperlink"/>
                <w:b/>
                <w:bCs/>
                <w:noProof/>
              </w:rPr>
              <w:t>A. Core KPIs (Avg Minimum Wage, Monthly Income, Physical Units Lost, Units Affordable)</w:t>
            </w:r>
            <w:r>
              <w:rPr>
                <w:noProof/>
                <w:webHidden/>
              </w:rPr>
              <w:tab/>
            </w:r>
            <w:r>
              <w:rPr>
                <w:noProof/>
                <w:webHidden/>
              </w:rPr>
              <w:fldChar w:fldCharType="begin"/>
            </w:r>
            <w:r>
              <w:rPr>
                <w:noProof/>
                <w:webHidden/>
              </w:rPr>
              <w:instrText xml:space="preserve"> PAGEREF _Toc234429733 \h </w:instrText>
            </w:r>
            <w:r>
              <w:rPr>
                <w:noProof/>
                <w:webHidden/>
              </w:rPr>
            </w:r>
            <w:r>
              <w:rPr>
                <w:noProof/>
                <w:webHidden/>
              </w:rPr>
              <w:fldChar w:fldCharType="separate"/>
            </w:r>
            <w:r>
              <w:rPr>
                <w:noProof/>
                <w:webHidden/>
              </w:rPr>
              <w:t>20</w:t>
            </w:r>
            <w:r>
              <w:rPr>
                <w:noProof/>
                <w:webHidden/>
              </w:rPr>
              <w:fldChar w:fldCharType="end"/>
            </w:r>
          </w:hyperlink>
        </w:p>
        <w:p w14:paraId="7BA99813" w14:textId="745DF2E6"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34" w:history="1">
            <w:r w:rsidRPr="00E83631">
              <w:rPr>
                <w:rStyle w:val="Hyperlink"/>
                <w:b/>
                <w:bCs/>
                <w:noProof/>
              </w:rPr>
              <w:t>B. Visual 1 &amp; 2 (Waterfall Affordability Drop &amp; Wage vs. Units Chart)</w:t>
            </w:r>
            <w:r>
              <w:rPr>
                <w:noProof/>
                <w:webHidden/>
              </w:rPr>
              <w:tab/>
            </w:r>
            <w:r>
              <w:rPr>
                <w:noProof/>
                <w:webHidden/>
              </w:rPr>
              <w:fldChar w:fldCharType="begin"/>
            </w:r>
            <w:r>
              <w:rPr>
                <w:noProof/>
                <w:webHidden/>
              </w:rPr>
              <w:instrText xml:space="preserve"> PAGEREF _Toc234429734 \h </w:instrText>
            </w:r>
            <w:r>
              <w:rPr>
                <w:noProof/>
                <w:webHidden/>
              </w:rPr>
            </w:r>
            <w:r>
              <w:rPr>
                <w:noProof/>
                <w:webHidden/>
              </w:rPr>
              <w:fldChar w:fldCharType="separate"/>
            </w:r>
            <w:r>
              <w:rPr>
                <w:noProof/>
                <w:webHidden/>
              </w:rPr>
              <w:t>20</w:t>
            </w:r>
            <w:r>
              <w:rPr>
                <w:noProof/>
                <w:webHidden/>
              </w:rPr>
              <w:fldChar w:fldCharType="end"/>
            </w:r>
          </w:hyperlink>
        </w:p>
        <w:p w14:paraId="343BFA07" w14:textId="4D03B24B"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35" w:history="1">
            <w:r w:rsidRPr="00E83631">
              <w:rPr>
                <w:rStyle w:val="Hyperlink"/>
                <w:b/>
                <w:bCs/>
                <w:noProof/>
              </w:rPr>
              <w:t>C. Visual 3 (100% Stacked Bar: Income Erosion vs. Retained Income)</w:t>
            </w:r>
            <w:r>
              <w:rPr>
                <w:noProof/>
                <w:webHidden/>
              </w:rPr>
              <w:tab/>
            </w:r>
            <w:r>
              <w:rPr>
                <w:noProof/>
                <w:webHidden/>
              </w:rPr>
              <w:fldChar w:fldCharType="begin"/>
            </w:r>
            <w:r>
              <w:rPr>
                <w:noProof/>
                <w:webHidden/>
              </w:rPr>
              <w:instrText xml:space="preserve"> PAGEREF _Toc234429735 \h </w:instrText>
            </w:r>
            <w:r>
              <w:rPr>
                <w:noProof/>
                <w:webHidden/>
              </w:rPr>
            </w:r>
            <w:r>
              <w:rPr>
                <w:noProof/>
                <w:webHidden/>
              </w:rPr>
              <w:fldChar w:fldCharType="separate"/>
            </w:r>
            <w:r>
              <w:rPr>
                <w:noProof/>
                <w:webHidden/>
              </w:rPr>
              <w:t>21</w:t>
            </w:r>
            <w:r>
              <w:rPr>
                <w:noProof/>
                <w:webHidden/>
              </w:rPr>
              <w:fldChar w:fldCharType="end"/>
            </w:r>
          </w:hyperlink>
        </w:p>
        <w:p w14:paraId="7BF3B262" w14:textId="088DC385" w:rsidR="003E30D0" w:rsidRDefault="003E30D0">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4429736" w:history="1">
            <w:r w:rsidRPr="00E83631">
              <w:rPr>
                <w:rStyle w:val="Hyperlink"/>
                <w:b/>
                <w:bCs/>
                <w:noProof/>
              </w:rPr>
              <w:t>3.4 Page 4: Macro Trade Reality &amp; Import Exposure</w:t>
            </w:r>
            <w:r>
              <w:rPr>
                <w:noProof/>
                <w:webHidden/>
              </w:rPr>
              <w:tab/>
            </w:r>
            <w:r>
              <w:rPr>
                <w:noProof/>
                <w:webHidden/>
              </w:rPr>
              <w:fldChar w:fldCharType="begin"/>
            </w:r>
            <w:r>
              <w:rPr>
                <w:noProof/>
                <w:webHidden/>
              </w:rPr>
              <w:instrText xml:space="preserve"> PAGEREF _Toc234429736 \h </w:instrText>
            </w:r>
            <w:r>
              <w:rPr>
                <w:noProof/>
                <w:webHidden/>
              </w:rPr>
            </w:r>
            <w:r>
              <w:rPr>
                <w:noProof/>
                <w:webHidden/>
              </w:rPr>
              <w:fldChar w:fldCharType="separate"/>
            </w:r>
            <w:r>
              <w:rPr>
                <w:noProof/>
                <w:webHidden/>
              </w:rPr>
              <w:t>21</w:t>
            </w:r>
            <w:r>
              <w:rPr>
                <w:noProof/>
                <w:webHidden/>
              </w:rPr>
              <w:fldChar w:fldCharType="end"/>
            </w:r>
          </w:hyperlink>
        </w:p>
        <w:p w14:paraId="4F0F639E" w14:textId="29CF4554"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37" w:history="1">
            <w:r w:rsidRPr="00E83631">
              <w:rPr>
                <w:rStyle w:val="Hyperlink"/>
                <w:b/>
                <w:bCs/>
                <w:noProof/>
              </w:rPr>
              <w:t>A. Core KPIs (Import Value USD, Total Import EGP, Global Cost/Ton, Highest Risk Partner)</w:t>
            </w:r>
            <w:r>
              <w:rPr>
                <w:noProof/>
                <w:webHidden/>
              </w:rPr>
              <w:tab/>
            </w:r>
            <w:r>
              <w:rPr>
                <w:noProof/>
                <w:webHidden/>
              </w:rPr>
              <w:fldChar w:fldCharType="begin"/>
            </w:r>
            <w:r>
              <w:rPr>
                <w:noProof/>
                <w:webHidden/>
              </w:rPr>
              <w:instrText xml:space="preserve"> PAGEREF _Toc234429737 \h </w:instrText>
            </w:r>
            <w:r>
              <w:rPr>
                <w:noProof/>
                <w:webHidden/>
              </w:rPr>
            </w:r>
            <w:r>
              <w:rPr>
                <w:noProof/>
                <w:webHidden/>
              </w:rPr>
              <w:fldChar w:fldCharType="separate"/>
            </w:r>
            <w:r>
              <w:rPr>
                <w:noProof/>
                <w:webHidden/>
              </w:rPr>
              <w:t>21</w:t>
            </w:r>
            <w:r>
              <w:rPr>
                <w:noProof/>
                <w:webHidden/>
              </w:rPr>
              <w:fldChar w:fldCharType="end"/>
            </w:r>
          </w:hyperlink>
        </w:p>
        <w:p w14:paraId="1C6D94B8" w14:textId="0A0EA6A1"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38" w:history="1">
            <w:r w:rsidRPr="00E83631">
              <w:rPr>
                <w:rStyle w:val="Hyperlink"/>
                <w:b/>
                <w:bCs/>
                <w:noProof/>
              </w:rPr>
              <w:t>B. Visual 1 (Azure Maps: Import Volume Geographic Plot)</w:t>
            </w:r>
            <w:r>
              <w:rPr>
                <w:noProof/>
                <w:webHidden/>
              </w:rPr>
              <w:tab/>
            </w:r>
            <w:r>
              <w:rPr>
                <w:noProof/>
                <w:webHidden/>
              </w:rPr>
              <w:fldChar w:fldCharType="begin"/>
            </w:r>
            <w:r>
              <w:rPr>
                <w:noProof/>
                <w:webHidden/>
              </w:rPr>
              <w:instrText xml:space="preserve"> PAGEREF _Toc234429738 \h </w:instrText>
            </w:r>
            <w:r>
              <w:rPr>
                <w:noProof/>
                <w:webHidden/>
              </w:rPr>
            </w:r>
            <w:r>
              <w:rPr>
                <w:noProof/>
                <w:webHidden/>
              </w:rPr>
              <w:fldChar w:fldCharType="separate"/>
            </w:r>
            <w:r>
              <w:rPr>
                <w:noProof/>
                <w:webHidden/>
              </w:rPr>
              <w:t>21</w:t>
            </w:r>
            <w:r>
              <w:rPr>
                <w:noProof/>
                <w:webHidden/>
              </w:rPr>
              <w:fldChar w:fldCharType="end"/>
            </w:r>
          </w:hyperlink>
        </w:p>
        <w:p w14:paraId="32EF1509" w14:textId="7E82B771"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39" w:history="1">
            <w:r w:rsidRPr="00E83631">
              <w:rPr>
                <w:rStyle w:val="Hyperlink"/>
                <w:b/>
                <w:bCs/>
                <w:noProof/>
              </w:rPr>
              <w:t>C. Visual 2 &amp; 3 (Total Cost EGP vs USD Value &amp; Top Products Bar Chart)</w:t>
            </w:r>
            <w:r>
              <w:rPr>
                <w:noProof/>
                <w:webHidden/>
              </w:rPr>
              <w:tab/>
            </w:r>
            <w:r>
              <w:rPr>
                <w:noProof/>
                <w:webHidden/>
              </w:rPr>
              <w:fldChar w:fldCharType="begin"/>
            </w:r>
            <w:r>
              <w:rPr>
                <w:noProof/>
                <w:webHidden/>
              </w:rPr>
              <w:instrText xml:space="preserve"> PAGEREF _Toc234429739 \h </w:instrText>
            </w:r>
            <w:r>
              <w:rPr>
                <w:noProof/>
                <w:webHidden/>
              </w:rPr>
            </w:r>
            <w:r>
              <w:rPr>
                <w:noProof/>
                <w:webHidden/>
              </w:rPr>
              <w:fldChar w:fldCharType="separate"/>
            </w:r>
            <w:r>
              <w:rPr>
                <w:noProof/>
                <w:webHidden/>
              </w:rPr>
              <w:t>21</w:t>
            </w:r>
            <w:r>
              <w:rPr>
                <w:noProof/>
                <w:webHidden/>
              </w:rPr>
              <w:fldChar w:fldCharType="end"/>
            </w:r>
          </w:hyperlink>
        </w:p>
        <w:p w14:paraId="1906CAF8" w14:textId="46358576" w:rsidR="003E30D0" w:rsidRDefault="003E30D0">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4429740" w:history="1">
            <w:r w:rsidRPr="00E83631">
              <w:rPr>
                <w:rStyle w:val="Hyperlink"/>
                <w:b/>
                <w:bCs/>
                <w:noProof/>
              </w:rPr>
              <w:t>D. Visual 4 (Line Chart: Avg Local Price vs. Simulated Price)</w:t>
            </w:r>
            <w:r>
              <w:rPr>
                <w:noProof/>
                <w:webHidden/>
              </w:rPr>
              <w:tab/>
            </w:r>
            <w:r>
              <w:rPr>
                <w:noProof/>
                <w:webHidden/>
              </w:rPr>
              <w:fldChar w:fldCharType="begin"/>
            </w:r>
            <w:r>
              <w:rPr>
                <w:noProof/>
                <w:webHidden/>
              </w:rPr>
              <w:instrText xml:space="preserve"> PAGEREF _Toc234429740 \h </w:instrText>
            </w:r>
            <w:r>
              <w:rPr>
                <w:noProof/>
                <w:webHidden/>
              </w:rPr>
            </w:r>
            <w:r>
              <w:rPr>
                <w:noProof/>
                <w:webHidden/>
              </w:rPr>
              <w:fldChar w:fldCharType="separate"/>
            </w:r>
            <w:r>
              <w:rPr>
                <w:noProof/>
                <w:webHidden/>
              </w:rPr>
              <w:t>21</w:t>
            </w:r>
            <w:r>
              <w:rPr>
                <w:noProof/>
                <w:webHidden/>
              </w:rPr>
              <w:fldChar w:fldCharType="end"/>
            </w:r>
          </w:hyperlink>
        </w:p>
        <w:p w14:paraId="34A5579F" w14:textId="5D4F3349" w:rsidR="003E30D0" w:rsidRDefault="003E30D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4429741" w:history="1">
            <w:r w:rsidRPr="00E83631">
              <w:rPr>
                <w:rStyle w:val="Hyperlink"/>
                <w:b/>
                <w:bCs/>
                <w:noProof/>
              </w:rPr>
              <w:t>Glossary &amp; Terminology</w:t>
            </w:r>
            <w:r>
              <w:rPr>
                <w:noProof/>
                <w:webHidden/>
              </w:rPr>
              <w:tab/>
            </w:r>
            <w:r>
              <w:rPr>
                <w:noProof/>
                <w:webHidden/>
              </w:rPr>
              <w:fldChar w:fldCharType="begin"/>
            </w:r>
            <w:r>
              <w:rPr>
                <w:noProof/>
                <w:webHidden/>
              </w:rPr>
              <w:instrText xml:space="preserve"> PAGEREF _Toc234429741 \h </w:instrText>
            </w:r>
            <w:r>
              <w:rPr>
                <w:noProof/>
                <w:webHidden/>
              </w:rPr>
            </w:r>
            <w:r>
              <w:rPr>
                <w:noProof/>
                <w:webHidden/>
              </w:rPr>
              <w:fldChar w:fldCharType="separate"/>
            </w:r>
            <w:r>
              <w:rPr>
                <w:noProof/>
                <w:webHidden/>
              </w:rPr>
              <w:t>22</w:t>
            </w:r>
            <w:r>
              <w:rPr>
                <w:noProof/>
                <w:webHidden/>
              </w:rPr>
              <w:fldChar w:fldCharType="end"/>
            </w:r>
          </w:hyperlink>
        </w:p>
        <w:p w14:paraId="461F4C32" w14:textId="44154225" w:rsidR="003E30D0" w:rsidRDefault="003E30D0">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4429742" w:history="1">
            <w:r w:rsidRPr="00E83631">
              <w:rPr>
                <w:rStyle w:val="Hyperlink"/>
                <w:b/>
                <w:bCs/>
                <w:noProof/>
              </w:rPr>
              <w:t>Conclusion</w:t>
            </w:r>
            <w:r>
              <w:rPr>
                <w:noProof/>
                <w:webHidden/>
              </w:rPr>
              <w:tab/>
            </w:r>
            <w:r>
              <w:rPr>
                <w:noProof/>
                <w:webHidden/>
              </w:rPr>
              <w:fldChar w:fldCharType="begin"/>
            </w:r>
            <w:r>
              <w:rPr>
                <w:noProof/>
                <w:webHidden/>
              </w:rPr>
              <w:instrText xml:space="preserve"> PAGEREF _Toc234429742 \h </w:instrText>
            </w:r>
            <w:r>
              <w:rPr>
                <w:noProof/>
                <w:webHidden/>
              </w:rPr>
            </w:r>
            <w:r>
              <w:rPr>
                <w:noProof/>
                <w:webHidden/>
              </w:rPr>
              <w:fldChar w:fldCharType="separate"/>
            </w:r>
            <w:r>
              <w:rPr>
                <w:noProof/>
                <w:webHidden/>
              </w:rPr>
              <w:t>23</w:t>
            </w:r>
            <w:r>
              <w:rPr>
                <w:noProof/>
                <w:webHidden/>
              </w:rPr>
              <w:fldChar w:fldCharType="end"/>
            </w:r>
          </w:hyperlink>
        </w:p>
        <w:p w14:paraId="521C24D5" w14:textId="39BB0769" w:rsidR="008C1F2C" w:rsidRDefault="008C1F2C" w:rsidP="008C1F2C">
          <w:pPr>
            <w:rPr>
              <w:b/>
              <w:bCs/>
              <w:noProof/>
            </w:rPr>
          </w:pPr>
          <w:r>
            <w:rPr>
              <w:b/>
              <w:bCs/>
              <w:noProof/>
            </w:rPr>
            <w:fldChar w:fldCharType="end"/>
          </w:r>
        </w:p>
      </w:sdtContent>
    </w:sdt>
    <w:p w14:paraId="59C2BD5B" w14:textId="5BCE8F3C" w:rsidR="007A1CFD" w:rsidRDefault="00887338">
      <w:pPr>
        <w:pStyle w:val="Heading1"/>
        <w:pageBreakBefore/>
        <w:pBdr>
          <w:bottom w:val="single" w:sz="12" w:space="8" w:color="B8860B"/>
        </w:pBdr>
        <w:spacing w:before="200" w:after="240"/>
      </w:pPr>
      <w:bookmarkStart w:id="25" w:name="_Toc234429713"/>
      <w:r>
        <w:rPr>
          <w:b/>
          <w:bCs/>
          <w:color w:val="1F3864"/>
          <w:sz w:val="34"/>
          <w:szCs w:val="34"/>
        </w:rPr>
        <w:lastRenderedPageBreak/>
        <w:t>Introduction</w:t>
      </w:r>
      <w:bookmarkEnd w:id="24"/>
      <w:bookmarkEnd w:id="25"/>
    </w:p>
    <w:p w14:paraId="1EE73F9A" w14:textId="77777777" w:rsidR="007A1CFD" w:rsidRDefault="00887338">
      <w:pPr>
        <w:spacing w:after="160" w:line="300" w:lineRule="auto"/>
        <w:jc w:val="both"/>
      </w:pPr>
      <w:r>
        <w:rPr>
          <w:sz w:val="22"/>
          <w:szCs w:val="22"/>
        </w:rPr>
        <w:t>In modern macroeconomic environments, national stability relies heavily on food security and the preservation of citizen purchasing power. Between 2020 and 2024, the Egyptian economy faced severe, overlapping macroeconomic shocks. Driven by global supply chain disruptions and intense local currency volatility, the market experienced a staggering 59.84% currency devaluation, driving general headline inflation to a peak of 33.88% in 2023. More critically, food-specific inflation wildly outpaced general inflation, reaching a devastating 63.57% during the same period.</w:t>
      </w:r>
    </w:p>
    <w:p w14:paraId="287FADDF" w14:textId="77777777" w:rsidR="007A1CFD" w:rsidRDefault="00887338">
      <w:pPr>
        <w:spacing w:after="160" w:line="300" w:lineRule="auto"/>
        <w:jc w:val="both"/>
      </w:pPr>
      <w:r>
        <w:rPr>
          <w:sz w:val="22"/>
          <w:szCs w:val="22"/>
        </w:rPr>
        <w:t>The consequences of these macro shocks have been far-reaching, fundamentally disrupting the "Affordability Nexus" of the average citizen. When the cost of importing basic commodities explodes — such as the total import cost rising to 119.2 Billion EGP in 2024 — the effects ripple through local markets, causing massive spikes in the prices of survival basket items like Sugar, Poultry, and Wheat.</w:t>
      </w:r>
    </w:p>
    <w:p w14:paraId="453DFCF5" w14:textId="77777777" w:rsidR="007A1CFD" w:rsidRDefault="00887338">
      <w:pPr>
        <w:spacing w:after="160" w:line="300" w:lineRule="auto"/>
        <w:jc w:val="both"/>
      </w:pPr>
      <w:r>
        <w:rPr>
          <w:b/>
          <w:bCs/>
          <w:sz w:val="22"/>
          <w:szCs w:val="22"/>
        </w:rPr>
        <w:t>This report provides</w:t>
      </w:r>
      <w:r>
        <w:rPr>
          <w:sz w:val="22"/>
          <w:szCs w:val="22"/>
        </w:rPr>
        <w:t xml:space="preserve"> a comprehensive analysis of Egypt's food security landscape and economic affordability, based on recorded international trade data, local market commodity prices, and macro-financial indicators.</w:t>
      </w:r>
    </w:p>
    <w:p w14:paraId="761E1EA3" w14:textId="77777777" w:rsidR="007A1CFD" w:rsidRDefault="00887338">
      <w:pPr>
        <w:spacing w:after="160" w:line="300" w:lineRule="auto"/>
        <w:jc w:val="both"/>
      </w:pPr>
      <w:r>
        <w:rPr>
          <w:sz w:val="22"/>
          <w:szCs w:val="22"/>
        </w:rPr>
        <w:t>The dataset encompasses multiple critical dimensions, including an extensive breakdown of global import volumes and costs from sovereign partners like Brazil and Australia, alongside highly granular, product-level pricing data for local Egyptian markets.</w:t>
      </w:r>
    </w:p>
    <w:p w14:paraId="7C8A5909" w14:textId="77777777" w:rsidR="007A1CFD" w:rsidRDefault="00887338">
      <w:pPr>
        <w:spacing w:after="160" w:line="300" w:lineRule="auto"/>
        <w:jc w:val="both"/>
      </w:pPr>
      <w:r>
        <w:rPr>
          <w:sz w:val="22"/>
          <w:szCs w:val="22"/>
        </w:rPr>
        <w:t>By examining the transmission mechanism of macroeconomic devaluation into microeconomic food prices, this analysis aims to:</w:t>
      </w:r>
    </w:p>
    <w:p w14:paraId="628697FE" w14:textId="77777777" w:rsidR="007A1CFD" w:rsidRDefault="00887338">
      <w:pPr>
        <w:pStyle w:val="ListParagraph"/>
        <w:numPr>
          <w:ilvl w:val="0"/>
          <w:numId w:val="2"/>
        </w:numPr>
        <w:spacing w:after="100"/>
      </w:pPr>
      <w:r>
        <w:rPr>
          <w:sz w:val="22"/>
          <w:szCs w:val="22"/>
        </w:rPr>
        <w:t>Identify key contributors to the "Import Cost Explosion" and assess Egypt's exposure to sovereign trade partners.</w:t>
      </w:r>
    </w:p>
    <w:p w14:paraId="6081D080" w14:textId="77777777" w:rsidR="007A1CFD" w:rsidRDefault="00887338">
      <w:pPr>
        <w:pStyle w:val="ListParagraph"/>
        <w:numPr>
          <w:ilvl w:val="0"/>
          <w:numId w:val="2"/>
        </w:numPr>
        <w:spacing w:after="100"/>
      </w:pPr>
      <w:r>
        <w:rPr>
          <w:sz w:val="22"/>
          <w:szCs w:val="22"/>
        </w:rPr>
        <w:t>Highlight patterns in price volatility and measure the exact erosion of citizen purchasing power (Units Affordable) against nominal minimum wage adjustments.</w:t>
      </w:r>
    </w:p>
    <w:p w14:paraId="6F28A78C" w14:textId="77777777" w:rsidR="007A1CFD" w:rsidRDefault="00887338">
      <w:pPr>
        <w:pStyle w:val="ListParagraph"/>
        <w:numPr>
          <w:ilvl w:val="0"/>
          <w:numId w:val="2"/>
        </w:numPr>
        <w:spacing w:after="100"/>
      </w:pPr>
      <w:r>
        <w:rPr>
          <w:sz w:val="22"/>
          <w:szCs w:val="22"/>
        </w:rPr>
        <w:t>Quantify the impact of currency devaluation on the daily survival basket to move beyond observation and recommend actionable policy interventions.</w:t>
      </w:r>
    </w:p>
    <w:p w14:paraId="043166A9" w14:textId="504147F2" w:rsidR="00BB2F6D" w:rsidRDefault="00887338" w:rsidP="008C1F2C">
      <w:pPr>
        <w:spacing w:after="160" w:line="300" w:lineRule="auto"/>
        <w:jc w:val="both"/>
        <w:rPr>
          <w:sz w:val="22"/>
          <w:szCs w:val="22"/>
        </w:rPr>
      </w:pPr>
      <w:r>
        <w:rPr>
          <w:sz w:val="22"/>
          <w:szCs w:val="22"/>
        </w:rPr>
        <w:t>This insight will serve as a foundation for targeted social safety net improvements, localized production subsidies, and strategic import hedging to minimize economic disruptions and stabilize affordability.</w:t>
      </w:r>
    </w:p>
    <w:p w14:paraId="4E7F63FB" w14:textId="360267A0" w:rsidR="008C1F2C" w:rsidRDefault="008C1F2C"/>
    <w:p w14:paraId="55DAE3D6" w14:textId="77777777" w:rsidR="007A1CFD" w:rsidRDefault="007A1CFD">
      <w:pPr>
        <w:spacing w:after="160" w:line="300" w:lineRule="auto"/>
        <w:jc w:val="both"/>
      </w:pPr>
    </w:p>
    <w:p w14:paraId="62EB5C0F" w14:textId="77777777" w:rsidR="007A1CFD" w:rsidRDefault="00887338">
      <w:pPr>
        <w:pStyle w:val="Heading1"/>
        <w:pageBreakBefore/>
        <w:pBdr>
          <w:bottom w:val="single" w:sz="12" w:space="8" w:color="B8860B"/>
        </w:pBdr>
        <w:spacing w:before="200" w:after="240"/>
      </w:pPr>
      <w:bookmarkStart w:id="26" w:name="_Toc234072275"/>
      <w:bookmarkStart w:id="27" w:name="_Toc234429714"/>
      <w:r>
        <w:rPr>
          <w:b/>
          <w:bCs/>
          <w:color w:val="1F3864"/>
          <w:sz w:val="34"/>
          <w:szCs w:val="34"/>
        </w:rPr>
        <w:lastRenderedPageBreak/>
        <w:t>Chapter 1: Data Preparation (Cleaning and Formatting the Data)</w:t>
      </w:r>
      <w:bookmarkEnd w:id="26"/>
      <w:bookmarkEnd w:id="27"/>
    </w:p>
    <w:p w14:paraId="7A37A654" w14:textId="77777777" w:rsidR="007A1CFD" w:rsidRDefault="00887338">
      <w:pPr>
        <w:pStyle w:val="Heading2"/>
        <w:spacing w:before="320" w:after="160"/>
      </w:pPr>
      <w:bookmarkStart w:id="28" w:name="_Toc234072276"/>
      <w:bookmarkStart w:id="29" w:name="_Toc234429715"/>
      <w:r>
        <w:rPr>
          <w:b/>
          <w:bCs/>
          <w:color w:val="1F3864"/>
        </w:rPr>
        <w:t>1.1 Overview of Data Cleaning</w:t>
      </w:r>
      <w:bookmarkEnd w:id="28"/>
      <w:bookmarkEnd w:id="29"/>
    </w:p>
    <w:p w14:paraId="43F4E086" w14:textId="77777777" w:rsidR="007A1CFD" w:rsidRDefault="00887338">
      <w:pPr>
        <w:spacing w:after="160" w:line="300" w:lineRule="auto"/>
        <w:jc w:val="both"/>
      </w:pPr>
      <w:r>
        <w:rPr>
          <w:sz w:val="22"/>
          <w:szCs w:val="22"/>
        </w:rPr>
        <w:t>Raw data is rarely ready for immediate analysis. Before calculating complex insights, the raw datasets must be cleaned, structured, and standardized. In this project, data preparation was performed using Power Query (M Language). The primary objectives during this ETL (Extract, Transform, Load) phase were to:</w:t>
      </w:r>
    </w:p>
    <w:p w14:paraId="24563FD6" w14:textId="77777777" w:rsidR="007A1CFD" w:rsidRDefault="00887338">
      <w:pPr>
        <w:pStyle w:val="ListParagraph"/>
        <w:numPr>
          <w:ilvl w:val="0"/>
          <w:numId w:val="2"/>
        </w:numPr>
        <w:spacing w:after="100"/>
      </w:pPr>
      <w:r>
        <w:rPr>
          <w:sz w:val="22"/>
          <w:szCs w:val="22"/>
        </w:rPr>
        <w:t>Transform massive "wide" macroeconomic datasets (files with 71 columns spanning from 1960 to 2025) into optimized "long" formats.</w:t>
      </w:r>
    </w:p>
    <w:p w14:paraId="1BDBAF57" w14:textId="77777777" w:rsidR="007A1CFD" w:rsidRDefault="00887338">
      <w:pPr>
        <w:pStyle w:val="ListParagraph"/>
        <w:numPr>
          <w:ilvl w:val="0"/>
          <w:numId w:val="2"/>
        </w:numPr>
        <w:spacing w:after="100"/>
      </w:pPr>
      <w:r>
        <w:rPr>
          <w:sz w:val="22"/>
          <w:szCs w:val="22"/>
        </w:rPr>
        <w:t>Convert raw integer data into precise percentage formats.</w:t>
      </w:r>
    </w:p>
    <w:p w14:paraId="55E251BB" w14:textId="77777777" w:rsidR="007A1CFD" w:rsidRDefault="00887338">
      <w:pPr>
        <w:pStyle w:val="ListParagraph"/>
        <w:numPr>
          <w:ilvl w:val="0"/>
          <w:numId w:val="2"/>
        </w:numPr>
        <w:spacing w:after="100"/>
      </w:pPr>
      <w:r>
        <w:rPr>
          <w:sz w:val="22"/>
          <w:szCs w:val="22"/>
        </w:rPr>
        <w:t>Standardize disjointed product IDs across international UN trade data and local Egyptian market data.</w:t>
      </w:r>
    </w:p>
    <w:p w14:paraId="66664474" w14:textId="77777777" w:rsidR="007A1CFD" w:rsidRDefault="00887338">
      <w:pPr>
        <w:pStyle w:val="ListParagraph"/>
        <w:numPr>
          <w:ilvl w:val="0"/>
          <w:numId w:val="2"/>
        </w:numPr>
        <w:spacing w:after="100"/>
      </w:pPr>
      <w:r>
        <w:rPr>
          <w:sz w:val="22"/>
          <w:szCs w:val="22"/>
        </w:rPr>
        <w:t>Filter out irrelevant columns and product categories to improve Power BI model performance.</w:t>
      </w:r>
    </w:p>
    <w:p w14:paraId="7C5D07F4" w14:textId="77777777" w:rsidR="007A1CFD" w:rsidRDefault="00887338">
      <w:pPr>
        <w:pStyle w:val="Heading2"/>
        <w:spacing w:before="320" w:after="160"/>
      </w:pPr>
      <w:bookmarkStart w:id="30" w:name="_Toc234072277"/>
      <w:bookmarkStart w:id="31" w:name="_Toc234429716"/>
      <w:r>
        <w:rPr>
          <w:b/>
          <w:bCs/>
          <w:color w:val="1F3864"/>
        </w:rPr>
        <w:t>1.2 Macroeconomic Data Pipelines</w:t>
      </w:r>
      <w:bookmarkEnd w:id="30"/>
      <w:bookmarkEnd w:id="31"/>
    </w:p>
    <w:p w14:paraId="18071879" w14:textId="77777777" w:rsidR="007A1CFD" w:rsidRDefault="00887338">
      <w:pPr>
        <w:spacing w:before="100" w:after="120"/>
      </w:pPr>
      <w:r>
        <w:rPr>
          <w:b/>
          <w:bCs/>
          <w:i/>
          <w:iCs/>
          <w:color w:val="595959"/>
        </w:rPr>
        <w:t>Table 1: Inflation Rate Transformation (World Bank WDI)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5"/>
        <w:gridCol w:w="1347"/>
        <w:gridCol w:w="4300"/>
        <w:gridCol w:w="2824"/>
      </w:tblGrid>
      <w:tr w:rsidR="007A1CFD" w14:paraId="6C7B47EB" w14:textId="77777777">
        <w:trPr>
          <w:tblHeader/>
        </w:trPr>
        <w:tc>
          <w:tcPr>
            <w:tcW w:w="0" w:type="dxa"/>
            <w:shd w:val="clear" w:color="auto" w:fill="1F3864"/>
            <w:tcMar>
              <w:top w:w="80" w:type="dxa"/>
              <w:left w:w="100" w:type="dxa"/>
              <w:bottom w:w="80" w:type="dxa"/>
              <w:right w:w="100" w:type="dxa"/>
            </w:tcMar>
            <w:vAlign w:val="center"/>
          </w:tcPr>
          <w:p w14:paraId="6342A51C" w14:textId="77777777" w:rsidR="007A1CFD" w:rsidRDefault="00887338">
            <w:r>
              <w:rPr>
                <w:b/>
                <w:bCs/>
                <w:color w:val="FFFFFF"/>
                <w:sz w:val="19"/>
                <w:szCs w:val="19"/>
              </w:rPr>
              <w:t>Step</w:t>
            </w:r>
          </w:p>
        </w:tc>
        <w:tc>
          <w:tcPr>
            <w:tcW w:w="0" w:type="dxa"/>
            <w:shd w:val="clear" w:color="auto" w:fill="1F3864"/>
            <w:tcMar>
              <w:top w:w="80" w:type="dxa"/>
              <w:left w:w="100" w:type="dxa"/>
              <w:bottom w:w="80" w:type="dxa"/>
              <w:right w:w="100" w:type="dxa"/>
            </w:tcMar>
            <w:vAlign w:val="center"/>
          </w:tcPr>
          <w:p w14:paraId="0EC50422" w14:textId="77777777" w:rsidR="007A1CFD" w:rsidRDefault="00887338">
            <w:r>
              <w:rPr>
                <w:b/>
                <w:bCs/>
                <w:color w:val="FFFFFF"/>
                <w:sz w:val="19"/>
                <w:szCs w:val="19"/>
              </w:rPr>
              <w:t>Description</w:t>
            </w:r>
          </w:p>
        </w:tc>
        <w:tc>
          <w:tcPr>
            <w:tcW w:w="0" w:type="dxa"/>
            <w:shd w:val="clear" w:color="auto" w:fill="1F3864"/>
            <w:tcMar>
              <w:top w:w="80" w:type="dxa"/>
              <w:left w:w="100" w:type="dxa"/>
              <w:bottom w:w="80" w:type="dxa"/>
              <w:right w:w="100" w:type="dxa"/>
            </w:tcMar>
            <w:vAlign w:val="center"/>
          </w:tcPr>
          <w:p w14:paraId="373C417A" w14:textId="77777777" w:rsidR="007A1CFD" w:rsidRDefault="00887338">
            <w:r>
              <w:rPr>
                <w:b/>
                <w:bCs/>
                <w:color w:val="FFFFFF"/>
                <w:sz w:val="19"/>
                <w:szCs w:val="19"/>
              </w:rPr>
              <w:t>Power Query Logic (M-Code)</w:t>
            </w:r>
          </w:p>
        </w:tc>
        <w:tc>
          <w:tcPr>
            <w:tcW w:w="0" w:type="dxa"/>
            <w:shd w:val="clear" w:color="auto" w:fill="1F3864"/>
            <w:tcMar>
              <w:top w:w="80" w:type="dxa"/>
              <w:left w:w="100" w:type="dxa"/>
              <w:bottom w:w="80" w:type="dxa"/>
              <w:right w:w="100" w:type="dxa"/>
            </w:tcMar>
            <w:vAlign w:val="center"/>
          </w:tcPr>
          <w:p w14:paraId="1DA8B6D8" w14:textId="77777777" w:rsidR="007A1CFD" w:rsidRDefault="00887338">
            <w:r>
              <w:rPr>
                <w:b/>
                <w:bCs/>
                <w:color w:val="FFFFFF"/>
                <w:sz w:val="19"/>
                <w:szCs w:val="19"/>
              </w:rPr>
              <w:t>Explanation &amp; Accuracy</w:t>
            </w:r>
          </w:p>
        </w:tc>
      </w:tr>
      <w:tr w:rsidR="007A1CFD" w14:paraId="51855282" w14:textId="77777777">
        <w:tc>
          <w:tcPr>
            <w:tcW w:w="0" w:type="auto"/>
            <w:tcMar>
              <w:top w:w="80" w:type="dxa"/>
              <w:left w:w="100" w:type="dxa"/>
              <w:bottom w:w="80" w:type="dxa"/>
              <w:right w:w="100" w:type="dxa"/>
            </w:tcMar>
          </w:tcPr>
          <w:p w14:paraId="5082FF33" w14:textId="77777777" w:rsidR="007A1CFD" w:rsidRDefault="00887338">
            <w:r>
              <w:rPr>
                <w:sz w:val="18"/>
                <w:szCs w:val="18"/>
              </w:rPr>
              <w:t>1. Import CSV</w:t>
            </w:r>
          </w:p>
        </w:tc>
        <w:tc>
          <w:tcPr>
            <w:tcW w:w="0" w:type="auto"/>
            <w:tcMar>
              <w:top w:w="80" w:type="dxa"/>
              <w:left w:w="100" w:type="dxa"/>
              <w:bottom w:w="80" w:type="dxa"/>
              <w:right w:w="100" w:type="dxa"/>
            </w:tcMar>
          </w:tcPr>
          <w:p w14:paraId="4C85390B" w14:textId="77777777" w:rsidR="007A1CFD" w:rsidRDefault="00887338">
            <w:r>
              <w:rPr>
                <w:sz w:val="18"/>
                <w:szCs w:val="18"/>
              </w:rPr>
              <w:t>Load raw data</w:t>
            </w:r>
          </w:p>
        </w:tc>
        <w:tc>
          <w:tcPr>
            <w:tcW w:w="0" w:type="auto"/>
            <w:tcMar>
              <w:top w:w="80" w:type="dxa"/>
              <w:left w:w="100" w:type="dxa"/>
              <w:bottom w:w="80" w:type="dxa"/>
              <w:right w:w="100" w:type="dxa"/>
            </w:tcMar>
          </w:tcPr>
          <w:p w14:paraId="2DEA3BF4" w14:textId="77777777" w:rsidR="007A1CFD" w:rsidRDefault="00887338">
            <w:r>
              <w:rPr>
                <w:sz w:val="18"/>
                <w:szCs w:val="18"/>
              </w:rPr>
              <w:t>Source = Csv.Document(..., [Delimiter=",", Columns=71...])</w:t>
            </w:r>
          </w:p>
        </w:tc>
        <w:tc>
          <w:tcPr>
            <w:tcW w:w="0" w:type="auto"/>
            <w:tcMar>
              <w:top w:w="80" w:type="dxa"/>
              <w:left w:w="100" w:type="dxa"/>
              <w:bottom w:w="80" w:type="dxa"/>
              <w:right w:w="100" w:type="dxa"/>
            </w:tcMar>
          </w:tcPr>
          <w:p w14:paraId="0E0ADB22" w14:textId="77777777" w:rsidR="007A1CFD" w:rsidRDefault="00887338">
            <w:r>
              <w:rPr>
                <w:sz w:val="18"/>
                <w:szCs w:val="18"/>
              </w:rPr>
              <w:t>Loaded the raw CSV containing 71 columns of global data.</w:t>
            </w:r>
          </w:p>
        </w:tc>
      </w:tr>
      <w:tr w:rsidR="007A1CFD" w14:paraId="73B83106" w14:textId="77777777">
        <w:tc>
          <w:tcPr>
            <w:tcW w:w="0" w:type="auto"/>
            <w:shd w:val="clear" w:color="auto" w:fill="F7F7F7"/>
            <w:tcMar>
              <w:top w:w="80" w:type="dxa"/>
              <w:left w:w="100" w:type="dxa"/>
              <w:bottom w:w="80" w:type="dxa"/>
              <w:right w:w="100" w:type="dxa"/>
            </w:tcMar>
          </w:tcPr>
          <w:p w14:paraId="02BB370C" w14:textId="77777777" w:rsidR="007A1CFD" w:rsidRDefault="00887338">
            <w:r>
              <w:rPr>
                <w:sz w:val="18"/>
                <w:szCs w:val="18"/>
              </w:rPr>
              <w:t>2. Remove Top Rows</w:t>
            </w:r>
          </w:p>
        </w:tc>
        <w:tc>
          <w:tcPr>
            <w:tcW w:w="0" w:type="auto"/>
            <w:shd w:val="clear" w:color="auto" w:fill="F7F7F7"/>
            <w:tcMar>
              <w:top w:w="80" w:type="dxa"/>
              <w:left w:w="100" w:type="dxa"/>
              <w:bottom w:w="80" w:type="dxa"/>
              <w:right w:w="100" w:type="dxa"/>
            </w:tcMar>
          </w:tcPr>
          <w:p w14:paraId="633B7776" w14:textId="77777777" w:rsidR="007A1CFD" w:rsidRDefault="00887338">
            <w:r>
              <w:rPr>
                <w:sz w:val="18"/>
                <w:szCs w:val="18"/>
              </w:rPr>
              <w:t>Skip metadata</w:t>
            </w:r>
          </w:p>
        </w:tc>
        <w:tc>
          <w:tcPr>
            <w:tcW w:w="0" w:type="auto"/>
            <w:shd w:val="clear" w:color="auto" w:fill="F7F7F7"/>
            <w:tcMar>
              <w:top w:w="80" w:type="dxa"/>
              <w:left w:w="100" w:type="dxa"/>
              <w:bottom w:w="80" w:type="dxa"/>
              <w:right w:w="100" w:type="dxa"/>
            </w:tcMar>
          </w:tcPr>
          <w:p w14:paraId="7B62DB3C" w14:textId="77777777" w:rsidR="007A1CFD" w:rsidRDefault="00887338">
            <w:r>
              <w:rPr>
                <w:sz w:val="18"/>
                <w:szCs w:val="18"/>
              </w:rPr>
              <w:t>#"Removed Top Rows" = Table.Skip(#"Changed Type",3)</w:t>
            </w:r>
          </w:p>
        </w:tc>
        <w:tc>
          <w:tcPr>
            <w:tcW w:w="0" w:type="auto"/>
            <w:shd w:val="clear" w:color="auto" w:fill="F7F7F7"/>
            <w:tcMar>
              <w:top w:w="80" w:type="dxa"/>
              <w:left w:w="100" w:type="dxa"/>
              <w:bottom w:w="80" w:type="dxa"/>
              <w:right w:w="100" w:type="dxa"/>
            </w:tcMar>
          </w:tcPr>
          <w:p w14:paraId="1A8176D3" w14:textId="77777777" w:rsidR="007A1CFD" w:rsidRDefault="00887338">
            <w:r>
              <w:rPr>
                <w:sz w:val="18"/>
                <w:szCs w:val="18"/>
              </w:rPr>
              <w:t>Deleted the first 3 rows of useless metadata.</w:t>
            </w:r>
          </w:p>
        </w:tc>
      </w:tr>
      <w:tr w:rsidR="007A1CFD" w14:paraId="3350ECBB" w14:textId="77777777">
        <w:tc>
          <w:tcPr>
            <w:tcW w:w="0" w:type="auto"/>
            <w:tcMar>
              <w:top w:w="80" w:type="dxa"/>
              <w:left w:w="100" w:type="dxa"/>
              <w:bottom w:w="80" w:type="dxa"/>
              <w:right w:w="100" w:type="dxa"/>
            </w:tcMar>
          </w:tcPr>
          <w:p w14:paraId="7C3DB21B" w14:textId="77777777" w:rsidR="007A1CFD" w:rsidRDefault="00887338">
            <w:r>
              <w:rPr>
                <w:sz w:val="18"/>
                <w:szCs w:val="18"/>
              </w:rPr>
              <w:t>3. Unpivot Years</w:t>
            </w:r>
          </w:p>
        </w:tc>
        <w:tc>
          <w:tcPr>
            <w:tcW w:w="0" w:type="auto"/>
            <w:tcMar>
              <w:top w:w="80" w:type="dxa"/>
              <w:left w:w="100" w:type="dxa"/>
              <w:bottom w:w="80" w:type="dxa"/>
              <w:right w:w="100" w:type="dxa"/>
            </w:tcMar>
          </w:tcPr>
          <w:p w14:paraId="65E6AA9F" w14:textId="77777777" w:rsidR="007A1CFD" w:rsidRDefault="00887338">
            <w:r>
              <w:rPr>
                <w:sz w:val="18"/>
                <w:szCs w:val="18"/>
              </w:rPr>
              <w:t>Wide to Long format</w:t>
            </w:r>
          </w:p>
        </w:tc>
        <w:tc>
          <w:tcPr>
            <w:tcW w:w="0" w:type="auto"/>
            <w:tcMar>
              <w:top w:w="80" w:type="dxa"/>
              <w:left w:w="100" w:type="dxa"/>
              <w:bottom w:w="80" w:type="dxa"/>
              <w:right w:w="100" w:type="dxa"/>
            </w:tcMar>
          </w:tcPr>
          <w:p w14:paraId="5D2C767E" w14:textId="77777777" w:rsidR="007A1CFD" w:rsidRDefault="00887338">
            <w:r>
              <w:rPr>
                <w:sz w:val="18"/>
                <w:szCs w:val="18"/>
              </w:rPr>
              <w:t>#"Unpivoted Other Columns" = Table.UnpivotOtherColumns(...)</w:t>
            </w:r>
          </w:p>
        </w:tc>
        <w:tc>
          <w:tcPr>
            <w:tcW w:w="0" w:type="auto"/>
            <w:tcMar>
              <w:top w:w="80" w:type="dxa"/>
              <w:left w:w="100" w:type="dxa"/>
              <w:bottom w:w="80" w:type="dxa"/>
              <w:right w:w="100" w:type="dxa"/>
            </w:tcMar>
          </w:tcPr>
          <w:p w14:paraId="0DCAACB9" w14:textId="77777777" w:rsidR="007A1CFD" w:rsidRDefault="00887338">
            <w:r>
              <w:rPr>
                <w:sz w:val="18"/>
                <w:szCs w:val="18"/>
              </w:rPr>
              <w:t>Flipped historical year columns into vertical "Years" and "Inflation" columns.</w:t>
            </w:r>
          </w:p>
        </w:tc>
      </w:tr>
      <w:tr w:rsidR="007A1CFD" w14:paraId="25A7FFF7" w14:textId="77777777">
        <w:tc>
          <w:tcPr>
            <w:tcW w:w="0" w:type="auto"/>
            <w:shd w:val="clear" w:color="auto" w:fill="F7F7F7"/>
            <w:tcMar>
              <w:top w:w="80" w:type="dxa"/>
              <w:left w:w="100" w:type="dxa"/>
              <w:bottom w:w="80" w:type="dxa"/>
              <w:right w:w="100" w:type="dxa"/>
            </w:tcMar>
          </w:tcPr>
          <w:p w14:paraId="42968C43" w14:textId="77777777" w:rsidR="007A1CFD" w:rsidRDefault="00887338">
            <w:r>
              <w:rPr>
                <w:sz w:val="18"/>
                <w:szCs w:val="18"/>
              </w:rPr>
              <w:t>4. Filter Country</w:t>
            </w:r>
          </w:p>
        </w:tc>
        <w:tc>
          <w:tcPr>
            <w:tcW w:w="0" w:type="auto"/>
            <w:shd w:val="clear" w:color="auto" w:fill="F7F7F7"/>
            <w:tcMar>
              <w:top w:w="80" w:type="dxa"/>
              <w:left w:w="100" w:type="dxa"/>
              <w:bottom w:w="80" w:type="dxa"/>
              <w:right w:w="100" w:type="dxa"/>
            </w:tcMar>
          </w:tcPr>
          <w:p w14:paraId="248FC760" w14:textId="77777777" w:rsidR="007A1CFD" w:rsidRDefault="00887338">
            <w:r>
              <w:rPr>
                <w:sz w:val="18"/>
                <w:szCs w:val="18"/>
              </w:rPr>
              <w:t>Isolate Egypt</w:t>
            </w:r>
          </w:p>
        </w:tc>
        <w:tc>
          <w:tcPr>
            <w:tcW w:w="0" w:type="auto"/>
            <w:shd w:val="clear" w:color="auto" w:fill="F7F7F7"/>
            <w:tcMar>
              <w:top w:w="80" w:type="dxa"/>
              <w:left w:w="100" w:type="dxa"/>
              <w:bottom w:w="80" w:type="dxa"/>
              <w:right w:w="100" w:type="dxa"/>
            </w:tcMar>
          </w:tcPr>
          <w:p w14:paraId="3AE069F8" w14:textId="77777777" w:rsidR="007A1CFD" w:rsidRDefault="00887338">
            <w:r>
              <w:rPr>
                <w:sz w:val="18"/>
                <w:szCs w:val="18"/>
              </w:rPr>
              <w:t>#"Filtered Rows" = Table.SelectRows(..., each ([Country Name] = "Egypt, Arab Rep."))</w:t>
            </w:r>
          </w:p>
        </w:tc>
        <w:tc>
          <w:tcPr>
            <w:tcW w:w="0" w:type="auto"/>
            <w:shd w:val="clear" w:color="auto" w:fill="F7F7F7"/>
            <w:tcMar>
              <w:top w:w="80" w:type="dxa"/>
              <w:left w:w="100" w:type="dxa"/>
              <w:bottom w:w="80" w:type="dxa"/>
              <w:right w:w="100" w:type="dxa"/>
            </w:tcMar>
          </w:tcPr>
          <w:p w14:paraId="4E4E1C7E" w14:textId="77777777" w:rsidR="007A1CFD" w:rsidRDefault="00887338">
            <w:r>
              <w:rPr>
                <w:sz w:val="18"/>
                <w:szCs w:val="18"/>
              </w:rPr>
              <w:t>Removed global data to focus strictly on Egypt.</w:t>
            </w:r>
          </w:p>
        </w:tc>
      </w:tr>
      <w:tr w:rsidR="007A1CFD" w14:paraId="3B6D9DF2" w14:textId="77777777">
        <w:tc>
          <w:tcPr>
            <w:tcW w:w="0" w:type="auto"/>
            <w:tcMar>
              <w:top w:w="80" w:type="dxa"/>
              <w:left w:w="100" w:type="dxa"/>
              <w:bottom w:w="80" w:type="dxa"/>
              <w:right w:w="100" w:type="dxa"/>
            </w:tcMar>
          </w:tcPr>
          <w:p w14:paraId="391379AD" w14:textId="77777777" w:rsidR="007A1CFD" w:rsidRDefault="00887338">
            <w:r>
              <w:rPr>
                <w:sz w:val="18"/>
                <w:szCs w:val="18"/>
              </w:rPr>
              <w:t>5. Percentage Fix</w:t>
            </w:r>
          </w:p>
        </w:tc>
        <w:tc>
          <w:tcPr>
            <w:tcW w:w="0" w:type="auto"/>
            <w:tcMar>
              <w:top w:w="80" w:type="dxa"/>
              <w:left w:w="100" w:type="dxa"/>
              <w:bottom w:w="80" w:type="dxa"/>
              <w:right w:w="100" w:type="dxa"/>
            </w:tcMar>
          </w:tcPr>
          <w:p w14:paraId="3B2FBE9C" w14:textId="77777777" w:rsidR="007A1CFD" w:rsidRDefault="00887338">
            <w:r>
              <w:rPr>
                <w:sz w:val="18"/>
                <w:szCs w:val="18"/>
              </w:rPr>
              <w:t>Divide by 100</w:t>
            </w:r>
          </w:p>
        </w:tc>
        <w:tc>
          <w:tcPr>
            <w:tcW w:w="0" w:type="auto"/>
            <w:tcMar>
              <w:top w:w="80" w:type="dxa"/>
              <w:left w:w="100" w:type="dxa"/>
              <w:bottom w:w="80" w:type="dxa"/>
              <w:right w:w="100" w:type="dxa"/>
            </w:tcMar>
          </w:tcPr>
          <w:p w14:paraId="31B03B91" w14:textId="77777777" w:rsidR="007A1CFD" w:rsidRDefault="00887338">
            <w:r>
              <w:rPr>
                <w:sz w:val="18"/>
                <w:szCs w:val="18"/>
              </w:rPr>
              <w:t>#"Divided Column" = Table.TransformColumns(..., {{"Inflation Rate", each _ / 100, type number}})</w:t>
            </w:r>
          </w:p>
        </w:tc>
        <w:tc>
          <w:tcPr>
            <w:tcW w:w="0" w:type="auto"/>
            <w:tcMar>
              <w:top w:w="80" w:type="dxa"/>
              <w:left w:w="100" w:type="dxa"/>
              <w:bottom w:w="80" w:type="dxa"/>
              <w:right w:w="100" w:type="dxa"/>
            </w:tcMar>
          </w:tcPr>
          <w:p w14:paraId="50E9FBCC" w14:textId="77777777" w:rsidR="007A1CFD" w:rsidRDefault="00887338">
            <w:r>
              <w:rPr>
                <w:sz w:val="18"/>
                <w:szCs w:val="18"/>
              </w:rPr>
              <w:t>Divided raw whole numbers to output as percentages.</w:t>
            </w:r>
          </w:p>
        </w:tc>
      </w:tr>
      <w:tr w:rsidR="007A1CFD" w14:paraId="220C99FE" w14:textId="77777777">
        <w:tc>
          <w:tcPr>
            <w:tcW w:w="0" w:type="auto"/>
            <w:shd w:val="clear" w:color="auto" w:fill="F7F7F7"/>
            <w:tcMar>
              <w:top w:w="80" w:type="dxa"/>
              <w:left w:w="100" w:type="dxa"/>
              <w:bottom w:w="80" w:type="dxa"/>
              <w:right w:w="100" w:type="dxa"/>
            </w:tcMar>
          </w:tcPr>
          <w:p w14:paraId="775128C6" w14:textId="77777777" w:rsidR="007A1CFD" w:rsidRDefault="00887338">
            <w:r>
              <w:rPr>
                <w:sz w:val="18"/>
                <w:szCs w:val="18"/>
              </w:rPr>
              <w:t>6. Filter Timeline</w:t>
            </w:r>
          </w:p>
        </w:tc>
        <w:tc>
          <w:tcPr>
            <w:tcW w:w="0" w:type="auto"/>
            <w:shd w:val="clear" w:color="auto" w:fill="F7F7F7"/>
            <w:tcMar>
              <w:top w:w="80" w:type="dxa"/>
              <w:left w:w="100" w:type="dxa"/>
              <w:bottom w:w="80" w:type="dxa"/>
              <w:right w:w="100" w:type="dxa"/>
            </w:tcMar>
          </w:tcPr>
          <w:p w14:paraId="7F96284A" w14:textId="77777777" w:rsidR="007A1CFD" w:rsidRDefault="00887338">
            <w:r>
              <w:rPr>
                <w:sz w:val="18"/>
                <w:szCs w:val="18"/>
              </w:rPr>
              <w:t>Isolate Project Scope</w:t>
            </w:r>
          </w:p>
        </w:tc>
        <w:tc>
          <w:tcPr>
            <w:tcW w:w="0" w:type="auto"/>
            <w:shd w:val="clear" w:color="auto" w:fill="F7F7F7"/>
            <w:tcMar>
              <w:top w:w="80" w:type="dxa"/>
              <w:left w:w="100" w:type="dxa"/>
              <w:bottom w:w="80" w:type="dxa"/>
              <w:right w:w="100" w:type="dxa"/>
            </w:tcMar>
          </w:tcPr>
          <w:p w14:paraId="3E94A288" w14:textId="77777777" w:rsidR="007A1CFD" w:rsidRDefault="00887338">
            <w:r>
              <w:rPr>
                <w:sz w:val="18"/>
                <w:szCs w:val="18"/>
              </w:rPr>
              <w:t>#"Filtered Rows2" = Table.SelectRows(..., each ([date] = #date(2020,1,1) or ...))</w:t>
            </w:r>
          </w:p>
        </w:tc>
        <w:tc>
          <w:tcPr>
            <w:tcW w:w="0" w:type="auto"/>
            <w:shd w:val="clear" w:color="auto" w:fill="F7F7F7"/>
            <w:tcMar>
              <w:top w:w="80" w:type="dxa"/>
              <w:left w:w="100" w:type="dxa"/>
              <w:bottom w:w="80" w:type="dxa"/>
              <w:right w:w="100" w:type="dxa"/>
            </w:tcMar>
          </w:tcPr>
          <w:p w14:paraId="672C1ACA" w14:textId="77777777" w:rsidR="007A1CFD" w:rsidRDefault="00887338">
            <w:r>
              <w:rPr>
                <w:sz w:val="18"/>
                <w:szCs w:val="18"/>
              </w:rPr>
              <w:t>Filtered to 2020-2024 scope.</w:t>
            </w:r>
          </w:p>
        </w:tc>
      </w:tr>
    </w:tbl>
    <w:p w14:paraId="587C5A3F" w14:textId="77777777" w:rsidR="007A1CFD" w:rsidRDefault="00887338">
      <w:pPr>
        <w:pStyle w:val="Heading2"/>
        <w:spacing w:before="320" w:after="160"/>
      </w:pPr>
      <w:bookmarkStart w:id="32" w:name="_Toc234072278"/>
      <w:bookmarkStart w:id="33" w:name="_Toc234429717"/>
      <w:r>
        <w:rPr>
          <w:b/>
          <w:bCs/>
          <w:color w:val="1F3864"/>
        </w:rPr>
        <w:t>1.3 Microeconomic &amp; Commodity Pipelines</w:t>
      </w:r>
      <w:bookmarkEnd w:id="32"/>
      <w:bookmarkEnd w:id="33"/>
    </w:p>
    <w:p w14:paraId="359F0CD6" w14:textId="77777777" w:rsidR="007A1CFD" w:rsidRDefault="00887338">
      <w:pPr>
        <w:spacing w:before="100" w:after="120"/>
      </w:pPr>
      <w:r>
        <w:rPr>
          <w:b/>
          <w:bCs/>
          <w:i/>
          <w:iCs/>
          <w:color w:val="595959"/>
        </w:rPr>
        <w:t>Table 2: Products Master List (DIM_products)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1200"/>
        <w:gridCol w:w="5885"/>
        <w:gridCol w:w="1422"/>
      </w:tblGrid>
      <w:tr w:rsidR="007A1CFD" w14:paraId="1172B616" w14:textId="77777777">
        <w:trPr>
          <w:tblHeader/>
        </w:trPr>
        <w:tc>
          <w:tcPr>
            <w:tcW w:w="0" w:type="dxa"/>
            <w:shd w:val="clear" w:color="auto" w:fill="1F3864"/>
            <w:tcMar>
              <w:top w:w="80" w:type="dxa"/>
              <w:left w:w="100" w:type="dxa"/>
              <w:bottom w:w="80" w:type="dxa"/>
              <w:right w:w="100" w:type="dxa"/>
            </w:tcMar>
            <w:vAlign w:val="center"/>
          </w:tcPr>
          <w:p w14:paraId="31BC4170" w14:textId="77777777" w:rsidR="007A1CFD" w:rsidRDefault="00887338">
            <w:r>
              <w:rPr>
                <w:b/>
                <w:bCs/>
                <w:color w:val="FFFFFF"/>
                <w:sz w:val="19"/>
                <w:szCs w:val="19"/>
              </w:rPr>
              <w:t>Step</w:t>
            </w:r>
          </w:p>
        </w:tc>
        <w:tc>
          <w:tcPr>
            <w:tcW w:w="0" w:type="dxa"/>
            <w:shd w:val="clear" w:color="auto" w:fill="1F3864"/>
            <w:tcMar>
              <w:top w:w="80" w:type="dxa"/>
              <w:left w:w="100" w:type="dxa"/>
              <w:bottom w:w="80" w:type="dxa"/>
              <w:right w:w="100" w:type="dxa"/>
            </w:tcMar>
            <w:vAlign w:val="center"/>
          </w:tcPr>
          <w:p w14:paraId="1E273B68" w14:textId="77777777" w:rsidR="007A1CFD" w:rsidRDefault="00887338">
            <w:r>
              <w:rPr>
                <w:b/>
                <w:bCs/>
                <w:color w:val="FFFFFF"/>
                <w:sz w:val="19"/>
                <w:szCs w:val="19"/>
              </w:rPr>
              <w:t>Description</w:t>
            </w:r>
          </w:p>
        </w:tc>
        <w:tc>
          <w:tcPr>
            <w:tcW w:w="0" w:type="dxa"/>
            <w:shd w:val="clear" w:color="auto" w:fill="1F3864"/>
            <w:tcMar>
              <w:top w:w="80" w:type="dxa"/>
              <w:left w:w="100" w:type="dxa"/>
              <w:bottom w:w="80" w:type="dxa"/>
              <w:right w:w="100" w:type="dxa"/>
            </w:tcMar>
            <w:vAlign w:val="center"/>
          </w:tcPr>
          <w:p w14:paraId="621ED6D3" w14:textId="77777777" w:rsidR="007A1CFD" w:rsidRDefault="00887338">
            <w:r>
              <w:rPr>
                <w:b/>
                <w:bCs/>
                <w:color w:val="FFFFFF"/>
                <w:sz w:val="19"/>
                <w:szCs w:val="19"/>
              </w:rPr>
              <w:t>Power Query Logic (M-Code)</w:t>
            </w:r>
          </w:p>
        </w:tc>
        <w:tc>
          <w:tcPr>
            <w:tcW w:w="0" w:type="dxa"/>
            <w:shd w:val="clear" w:color="auto" w:fill="1F3864"/>
            <w:tcMar>
              <w:top w:w="80" w:type="dxa"/>
              <w:left w:w="100" w:type="dxa"/>
              <w:bottom w:w="80" w:type="dxa"/>
              <w:right w:w="100" w:type="dxa"/>
            </w:tcMar>
            <w:vAlign w:val="center"/>
          </w:tcPr>
          <w:p w14:paraId="542458E2" w14:textId="77777777" w:rsidR="007A1CFD" w:rsidRDefault="00887338">
            <w:r>
              <w:rPr>
                <w:b/>
                <w:bCs/>
                <w:color w:val="FFFFFF"/>
                <w:sz w:val="19"/>
                <w:szCs w:val="19"/>
              </w:rPr>
              <w:t>Explanation &amp; Accuracy</w:t>
            </w:r>
          </w:p>
        </w:tc>
      </w:tr>
      <w:tr w:rsidR="007A1CFD" w14:paraId="2393B6D7" w14:textId="77777777">
        <w:tc>
          <w:tcPr>
            <w:tcW w:w="0" w:type="auto"/>
            <w:tcMar>
              <w:top w:w="80" w:type="dxa"/>
              <w:left w:w="100" w:type="dxa"/>
              <w:bottom w:w="80" w:type="dxa"/>
              <w:right w:w="100" w:type="dxa"/>
            </w:tcMar>
          </w:tcPr>
          <w:p w14:paraId="78C0379D" w14:textId="77777777" w:rsidR="007A1CFD" w:rsidRDefault="00887338">
            <w:r>
              <w:rPr>
                <w:sz w:val="18"/>
                <w:szCs w:val="18"/>
              </w:rPr>
              <w:t>1. Import Source</w:t>
            </w:r>
          </w:p>
        </w:tc>
        <w:tc>
          <w:tcPr>
            <w:tcW w:w="0" w:type="auto"/>
            <w:tcMar>
              <w:top w:w="80" w:type="dxa"/>
              <w:left w:w="100" w:type="dxa"/>
              <w:bottom w:w="80" w:type="dxa"/>
              <w:right w:w="100" w:type="dxa"/>
            </w:tcMar>
          </w:tcPr>
          <w:p w14:paraId="01228923" w14:textId="77777777" w:rsidR="007A1CFD" w:rsidRDefault="00887338">
            <w:r>
              <w:rPr>
                <w:sz w:val="18"/>
                <w:szCs w:val="18"/>
              </w:rPr>
              <w:t>Load WFP Prices</w:t>
            </w:r>
          </w:p>
        </w:tc>
        <w:tc>
          <w:tcPr>
            <w:tcW w:w="0" w:type="auto"/>
            <w:tcMar>
              <w:top w:w="80" w:type="dxa"/>
              <w:left w:w="100" w:type="dxa"/>
              <w:bottom w:w="80" w:type="dxa"/>
              <w:right w:w="100" w:type="dxa"/>
            </w:tcMar>
          </w:tcPr>
          <w:p w14:paraId="24F3A403" w14:textId="77777777" w:rsidR="007A1CFD" w:rsidRDefault="00887338">
            <w:r>
              <w:rPr>
                <w:sz w:val="18"/>
                <w:szCs w:val="18"/>
              </w:rPr>
              <w:t>Source = Csv.Document(..., [Delimiter=",", Columns=16...])</w:t>
            </w:r>
          </w:p>
        </w:tc>
        <w:tc>
          <w:tcPr>
            <w:tcW w:w="0" w:type="auto"/>
            <w:tcMar>
              <w:top w:w="80" w:type="dxa"/>
              <w:left w:w="100" w:type="dxa"/>
              <w:bottom w:w="80" w:type="dxa"/>
              <w:right w:w="100" w:type="dxa"/>
            </w:tcMar>
          </w:tcPr>
          <w:p w14:paraId="31E7C595" w14:textId="77777777" w:rsidR="007A1CFD" w:rsidRDefault="00887338">
            <w:r>
              <w:rPr>
                <w:sz w:val="18"/>
                <w:szCs w:val="18"/>
              </w:rPr>
              <w:t>Loaded local pricing table.</w:t>
            </w:r>
          </w:p>
        </w:tc>
      </w:tr>
      <w:tr w:rsidR="007A1CFD" w14:paraId="080703F6" w14:textId="77777777">
        <w:tc>
          <w:tcPr>
            <w:tcW w:w="0" w:type="auto"/>
            <w:shd w:val="clear" w:color="auto" w:fill="F7F7F7"/>
            <w:tcMar>
              <w:top w:w="80" w:type="dxa"/>
              <w:left w:w="100" w:type="dxa"/>
              <w:bottom w:w="80" w:type="dxa"/>
              <w:right w:w="100" w:type="dxa"/>
            </w:tcMar>
          </w:tcPr>
          <w:p w14:paraId="74DA1FCB" w14:textId="77777777" w:rsidR="007A1CFD" w:rsidRDefault="00887338">
            <w:r>
              <w:rPr>
                <w:sz w:val="18"/>
                <w:szCs w:val="18"/>
              </w:rPr>
              <w:t>2. Remove Spatial Data</w:t>
            </w:r>
          </w:p>
        </w:tc>
        <w:tc>
          <w:tcPr>
            <w:tcW w:w="0" w:type="auto"/>
            <w:shd w:val="clear" w:color="auto" w:fill="F7F7F7"/>
            <w:tcMar>
              <w:top w:w="80" w:type="dxa"/>
              <w:left w:w="100" w:type="dxa"/>
              <w:bottom w:w="80" w:type="dxa"/>
              <w:right w:w="100" w:type="dxa"/>
            </w:tcMar>
          </w:tcPr>
          <w:p w14:paraId="6F02B474" w14:textId="77777777" w:rsidR="007A1CFD" w:rsidRDefault="00887338">
            <w:r>
              <w:rPr>
                <w:sz w:val="18"/>
                <w:szCs w:val="18"/>
              </w:rPr>
              <w:t>Delete Map Columns</w:t>
            </w:r>
          </w:p>
        </w:tc>
        <w:tc>
          <w:tcPr>
            <w:tcW w:w="0" w:type="auto"/>
            <w:shd w:val="clear" w:color="auto" w:fill="F7F7F7"/>
            <w:tcMar>
              <w:top w:w="80" w:type="dxa"/>
              <w:left w:w="100" w:type="dxa"/>
              <w:bottom w:w="80" w:type="dxa"/>
              <w:right w:w="100" w:type="dxa"/>
            </w:tcMar>
          </w:tcPr>
          <w:p w14:paraId="55D1B88E" w14:textId="77777777" w:rsidR="007A1CFD" w:rsidRDefault="00887338">
            <w:r>
              <w:rPr>
                <w:sz w:val="18"/>
                <w:szCs w:val="18"/>
              </w:rPr>
              <w:t>#"Removed Columns" = Table.RemoveColumns(...,{"market_id","latitude","longitude"})</w:t>
            </w:r>
          </w:p>
        </w:tc>
        <w:tc>
          <w:tcPr>
            <w:tcW w:w="0" w:type="auto"/>
            <w:shd w:val="clear" w:color="auto" w:fill="F7F7F7"/>
            <w:tcMar>
              <w:top w:w="80" w:type="dxa"/>
              <w:left w:w="100" w:type="dxa"/>
              <w:bottom w:w="80" w:type="dxa"/>
              <w:right w:w="100" w:type="dxa"/>
            </w:tcMar>
          </w:tcPr>
          <w:p w14:paraId="69A20782" w14:textId="77777777" w:rsidR="007A1CFD" w:rsidRDefault="00887338">
            <w:r>
              <w:rPr>
                <w:sz w:val="18"/>
                <w:szCs w:val="18"/>
              </w:rPr>
              <w:t>Deleted tracking columns to optimize the model.</w:t>
            </w:r>
          </w:p>
        </w:tc>
      </w:tr>
      <w:tr w:rsidR="007A1CFD" w14:paraId="6C2B10EE" w14:textId="77777777">
        <w:tc>
          <w:tcPr>
            <w:tcW w:w="0" w:type="auto"/>
            <w:tcMar>
              <w:top w:w="80" w:type="dxa"/>
              <w:left w:w="100" w:type="dxa"/>
              <w:bottom w:w="80" w:type="dxa"/>
              <w:right w:w="100" w:type="dxa"/>
            </w:tcMar>
          </w:tcPr>
          <w:p w14:paraId="102F9FE7" w14:textId="77777777" w:rsidR="007A1CFD" w:rsidRDefault="00887338">
            <w:r>
              <w:rPr>
                <w:sz w:val="18"/>
                <w:szCs w:val="18"/>
              </w:rPr>
              <w:t>3. Group Averages</w:t>
            </w:r>
          </w:p>
        </w:tc>
        <w:tc>
          <w:tcPr>
            <w:tcW w:w="0" w:type="auto"/>
            <w:tcMar>
              <w:top w:w="80" w:type="dxa"/>
              <w:left w:w="100" w:type="dxa"/>
              <w:bottom w:w="80" w:type="dxa"/>
              <w:right w:w="100" w:type="dxa"/>
            </w:tcMar>
          </w:tcPr>
          <w:p w14:paraId="0E1628DA" w14:textId="77777777" w:rsidR="007A1CFD" w:rsidRDefault="00887338">
            <w:r>
              <w:rPr>
                <w:sz w:val="18"/>
                <w:szCs w:val="18"/>
              </w:rPr>
              <w:t>Calculate Yearly Prices</w:t>
            </w:r>
          </w:p>
        </w:tc>
        <w:tc>
          <w:tcPr>
            <w:tcW w:w="0" w:type="auto"/>
            <w:tcMar>
              <w:top w:w="80" w:type="dxa"/>
              <w:left w:w="100" w:type="dxa"/>
              <w:bottom w:w="80" w:type="dxa"/>
              <w:right w:w="100" w:type="dxa"/>
            </w:tcMar>
          </w:tcPr>
          <w:p w14:paraId="0329F510" w14:textId="77777777" w:rsidR="007A1CFD" w:rsidRDefault="00887338">
            <w:r>
              <w:rPr>
                <w:sz w:val="18"/>
                <w:szCs w:val="18"/>
              </w:rPr>
              <w:t>#"Grouped Rows" = Table.Group(...)</w:t>
            </w:r>
          </w:p>
        </w:tc>
        <w:tc>
          <w:tcPr>
            <w:tcW w:w="0" w:type="auto"/>
            <w:tcMar>
              <w:top w:w="80" w:type="dxa"/>
              <w:left w:w="100" w:type="dxa"/>
              <w:bottom w:w="80" w:type="dxa"/>
              <w:right w:w="100" w:type="dxa"/>
            </w:tcMar>
          </w:tcPr>
          <w:p w14:paraId="7BAB0D53" w14:textId="77777777" w:rsidR="007A1CFD" w:rsidRDefault="00887338">
            <w:r>
              <w:rPr>
                <w:sz w:val="18"/>
                <w:szCs w:val="18"/>
              </w:rPr>
              <w:t>Grouped data to calculate annual averages.</w:t>
            </w:r>
          </w:p>
        </w:tc>
      </w:tr>
      <w:tr w:rsidR="007A1CFD" w14:paraId="2E7F753D" w14:textId="77777777">
        <w:tc>
          <w:tcPr>
            <w:tcW w:w="0" w:type="auto"/>
            <w:shd w:val="clear" w:color="auto" w:fill="F7F7F7"/>
            <w:tcMar>
              <w:top w:w="80" w:type="dxa"/>
              <w:left w:w="100" w:type="dxa"/>
              <w:bottom w:w="80" w:type="dxa"/>
              <w:right w:w="100" w:type="dxa"/>
            </w:tcMar>
          </w:tcPr>
          <w:p w14:paraId="4B355AE5" w14:textId="77777777" w:rsidR="007A1CFD" w:rsidRDefault="00887338">
            <w:r>
              <w:rPr>
                <w:sz w:val="18"/>
                <w:szCs w:val="18"/>
              </w:rPr>
              <w:t>4. Filter Commodities</w:t>
            </w:r>
          </w:p>
        </w:tc>
        <w:tc>
          <w:tcPr>
            <w:tcW w:w="0" w:type="auto"/>
            <w:shd w:val="clear" w:color="auto" w:fill="F7F7F7"/>
            <w:tcMar>
              <w:top w:w="80" w:type="dxa"/>
              <w:left w:w="100" w:type="dxa"/>
              <w:bottom w:w="80" w:type="dxa"/>
              <w:right w:w="100" w:type="dxa"/>
            </w:tcMar>
          </w:tcPr>
          <w:p w14:paraId="58ECD456" w14:textId="77777777" w:rsidR="007A1CFD" w:rsidRDefault="00887338">
            <w:r>
              <w:rPr>
                <w:sz w:val="18"/>
                <w:szCs w:val="18"/>
              </w:rPr>
              <w:t>Remove unused items</w:t>
            </w:r>
          </w:p>
        </w:tc>
        <w:tc>
          <w:tcPr>
            <w:tcW w:w="0" w:type="auto"/>
            <w:shd w:val="clear" w:color="auto" w:fill="F7F7F7"/>
            <w:tcMar>
              <w:top w:w="80" w:type="dxa"/>
              <w:left w:w="100" w:type="dxa"/>
              <w:bottom w:w="80" w:type="dxa"/>
              <w:right w:w="100" w:type="dxa"/>
            </w:tcMar>
          </w:tcPr>
          <w:p w14:paraId="109ADC95" w14:textId="77777777" w:rsidR="007A1CFD" w:rsidRDefault="00887338">
            <w:r>
              <w:rPr>
                <w:sz w:val="18"/>
                <w:szCs w:val="18"/>
              </w:rPr>
              <w:t>#"Filtered Rows" = Table.SelectRows(..., each ([Product] &lt;&gt; "Cheese" ...))</w:t>
            </w:r>
          </w:p>
        </w:tc>
        <w:tc>
          <w:tcPr>
            <w:tcW w:w="0" w:type="auto"/>
            <w:shd w:val="clear" w:color="auto" w:fill="F7F7F7"/>
            <w:tcMar>
              <w:top w:w="80" w:type="dxa"/>
              <w:left w:w="100" w:type="dxa"/>
              <w:bottom w:w="80" w:type="dxa"/>
              <w:right w:w="100" w:type="dxa"/>
            </w:tcMar>
          </w:tcPr>
          <w:p w14:paraId="200D04D7" w14:textId="77777777" w:rsidR="007A1CFD" w:rsidRDefault="00887338">
            <w:r>
              <w:rPr>
                <w:sz w:val="18"/>
                <w:szCs w:val="18"/>
              </w:rPr>
              <w:t>Deleted irrelevant food items.</w:t>
            </w:r>
          </w:p>
        </w:tc>
      </w:tr>
      <w:tr w:rsidR="007A1CFD" w14:paraId="7B3065E7" w14:textId="77777777">
        <w:tc>
          <w:tcPr>
            <w:tcW w:w="0" w:type="auto"/>
            <w:tcMar>
              <w:top w:w="80" w:type="dxa"/>
              <w:left w:w="100" w:type="dxa"/>
              <w:bottom w:w="80" w:type="dxa"/>
              <w:right w:w="100" w:type="dxa"/>
            </w:tcMar>
          </w:tcPr>
          <w:p w14:paraId="6AC1636C" w14:textId="77777777" w:rsidR="007A1CFD" w:rsidRDefault="00887338">
            <w:r>
              <w:rPr>
                <w:sz w:val="18"/>
                <w:szCs w:val="18"/>
              </w:rPr>
              <w:lastRenderedPageBreak/>
              <w:t>5. Standardize IDs</w:t>
            </w:r>
          </w:p>
        </w:tc>
        <w:tc>
          <w:tcPr>
            <w:tcW w:w="0" w:type="auto"/>
            <w:tcMar>
              <w:top w:w="80" w:type="dxa"/>
              <w:left w:w="100" w:type="dxa"/>
              <w:bottom w:w="80" w:type="dxa"/>
              <w:right w:w="100" w:type="dxa"/>
            </w:tcMar>
          </w:tcPr>
          <w:p w14:paraId="18102444" w14:textId="77777777" w:rsidR="007A1CFD" w:rsidRDefault="00887338">
            <w:r>
              <w:rPr>
                <w:sz w:val="18"/>
                <w:szCs w:val="18"/>
              </w:rPr>
              <w:t>Update Local Keys</w:t>
            </w:r>
          </w:p>
        </w:tc>
        <w:tc>
          <w:tcPr>
            <w:tcW w:w="0" w:type="auto"/>
            <w:tcMar>
              <w:top w:w="80" w:type="dxa"/>
              <w:left w:w="100" w:type="dxa"/>
              <w:bottom w:w="80" w:type="dxa"/>
              <w:right w:w="100" w:type="dxa"/>
            </w:tcMar>
          </w:tcPr>
          <w:p w14:paraId="3E4C0C1C" w14:textId="77777777" w:rsidR="007A1CFD" w:rsidRDefault="00887338">
            <w:r>
              <w:rPr>
                <w:sz w:val="18"/>
                <w:szCs w:val="18"/>
              </w:rPr>
              <w:t>#"Replaced Value" = Table.ReplaceValue(...,"83","'01510",Replacer.ReplaceText,{"Product_id"})</w:t>
            </w:r>
          </w:p>
        </w:tc>
        <w:tc>
          <w:tcPr>
            <w:tcW w:w="0" w:type="auto"/>
            <w:tcMar>
              <w:top w:w="80" w:type="dxa"/>
              <w:left w:w="100" w:type="dxa"/>
              <w:bottom w:w="80" w:type="dxa"/>
              <w:right w:w="100" w:type="dxa"/>
            </w:tcMar>
          </w:tcPr>
          <w:p w14:paraId="06796BFC" w14:textId="77777777" w:rsidR="007A1CFD" w:rsidRDefault="00887338">
            <w:r>
              <w:rPr>
                <w:sz w:val="18"/>
                <w:szCs w:val="18"/>
              </w:rPr>
              <w:t>Standardized internal numerical IDs into string codes.</w:t>
            </w:r>
          </w:p>
        </w:tc>
      </w:tr>
    </w:tbl>
    <w:p w14:paraId="0AC25A70" w14:textId="77777777" w:rsidR="007A1CFD" w:rsidRDefault="00887338">
      <w:pPr>
        <w:pStyle w:val="Heading2"/>
        <w:spacing w:before="320" w:after="160"/>
      </w:pPr>
      <w:bookmarkStart w:id="34" w:name="_Toc234072279"/>
      <w:bookmarkStart w:id="35" w:name="_Toc234429718"/>
      <w:r>
        <w:rPr>
          <w:b/>
          <w:bCs/>
          <w:color w:val="1F3864"/>
        </w:rPr>
        <w:t>1.4 International Trade Pipeline</w:t>
      </w:r>
      <w:bookmarkEnd w:id="34"/>
      <w:bookmarkEnd w:id="35"/>
    </w:p>
    <w:p w14:paraId="5D14368E" w14:textId="77777777" w:rsidR="007A1CFD" w:rsidRDefault="00887338">
      <w:pPr>
        <w:spacing w:before="100" w:after="120"/>
      </w:pPr>
      <w:r>
        <w:rPr>
          <w:b/>
          <w:bCs/>
          <w:i/>
          <w:iCs/>
          <w:color w:val="595959"/>
        </w:rPr>
        <w:t>Table 3: Global Trade Data (TradeData)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1173"/>
        <w:gridCol w:w="6051"/>
        <w:gridCol w:w="1352"/>
      </w:tblGrid>
      <w:tr w:rsidR="007A1CFD" w14:paraId="0081394E" w14:textId="77777777">
        <w:trPr>
          <w:tblHeader/>
        </w:trPr>
        <w:tc>
          <w:tcPr>
            <w:tcW w:w="0" w:type="dxa"/>
            <w:shd w:val="clear" w:color="auto" w:fill="1F3864"/>
            <w:tcMar>
              <w:top w:w="80" w:type="dxa"/>
              <w:left w:w="100" w:type="dxa"/>
              <w:bottom w:w="80" w:type="dxa"/>
              <w:right w:w="100" w:type="dxa"/>
            </w:tcMar>
            <w:vAlign w:val="center"/>
          </w:tcPr>
          <w:p w14:paraId="6B7DC471" w14:textId="77777777" w:rsidR="007A1CFD" w:rsidRDefault="00887338">
            <w:r>
              <w:rPr>
                <w:b/>
                <w:bCs/>
                <w:color w:val="FFFFFF"/>
                <w:sz w:val="19"/>
                <w:szCs w:val="19"/>
              </w:rPr>
              <w:t>Step</w:t>
            </w:r>
          </w:p>
        </w:tc>
        <w:tc>
          <w:tcPr>
            <w:tcW w:w="0" w:type="dxa"/>
            <w:shd w:val="clear" w:color="auto" w:fill="1F3864"/>
            <w:tcMar>
              <w:top w:w="80" w:type="dxa"/>
              <w:left w:w="100" w:type="dxa"/>
              <w:bottom w:w="80" w:type="dxa"/>
              <w:right w:w="100" w:type="dxa"/>
            </w:tcMar>
            <w:vAlign w:val="center"/>
          </w:tcPr>
          <w:p w14:paraId="52E6219B" w14:textId="77777777" w:rsidR="007A1CFD" w:rsidRDefault="00887338">
            <w:r>
              <w:rPr>
                <w:b/>
                <w:bCs/>
                <w:color w:val="FFFFFF"/>
                <w:sz w:val="19"/>
                <w:szCs w:val="19"/>
              </w:rPr>
              <w:t>Description</w:t>
            </w:r>
          </w:p>
        </w:tc>
        <w:tc>
          <w:tcPr>
            <w:tcW w:w="0" w:type="dxa"/>
            <w:shd w:val="clear" w:color="auto" w:fill="1F3864"/>
            <w:tcMar>
              <w:top w:w="80" w:type="dxa"/>
              <w:left w:w="100" w:type="dxa"/>
              <w:bottom w:w="80" w:type="dxa"/>
              <w:right w:w="100" w:type="dxa"/>
            </w:tcMar>
            <w:vAlign w:val="center"/>
          </w:tcPr>
          <w:p w14:paraId="61A40934" w14:textId="77777777" w:rsidR="007A1CFD" w:rsidRDefault="00887338">
            <w:r>
              <w:rPr>
                <w:b/>
                <w:bCs/>
                <w:color w:val="FFFFFF"/>
                <w:sz w:val="19"/>
                <w:szCs w:val="19"/>
              </w:rPr>
              <w:t>Power Query Logic (M-Code)</w:t>
            </w:r>
          </w:p>
        </w:tc>
        <w:tc>
          <w:tcPr>
            <w:tcW w:w="0" w:type="dxa"/>
            <w:shd w:val="clear" w:color="auto" w:fill="1F3864"/>
            <w:tcMar>
              <w:top w:w="80" w:type="dxa"/>
              <w:left w:w="100" w:type="dxa"/>
              <w:bottom w:w="80" w:type="dxa"/>
              <w:right w:w="100" w:type="dxa"/>
            </w:tcMar>
            <w:vAlign w:val="center"/>
          </w:tcPr>
          <w:p w14:paraId="6D01FE2F" w14:textId="77777777" w:rsidR="007A1CFD" w:rsidRDefault="00887338">
            <w:r>
              <w:rPr>
                <w:b/>
                <w:bCs/>
                <w:color w:val="FFFFFF"/>
                <w:sz w:val="19"/>
                <w:szCs w:val="19"/>
              </w:rPr>
              <w:t>Explanation &amp; Accuracy</w:t>
            </w:r>
          </w:p>
        </w:tc>
      </w:tr>
      <w:tr w:rsidR="007A1CFD" w14:paraId="6F2F4034" w14:textId="77777777">
        <w:tc>
          <w:tcPr>
            <w:tcW w:w="0" w:type="auto"/>
            <w:tcMar>
              <w:top w:w="80" w:type="dxa"/>
              <w:left w:w="100" w:type="dxa"/>
              <w:bottom w:w="80" w:type="dxa"/>
              <w:right w:w="100" w:type="dxa"/>
            </w:tcMar>
          </w:tcPr>
          <w:p w14:paraId="78800BEC" w14:textId="77777777" w:rsidR="007A1CFD" w:rsidRDefault="00887338">
            <w:r>
              <w:rPr>
                <w:sz w:val="18"/>
                <w:szCs w:val="18"/>
              </w:rPr>
              <w:t>1. Folder Extraction</w:t>
            </w:r>
          </w:p>
        </w:tc>
        <w:tc>
          <w:tcPr>
            <w:tcW w:w="0" w:type="auto"/>
            <w:tcMar>
              <w:top w:w="80" w:type="dxa"/>
              <w:left w:w="100" w:type="dxa"/>
              <w:bottom w:w="80" w:type="dxa"/>
              <w:right w:w="100" w:type="dxa"/>
            </w:tcMar>
          </w:tcPr>
          <w:p w14:paraId="63564B7A" w14:textId="77777777" w:rsidR="007A1CFD" w:rsidRDefault="00887338">
            <w:r>
              <w:rPr>
                <w:sz w:val="18"/>
                <w:szCs w:val="18"/>
              </w:rPr>
              <w:t>Combine multiple files</w:t>
            </w:r>
          </w:p>
        </w:tc>
        <w:tc>
          <w:tcPr>
            <w:tcW w:w="0" w:type="auto"/>
            <w:tcMar>
              <w:top w:w="80" w:type="dxa"/>
              <w:left w:w="100" w:type="dxa"/>
              <w:bottom w:w="80" w:type="dxa"/>
              <w:right w:w="100" w:type="dxa"/>
            </w:tcMar>
          </w:tcPr>
          <w:p w14:paraId="009A7E89" w14:textId="77777777" w:rsidR="007A1CFD" w:rsidRDefault="00887338">
            <w:r>
              <w:rPr>
                <w:sz w:val="18"/>
                <w:szCs w:val="18"/>
              </w:rPr>
              <w:t>Source = Folder.Files("...\TradeData\TradeData")</w:t>
            </w:r>
          </w:p>
        </w:tc>
        <w:tc>
          <w:tcPr>
            <w:tcW w:w="0" w:type="auto"/>
            <w:tcMar>
              <w:top w:w="80" w:type="dxa"/>
              <w:left w:w="100" w:type="dxa"/>
              <w:bottom w:w="80" w:type="dxa"/>
              <w:right w:w="100" w:type="dxa"/>
            </w:tcMar>
          </w:tcPr>
          <w:p w14:paraId="41F500DF" w14:textId="77777777" w:rsidR="007A1CFD" w:rsidRDefault="00887338">
            <w:r>
              <w:rPr>
                <w:sz w:val="18"/>
                <w:szCs w:val="18"/>
              </w:rPr>
              <w:t>Commanded Power Query to open directory.</w:t>
            </w:r>
          </w:p>
        </w:tc>
      </w:tr>
      <w:tr w:rsidR="007A1CFD" w14:paraId="1CF8F675" w14:textId="77777777">
        <w:tc>
          <w:tcPr>
            <w:tcW w:w="0" w:type="auto"/>
            <w:shd w:val="clear" w:color="auto" w:fill="F7F7F7"/>
            <w:tcMar>
              <w:top w:w="80" w:type="dxa"/>
              <w:left w:w="100" w:type="dxa"/>
              <w:bottom w:w="80" w:type="dxa"/>
              <w:right w:w="100" w:type="dxa"/>
            </w:tcMar>
          </w:tcPr>
          <w:p w14:paraId="02BF045A" w14:textId="77777777" w:rsidR="007A1CFD" w:rsidRDefault="00887338">
            <w:r>
              <w:rPr>
                <w:sz w:val="18"/>
                <w:szCs w:val="18"/>
              </w:rPr>
              <w:t>2. Remove Duplicates</w:t>
            </w:r>
          </w:p>
        </w:tc>
        <w:tc>
          <w:tcPr>
            <w:tcW w:w="0" w:type="auto"/>
            <w:shd w:val="clear" w:color="auto" w:fill="F7F7F7"/>
            <w:tcMar>
              <w:top w:w="80" w:type="dxa"/>
              <w:left w:w="100" w:type="dxa"/>
              <w:bottom w:w="80" w:type="dxa"/>
              <w:right w:w="100" w:type="dxa"/>
            </w:tcMar>
          </w:tcPr>
          <w:p w14:paraId="7516B51A" w14:textId="77777777" w:rsidR="007A1CFD" w:rsidRDefault="00887338">
            <w:r>
              <w:rPr>
                <w:sz w:val="18"/>
                <w:szCs w:val="18"/>
              </w:rPr>
              <w:t>Filter out "World"</w:t>
            </w:r>
          </w:p>
        </w:tc>
        <w:tc>
          <w:tcPr>
            <w:tcW w:w="0" w:type="auto"/>
            <w:shd w:val="clear" w:color="auto" w:fill="F7F7F7"/>
            <w:tcMar>
              <w:top w:w="80" w:type="dxa"/>
              <w:left w:w="100" w:type="dxa"/>
              <w:bottom w:w="80" w:type="dxa"/>
              <w:right w:w="100" w:type="dxa"/>
            </w:tcMar>
          </w:tcPr>
          <w:p w14:paraId="032EA06F" w14:textId="77777777" w:rsidR="007A1CFD" w:rsidRDefault="00887338">
            <w:r>
              <w:rPr>
                <w:sz w:val="18"/>
                <w:szCs w:val="18"/>
              </w:rPr>
              <w:t>#"Filtered Rows" = Table.SelectRows(..., each ([partnerDesc] &lt;&gt; "World"))</w:t>
            </w:r>
          </w:p>
        </w:tc>
        <w:tc>
          <w:tcPr>
            <w:tcW w:w="0" w:type="auto"/>
            <w:shd w:val="clear" w:color="auto" w:fill="F7F7F7"/>
            <w:tcMar>
              <w:top w:w="80" w:type="dxa"/>
              <w:left w:w="100" w:type="dxa"/>
              <w:bottom w:w="80" w:type="dxa"/>
              <w:right w:w="100" w:type="dxa"/>
            </w:tcMar>
          </w:tcPr>
          <w:p w14:paraId="2ECD81CA" w14:textId="77777777" w:rsidR="007A1CFD" w:rsidRDefault="00887338">
            <w:r>
              <w:rPr>
                <w:sz w:val="18"/>
                <w:szCs w:val="18"/>
              </w:rPr>
              <w:t>Filtered out aggregate "World" partner.</w:t>
            </w:r>
          </w:p>
        </w:tc>
      </w:tr>
      <w:tr w:rsidR="007A1CFD" w14:paraId="1CF57843" w14:textId="77777777">
        <w:tc>
          <w:tcPr>
            <w:tcW w:w="0" w:type="auto"/>
            <w:tcMar>
              <w:top w:w="80" w:type="dxa"/>
              <w:left w:w="100" w:type="dxa"/>
              <w:bottom w:w="80" w:type="dxa"/>
              <w:right w:w="100" w:type="dxa"/>
            </w:tcMar>
          </w:tcPr>
          <w:p w14:paraId="1613A958" w14:textId="77777777" w:rsidR="007A1CFD" w:rsidRDefault="00887338">
            <w:r>
              <w:rPr>
                <w:sz w:val="18"/>
                <w:szCs w:val="18"/>
              </w:rPr>
              <w:t>3. Dimensional Reduction</w:t>
            </w:r>
          </w:p>
        </w:tc>
        <w:tc>
          <w:tcPr>
            <w:tcW w:w="0" w:type="auto"/>
            <w:tcMar>
              <w:top w:w="80" w:type="dxa"/>
              <w:left w:w="100" w:type="dxa"/>
              <w:bottom w:w="80" w:type="dxa"/>
              <w:right w:w="100" w:type="dxa"/>
            </w:tcMar>
          </w:tcPr>
          <w:p w14:paraId="0B544959" w14:textId="77777777" w:rsidR="007A1CFD" w:rsidRDefault="00887338">
            <w:r>
              <w:rPr>
                <w:sz w:val="18"/>
                <w:szCs w:val="18"/>
              </w:rPr>
              <w:t>Delete Shipping Clutter</w:t>
            </w:r>
          </w:p>
        </w:tc>
        <w:tc>
          <w:tcPr>
            <w:tcW w:w="0" w:type="auto"/>
            <w:tcMar>
              <w:top w:w="80" w:type="dxa"/>
              <w:left w:w="100" w:type="dxa"/>
              <w:bottom w:w="80" w:type="dxa"/>
              <w:right w:w="100" w:type="dxa"/>
            </w:tcMar>
          </w:tcPr>
          <w:p w14:paraId="3B8E8D89" w14:textId="77777777" w:rsidR="007A1CFD" w:rsidRDefault="00887338">
            <w:r>
              <w:rPr>
                <w:sz w:val="18"/>
                <w:szCs w:val="18"/>
              </w:rPr>
              <w:t>#"Removed Columns2" = Table.RemoveColumns(...,{"aggrLevel","isLeaf","customsCode",...})</w:t>
            </w:r>
          </w:p>
        </w:tc>
        <w:tc>
          <w:tcPr>
            <w:tcW w:w="0" w:type="auto"/>
            <w:tcMar>
              <w:top w:w="80" w:type="dxa"/>
              <w:left w:w="100" w:type="dxa"/>
              <w:bottom w:w="80" w:type="dxa"/>
              <w:right w:w="100" w:type="dxa"/>
            </w:tcMar>
          </w:tcPr>
          <w:p w14:paraId="66D88F11" w14:textId="77777777" w:rsidR="007A1CFD" w:rsidRDefault="00887338">
            <w:r>
              <w:rPr>
                <w:sz w:val="18"/>
                <w:szCs w:val="18"/>
              </w:rPr>
              <w:t>Deleted over 20 irrelevant logistics columns.</w:t>
            </w:r>
          </w:p>
        </w:tc>
      </w:tr>
      <w:tr w:rsidR="007A1CFD" w14:paraId="4D2949B2" w14:textId="77777777">
        <w:tc>
          <w:tcPr>
            <w:tcW w:w="0" w:type="auto"/>
            <w:shd w:val="clear" w:color="auto" w:fill="F7F7F7"/>
            <w:tcMar>
              <w:top w:w="80" w:type="dxa"/>
              <w:left w:w="100" w:type="dxa"/>
              <w:bottom w:w="80" w:type="dxa"/>
              <w:right w:w="100" w:type="dxa"/>
            </w:tcMar>
          </w:tcPr>
          <w:p w14:paraId="10136A33" w14:textId="77777777" w:rsidR="007A1CFD" w:rsidRDefault="00887338">
            <w:r>
              <w:rPr>
                <w:sz w:val="18"/>
                <w:szCs w:val="18"/>
              </w:rPr>
              <w:t>4. Map Foreign Keys</w:t>
            </w:r>
          </w:p>
        </w:tc>
        <w:tc>
          <w:tcPr>
            <w:tcW w:w="0" w:type="auto"/>
            <w:shd w:val="clear" w:color="auto" w:fill="F7F7F7"/>
            <w:tcMar>
              <w:top w:w="80" w:type="dxa"/>
              <w:left w:w="100" w:type="dxa"/>
              <w:bottom w:w="80" w:type="dxa"/>
              <w:right w:w="100" w:type="dxa"/>
            </w:tcMar>
          </w:tcPr>
          <w:p w14:paraId="53DDE16C" w14:textId="77777777" w:rsidR="007A1CFD" w:rsidRDefault="00887338">
            <w:r>
              <w:rPr>
                <w:sz w:val="18"/>
                <w:szCs w:val="18"/>
              </w:rPr>
              <w:t>Match to Local Food</w:t>
            </w:r>
          </w:p>
        </w:tc>
        <w:tc>
          <w:tcPr>
            <w:tcW w:w="0" w:type="auto"/>
            <w:shd w:val="clear" w:color="auto" w:fill="F7F7F7"/>
            <w:tcMar>
              <w:top w:w="80" w:type="dxa"/>
              <w:left w:w="100" w:type="dxa"/>
              <w:bottom w:w="80" w:type="dxa"/>
              <w:right w:w="100" w:type="dxa"/>
            </w:tcMar>
          </w:tcPr>
          <w:p w14:paraId="021DBD3C" w14:textId="77777777" w:rsidR="007A1CFD" w:rsidRDefault="00887338">
            <w:r>
              <w:rPr>
                <w:sz w:val="18"/>
                <w:szCs w:val="18"/>
              </w:rPr>
              <w:t>#"Replaced Value3" = Table.ReplaceValue(...,"100199","'23110",Replacer.ReplaceValue,{"item_id"})</w:t>
            </w:r>
          </w:p>
        </w:tc>
        <w:tc>
          <w:tcPr>
            <w:tcW w:w="0" w:type="auto"/>
            <w:shd w:val="clear" w:color="auto" w:fill="F7F7F7"/>
            <w:tcMar>
              <w:top w:w="80" w:type="dxa"/>
              <w:left w:w="100" w:type="dxa"/>
              <w:bottom w:w="80" w:type="dxa"/>
              <w:right w:w="100" w:type="dxa"/>
            </w:tcMar>
          </w:tcPr>
          <w:p w14:paraId="49F167D6" w14:textId="77777777" w:rsidR="007A1CFD" w:rsidRDefault="00887338">
            <w:r>
              <w:rPr>
                <w:sz w:val="18"/>
                <w:szCs w:val="18"/>
              </w:rPr>
              <w:t>Standardized international strings to match local Product_id keys.</w:t>
            </w:r>
          </w:p>
        </w:tc>
      </w:tr>
    </w:tbl>
    <w:p w14:paraId="43FD110C" w14:textId="77777777" w:rsidR="007A1CFD" w:rsidRDefault="00887338">
      <w:pPr>
        <w:pStyle w:val="Heading1"/>
        <w:pageBreakBefore/>
        <w:pBdr>
          <w:bottom w:val="single" w:sz="12" w:space="8" w:color="B8860B"/>
        </w:pBdr>
        <w:spacing w:before="200" w:after="240"/>
      </w:pPr>
      <w:bookmarkStart w:id="36" w:name="_Toc234072280"/>
      <w:bookmarkStart w:id="37" w:name="_Toc234429719"/>
      <w:r>
        <w:rPr>
          <w:b/>
          <w:bCs/>
          <w:color w:val="1F3864"/>
          <w:sz w:val="34"/>
          <w:szCs w:val="34"/>
        </w:rPr>
        <w:lastRenderedPageBreak/>
        <w:t>Chapter 2: System Analysis &amp; Design (Database Design &amp; Data Modeling)</w:t>
      </w:r>
      <w:bookmarkEnd w:id="36"/>
      <w:bookmarkEnd w:id="37"/>
    </w:p>
    <w:p w14:paraId="5E83DBF7" w14:textId="77777777" w:rsidR="007A1CFD" w:rsidRDefault="00887338">
      <w:pPr>
        <w:pStyle w:val="Heading2"/>
        <w:spacing w:before="320" w:after="160"/>
      </w:pPr>
      <w:bookmarkStart w:id="38" w:name="_Toc234072281"/>
      <w:bookmarkStart w:id="39" w:name="_Toc234429720"/>
      <w:r>
        <w:rPr>
          <w:b/>
          <w:bCs/>
          <w:color w:val="1F3864"/>
        </w:rPr>
        <w:t>2.1 Data Modeling and DAX Architecture</w:t>
      </w:r>
      <w:bookmarkEnd w:id="38"/>
      <w:bookmarkEnd w:id="39"/>
    </w:p>
    <w:p w14:paraId="039A6E12" w14:textId="77777777" w:rsidR="007A1CFD" w:rsidRDefault="00887338">
      <w:pPr>
        <w:spacing w:after="160" w:line="300" w:lineRule="auto"/>
        <w:jc w:val="both"/>
        <w:rPr>
          <w:sz w:val="22"/>
          <w:szCs w:val="22"/>
        </w:rPr>
      </w:pPr>
      <w:r>
        <w:rPr>
          <w:sz w:val="22"/>
          <w:szCs w:val="22"/>
        </w:rPr>
        <w:t>To ensure maximum analytical performance and relational integrity, the dashboard utilizes a highly structured data model. The core calculations are powered by Data Analysis Expressions (DAX). These measures are divided into distinct analytical groups to handle everything from macroeconomic currency shocks to microeconomic price volatility and dynamic user interface (UI) colors.</w:t>
      </w:r>
    </w:p>
    <w:p w14:paraId="19D59D2A" w14:textId="77777777" w:rsidR="00F12FA5" w:rsidRPr="00F12FA5" w:rsidRDefault="00F12FA5" w:rsidP="00F12FA5">
      <w:pPr>
        <w:spacing w:after="160" w:line="300" w:lineRule="auto"/>
        <w:jc w:val="both"/>
        <w:rPr>
          <w:sz w:val="26"/>
          <w:szCs w:val="26"/>
        </w:rPr>
      </w:pPr>
      <w:r w:rsidRPr="00F12FA5">
        <w:rPr>
          <w:b/>
          <w:bCs/>
          <w:sz w:val="26"/>
          <w:szCs w:val="26"/>
        </w:rPr>
        <w:t>Data Model (Star Schema) &amp; Relational Architecture</w:t>
      </w:r>
    </w:p>
    <w:p w14:paraId="32FB0CD4" w14:textId="77777777" w:rsidR="00F12FA5" w:rsidRPr="00F12FA5" w:rsidRDefault="00F12FA5" w:rsidP="00F12FA5">
      <w:pPr>
        <w:spacing w:after="160" w:line="300" w:lineRule="auto"/>
        <w:jc w:val="both"/>
      </w:pPr>
      <w:r w:rsidRPr="00F12FA5">
        <w:t>To connect the macroeconomic variables, local commodity prices, and international trade volumes, the dataset was meticulously structured into a Star Schema. This relational architecture is critical for ensuring seamless cross-filtering and high-performance DAX evaluations across all four pages of the dashboard.</w:t>
      </w:r>
    </w:p>
    <w:p w14:paraId="6428002C" w14:textId="77777777" w:rsidR="00F12FA5" w:rsidRPr="00F12FA5" w:rsidRDefault="00F12FA5" w:rsidP="00F12FA5">
      <w:pPr>
        <w:spacing w:after="160" w:line="300" w:lineRule="auto"/>
        <w:jc w:val="both"/>
      </w:pPr>
      <w:r w:rsidRPr="00F12FA5">
        <w:t>The model separates quantitative metrics from descriptive attributes:</w:t>
      </w:r>
    </w:p>
    <w:p w14:paraId="6D9B8C0C" w14:textId="77777777" w:rsidR="00F12FA5" w:rsidRPr="00F12FA5" w:rsidRDefault="00F12FA5" w:rsidP="00F12FA5">
      <w:pPr>
        <w:numPr>
          <w:ilvl w:val="0"/>
          <w:numId w:val="3"/>
        </w:numPr>
        <w:spacing w:after="160" w:line="300" w:lineRule="auto"/>
        <w:jc w:val="both"/>
      </w:pPr>
      <w:r w:rsidRPr="00F12FA5">
        <w:rPr>
          <w:b/>
          <w:bCs/>
        </w:rPr>
        <w:t>Fact Tables:</w:t>
      </w:r>
      <w:r w:rsidRPr="00F12FA5">
        <w:t xml:space="preserve"> The core quantitative data is housed in centralized fact tables, primarily the TradeData table (tracking global import volumes and USD values) and the WFP_FOOD_PRICES_EGY table (tracking localized microeconomic prices). Other macroeconomic fact tables include Currency Rate, Inflation, and Minimum Wage.</w:t>
      </w:r>
    </w:p>
    <w:p w14:paraId="03589010" w14:textId="77777777" w:rsidR="00F12FA5" w:rsidRPr="00F12FA5" w:rsidRDefault="00F12FA5" w:rsidP="00F12FA5">
      <w:pPr>
        <w:numPr>
          <w:ilvl w:val="0"/>
          <w:numId w:val="3"/>
        </w:numPr>
        <w:spacing w:after="160" w:line="300" w:lineRule="auto"/>
        <w:jc w:val="both"/>
      </w:pPr>
      <w:r w:rsidRPr="00F12FA5">
        <w:rPr>
          <w:b/>
          <w:bCs/>
        </w:rPr>
        <w:t>Dimension Tables:</w:t>
      </w:r>
      <w:r w:rsidRPr="00F12FA5">
        <w:t xml:space="preserve"> The DIM_products table acts as the primary dimension table. It successfully maps and standardizes disjointed international UN trade IDs (e.g., '100199') to local Egyptian market product IDs (e.g., '23110'), allowing the model to bridge global import costs directly to local commodity prices.</w:t>
      </w:r>
    </w:p>
    <w:p w14:paraId="779B7845" w14:textId="77777777" w:rsidR="00F12FA5" w:rsidRPr="00F12FA5" w:rsidRDefault="00F12FA5" w:rsidP="00F12FA5">
      <w:pPr>
        <w:numPr>
          <w:ilvl w:val="0"/>
          <w:numId w:val="3"/>
        </w:numPr>
        <w:spacing w:after="160" w:line="300" w:lineRule="auto"/>
        <w:jc w:val="both"/>
      </w:pPr>
      <w:r w:rsidRPr="00F12FA5">
        <w:rPr>
          <w:b/>
          <w:bCs/>
        </w:rPr>
        <w:t>Centralized Time Intelligence:</w:t>
      </w:r>
      <w:r w:rsidRPr="00F12FA5">
        <w:t xml:space="preserve"> The entire schema is anchored by a centralized Master Calendar. By establishing one-to-many relationships from this calendar to the various Fact tables, the model can accurately evaluate complex Time Intelligence DAX measures—such as Affordability YoY %, FX Devaluation YoY %, and Price Volatility %—dynamically across the 2020–2024 project timeline.</w:t>
      </w:r>
    </w:p>
    <w:p w14:paraId="60668638" w14:textId="70CE5F62" w:rsidR="00F12FA5" w:rsidRDefault="00F12FA5">
      <w:pPr>
        <w:spacing w:after="160" w:line="300" w:lineRule="auto"/>
        <w:jc w:val="both"/>
      </w:pPr>
      <w:r>
        <w:rPr>
          <w:noProof/>
        </w:rPr>
        <w:drawing>
          <wp:inline distT="0" distB="0" distL="0" distR="0" wp14:anchorId="382E1CDA" wp14:editId="15BECC2C">
            <wp:extent cx="6188710" cy="2978150"/>
            <wp:effectExtent l="0" t="0" r="2540" b="0"/>
            <wp:docPr id="204083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38011" name="Picture 2040838011"/>
                    <pic:cNvPicPr/>
                  </pic:nvPicPr>
                  <pic:blipFill>
                    <a:blip r:embed="rId8">
                      <a:extLst>
                        <a:ext uri="{28A0092B-C50C-407E-A947-70E740481C1C}">
                          <a14:useLocalDpi xmlns:a14="http://schemas.microsoft.com/office/drawing/2010/main" val="0"/>
                        </a:ext>
                      </a:extLst>
                    </a:blip>
                    <a:stretch>
                      <a:fillRect/>
                    </a:stretch>
                  </pic:blipFill>
                  <pic:spPr>
                    <a:xfrm>
                      <a:off x="0" y="0"/>
                      <a:ext cx="6188710" cy="2978150"/>
                    </a:xfrm>
                    <a:prstGeom prst="rect">
                      <a:avLst/>
                    </a:prstGeom>
                  </pic:spPr>
                </pic:pic>
              </a:graphicData>
            </a:graphic>
          </wp:inline>
        </w:drawing>
      </w:r>
    </w:p>
    <w:p w14:paraId="70AFF6EB" w14:textId="77777777" w:rsidR="00F12FA5" w:rsidRDefault="00F12FA5">
      <w:pPr>
        <w:spacing w:after="160" w:line="300" w:lineRule="auto"/>
        <w:jc w:val="both"/>
        <w:rPr>
          <w:sz w:val="22"/>
          <w:szCs w:val="22"/>
        </w:rPr>
      </w:pPr>
    </w:p>
    <w:p w14:paraId="0D60DF24" w14:textId="77777777" w:rsidR="00F12FA5" w:rsidRDefault="00F12FA5">
      <w:pPr>
        <w:spacing w:after="160" w:line="300" w:lineRule="auto"/>
        <w:jc w:val="both"/>
        <w:rPr>
          <w:sz w:val="22"/>
          <w:szCs w:val="22"/>
        </w:rPr>
      </w:pPr>
    </w:p>
    <w:p w14:paraId="567D6C20" w14:textId="29A08025" w:rsidR="007A1CFD" w:rsidRDefault="00887338">
      <w:pPr>
        <w:spacing w:after="160" w:line="300" w:lineRule="auto"/>
        <w:jc w:val="both"/>
      </w:pPr>
      <w:r>
        <w:rPr>
          <w:sz w:val="22"/>
          <w:szCs w:val="22"/>
        </w:rPr>
        <w:lastRenderedPageBreak/>
        <w:t>Below is the exhaustive documentation of every DAX measure engineered for this project.</w:t>
      </w:r>
    </w:p>
    <w:p w14:paraId="24A9DB52" w14:textId="77777777" w:rsidR="007A1CFD" w:rsidRDefault="00887338">
      <w:pPr>
        <w:spacing w:before="200" w:after="120"/>
      </w:pPr>
      <w:r>
        <w:rPr>
          <w:b/>
          <w:bCs/>
          <w:i/>
          <w:iCs/>
          <w:color w:val="595959"/>
        </w:rPr>
        <w:t>Table 4: The Affordability Nexus Measures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3"/>
        <w:gridCol w:w="2212"/>
        <w:gridCol w:w="6251"/>
      </w:tblGrid>
      <w:tr w:rsidR="007A1CFD" w14:paraId="5B974597" w14:textId="77777777">
        <w:trPr>
          <w:tblHeader/>
        </w:trPr>
        <w:tc>
          <w:tcPr>
            <w:tcW w:w="0" w:type="dxa"/>
            <w:shd w:val="clear" w:color="auto" w:fill="1F3864"/>
            <w:tcMar>
              <w:top w:w="80" w:type="dxa"/>
              <w:left w:w="100" w:type="dxa"/>
              <w:bottom w:w="80" w:type="dxa"/>
              <w:right w:w="100" w:type="dxa"/>
            </w:tcMar>
            <w:vAlign w:val="center"/>
          </w:tcPr>
          <w:p w14:paraId="234FAE82" w14:textId="77777777" w:rsidR="007A1CFD" w:rsidRDefault="00887338">
            <w:r>
              <w:rPr>
                <w:b/>
                <w:bCs/>
                <w:color w:val="FFFFFF"/>
                <w:sz w:val="19"/>
                <w:szCs w:val="19"/>
              </w:rPr>
              <w:t>Measure Name</w:t>
            </w:r>
          </w:p>
        </w:tc>
        <w:tc>
          <w:tcPr>
            <w:tcW w:w="0" w:type="dxa"/>
            <w:shd w:val="clear" w:color="auto" w:fill="1F3864"/>
            <w:tcMar>
              <w:top w:w="80" w:type="dxa"/>
              <w:left w:w="100" w:type="dxa"/>
              <w:bottom w:w="80" w:type="dxa"/>
              <w:right w:w="100" w:type="dxa"/>
            </w:tcMar>
            <w:vAlign w:val="center"/>
          </w:tcPr>
          <w:p w14:paraId="42E68346" w14:textId="77777777" w:rsidR="007A1CFD" w:rsidRDefault="00887338">
            <w:r>
              <w:rPr>
                <w:b/>
                <w:bCs/>
                <w:color w:val="FFFFFF"/>
                <w:sz w:val="19"/>
                <w:szCs w:val="19"/>
              </w:rPr>
              <w:t>Business Logic / Explanation</w:t>
            </w:r>
          </w:p>
        </w:tc>
        <w:tc>
          <w:tcPr>
            <w:tcW w:w="0" w:type="dxa"/>
            <w:shd w:val="clear" w:color="auto" w:fill="1F3864"/>
            <w:tcMar>
              <w:top w:w="80" w:type="dxa"/>
              <w:left w:w="100" w:type="dxa"/>
              <w:bottom w:w="80" w:type="dxa"/>
              <w:right w:w="100" w:type="dxa"/>
            </w:tcMar>
            <w:vAlign w:val="center"/>
          </w:tcPr>
          <w:p w14:paraId="2046EA4D" w14:textId="77777777" w:rsidR="007A1CFD" w:rsidRDefault="00887338">
            <w:r>
              <w:rPr>
                <w:b/>
                <w:bCs/>
                <w:color w:val="FFFFFF"/>
                <w:sz w:val="19"/>
                <w:szCs w:val="19"/>
              </w:rPr>
              <w:t>DAX Formula</w:t>
            </w:r>
          </w:p>
        </w:tc>
      </w:tr>
      <w:tr w:rsidR="007A1CFD" w14:paraId="50BB5CD7" w14:textId="77777777">
        <w:tc>
          <w:tcPr>
            <w:tcW w:w="0" w:type="auto"/>
            <w:tcMar>
              <w:top w:w="80" w:type="dxa"/>
              <w:left w:w="100" w:type="dxa"/>
              <w:bottom w:w="80" w:type="dxa"/>
              <w:right w:w="100" w:type="dxa"/>
            </w:tcMar>
          </w:tcPr>
          <w:p w14:paraId="5555A5D8" w14:textId="77777777" w:rsidR="007A1CFD" w:rsidRDefault="00887338">
            <w:r>
              <w:rPr>
                <w:sz w:val="18"/>
                <w:szCs w:val="18"/>
              </w:rPr>
              <w:t>Affordability YoY %</w:t>
            </w:r>
          </w:p>
        </w:tc>
        <w:tc>
          <w:tcPr>
            <w:tcW w:w="0" w:type="auto"/>
            <w:tcMar>
              <w:top w:w="80" w:type="dxa"/>
              <w:left w:w="100" w:type="dxa"/>
              <w:bottom w:w="80" w:type="dxa"/>
              <w:right w:w="100" w:type="dxa"/>
            </w:tcMar>
          </w:tcPr>
          <w:p w14:paraId="51C83033" w14:textId="77777777" w:rsidR="007A1CFD" w:rsidRDefault="00887338">
            <w:r>
              <w:rPr>
                <w:sz w:val="18"/>
                <w:szCs w:val="18"/>
              </w:rPr>
              <w:t>Calculates the year-over-year percentage change in how many units a minimum wage earner can afford.</w:t>
            </w:r>
          </w:p>
        </w:tc>
        <w:tc>
          <w:tcPr>
            <w:tcW w:w="0" w:type="auto"/>
            <w:tcMar>
              <w:top w:w="80" w:type="dxa"/>
              <w:left w:w="100" w:type="dxa"/>
              <w:bottom w:w="80" w:type="dxa"/>
              <w:right w:w="100" w:type="dxa"/>
            </w:tcMar>
          </w:tcPr>
          <w:p w14:paraId="07EE017A" w14:textId="77777777" w:rsidR="007A1CFD" w:rsidRDefault="00887338">
            <w:r>
              <w:rPr>
                <w:sz w:val="18"/>
                <w:szCs w:val="18"/>
              </w:rPr>
              <w:t>VAR UnitsPY = CALCULATE([Units Affordable], PREVIOUSYEAR('Master Calendar'[date])) RETURN DIVIDE([Units Affordable] - UnitsPY, UnitsPY, 0)</w:t>
            </w:r>
          </w:p>
        </w:tc>
      </w:tr>
      <w:tr w:rsidR="007A1CFD" w14:paraId="6F6F4F2B" w14:textId="77777777">
        <w:tc>
          <w:tcPr>
            <w:tcW w:w="0" w:type="auto"/>
            <w:shd w:val="clear" w:color="auto" w:fill="F7F7F7"/>
            <w:tcMar>
              <w:top w:w="80" w:type="dxa"/>
              <w:left w:w="100" w:type="dxa"/>
              <w:bottom w:w="80" w:type="dxa"/>
              <w:right w:w="100" w:type="dxa"/>
            </w:tcMar>
          </w:tcPr>
          <w:p w14:paraId="3EE594CC" w14:textId="77777777" w:rsidR="007A1CFD" w:rsidRDefault="00887338">
            <w:r>
              <w:rPr>
                <w:sz w:val="18"/>
                <w:szCs w:val="18"/>
              </w:rPr>
              <w:t>average minimum wage</w:t>
            </w:r>
          </w:p>
        </w:tc>
        <w:tc>
          <w:tcPr>
            <w:tcW w:w="0" w:type="auto"/>
            <w:shd w:val="clear" w:color="auto" w:fill="F7F7F7"/>
            <w:tcMar>
              <w:top w:w="80" w:type="dxa"/>
              <w:left w:w="100" w:type="dxa"/>
              <w:bottom w:w="80" w:type="dxa"/>
              <w:right w:w="100" w:type="dxa"/>
            </w:tcMar>
          </w:tcPr>
          <w:p w14:paraId="088A3725" w14:textId="77777777" w:rsidR="007A1CFD" w:rsidRDefault="00887338">
            <w:r>
              <w:rPr>
                <w:sz w:val="18"/>
                <w:szCs w:val="18"/>
              </w:rPr>
              <w:t>Calculates the average baseline minimum wage across the selected timeline.</w:t>
            </w:r>
          </w:p>
        </w:tc>
        <w:tc>
          <w:tcPr>
            <w:tcW w:w="0" w:type="auto"/>
            <w:shd w:val="clear" w:color="auto" w:fill="F7F7F7"/>
            <w:tcMar>
              <w:top w:w="80" w:type="dxa"/>
              <w:left w:w="100" w:type="dxa"/>
              <w:bottom w:w="80" w:type="dxa"/>
              <w:right w:w="100" w:type="dxa"/>
            </w:tcMar>
          </w:tcPr>
          <w:p w14:paraId="39724289" w14:textId="77777777" w:rsidR="007A1CFD" w:rsidRDefault="00887338">
            <w:r>
              <w:rPr>
                <w:sz w:val="18"/>
                <w:szCs w:val="18"/>
              </w:rPr>
              <w:t>AVERAGE('Minumum wage'[Monthly_Minimum_Wage_EGP])</w:t>
            </w:r>
          </w:p>
        </w:tc>
      </w:tr>
      <w:tr w:rsidR="007A1CFD" w14:paraId="7D4E35F3" w14:textId="77777777">
        <w:tc>
          <w:tcPr>
            <w:tcW w:w="0" w:type="auto"/>
            <w:tcMar>
              <w:top w:w="80" w:type="dxa"/>
              <w:left w:w="100" w:type="dxa"/>
              <w:bottom w:w="80" w:type="dxa"/>
              <w:right w:w="100" w:type="dxa"/>
            </w:tcMar>
          </w:tcPr>
          <w:p w14:paraId="1C3D16D0" w14:textId="77777777" w:rsidR="007A1CFD" w:rsidRDefault="00887338">
            <w:r>
              <w:rPr>
                <w:sz w:val="18"/>
                <w:szCs w:val="18"/>
              </w:rPr>
              <w:t>Food Crisis Premium</w:t>
            </w:r>
          </w:p>
        </w:tc>
        <w:tc>
          <w:tcPr>
            <w:tcW w:w="0" w:type="auto"/>
            <w:tcMar>
              <w:top w:w="80" w:type="dxa"/>
              <w:left w:w="100" w:type="dxa"/>
              <w:bottom w:w="80" w:type="dxa"/>
              <w:right w:w="100" w:type="dxa"/>
            </w:tcMar>
          </w:tcPr>
          <w:p w14:paraId="6EA0FC81" w14:textId="77777777" w:rsidR="007A1CFD" w:rsidRDefault="00887338">
            <w:r>
              <w:rPr>
                <w:sz w:val="18"/>
                <w:szCs w:val="18"/>
              </w:rPr>
              <w:t>Measures how aggressively food inflation is outpacing the general headline CPI.</w:t>
            </w:r>
          </w:p>
        </w:tc>
        <w:tc>
          <w:tcPr>
            <w:tcW w:w="0" w:type="auto"/>
            <w:tcMar>
              <w:top w:w="80" w:type="dxa"/>
              <w:left w:w="100" w:type="dxa"/>
              <w:bottom w:w="80" w:type="dxa"/>
              <w:right w:w="100" w:type="dxa"/>
            </w:tcMar>
          </w:tcPr>
          <w:p w14:paraId="3103E3FD" w14:textId="77777777" w:rsidR="007A1CFD" w:rsidRDefault="00887338">
            <w:r>
              <w:rPr>
                <w:sz w:val="18"/>
                <w:szCs w:val="18"/>
              </w:rPr>
              <w:t>[Avg Food Inflation %] - [Headline CPI]</w:t>
            </w:r>
          </w:p>
        </w:tc>
      </w:tr>
      <w:tr w:rsidR="007A1CFD" w14:paraId="532C81C3" w14:textId="77777777">
        <w:tc>
          <w:tcPr>
            <w:tcW w:w="0" w:type="auto"/>
            <w:shd w:val="clear" w:color="auto" w:fill="F7F7F7"/>
            <w:tcMar>
              <w:top w:w="80" w:type="dxa"/>
              <w:left w:w="100" w:type="dxa"/>
              <w:bottom w:w="80" w:type="dxa"/>
              <w:right w:w="100" w:type="dxa"/>
            </w:tcMar>
          </w:tcPr>
          <w:p w14:paraId="3C78B1B3" w14:textId="77777777" w:rsidR="007A1CFD" w:rsidRDefault="00887338">
            <w:r>
              <w:rPr>
                <w:sz w:val="18"/>
                <w:szCs w:val="18"/>
              </w:rPr>
              <w:t>Income Erosion Index</w:t>
            </w:r>
          </w:p>
        </w:tc>
        <w:tc>
          <w:tcPr>
            <w:tcW w:w="0" w:type="auto"/>
            <w:shd w:val="clear" w:color="auto" w:fill="F7F7F7"/>
            <w:tcMar>
              <w:top w:w="80" w:type="dxa"/>
              <w:left w:w="100" w:type="dxa"/>
              <w:bottom w:w="80" w:type="dxa"/>
              <w:right w:w="100" w:type="dxa"/>
            </w:tcMar>
          </w:tcPr>
          <w:p w14:paraId="7D45F4C5" w14:textId="77777777" w:rsidR="007A1CFD" w:rsidRDefault="00887338">
            <w:r>
              <w:rPr>
                <w:sz w:val="18"/>
                <w:szCs w:val="18"/>
              </w:rPr>
              <w:t>Measures how much of the monthly minimum wage is consumed by a month's worth of food costs.</w:t>
            </w:r>
          </w:p>
        </w:tc>
        <w:tc>
          <w:tcPr>
            <w:tcW w:w="0" w:type="auto"/>
            <w:shd w:val="clear" w:color="auto" w:fill="F7F7F7"/>
            <w:tcMar>
              <w:top w:w="80" w:type="dxa"/>
              <w:left w:w="100" w:type="dxa"/>
              <w:bottom w:w="80" w:type="dxa"/>
              <w:right w:w="100" w:type="dxa"/>
            </w:tcMar>
          </w:tcPr>
          <w:p w14:paraId="7FCC141C" w14:textId="77777777" w:rsidR="007A1CFD" w:rsidRDefault="00887338">
            <w:r>
              <w:rPr>
                <w:sz w:val="18"/>
                <w:szCs w:val="18"/>
              </w:rPr>
              <w:t>DIVIDE([Avg Local Price] * 30, AVERAGE('Minumum wage'[Monthly_Minimum_Wage_EGP]), 0)</w:t>
            </w:r>
          </w:p>
        </w:tc>
      </w:tr>
      <w:tr w:rsidR="007A1CFD" w14:paraId="5A13831A" w14:textId="77777777">
        <w:tc>
          <w:tcPr>
            <w:tcW w:w="0" w:type="auto"/>
            <w:tcMar>
              <w:top w:w="80" w:type="dxa"/>
              <w:left w:w="100" w:type="dxa"/>
              <w:bottom w:w="80" w:type="dxa"/>
              <w:right w:w="100" w:type="dxa"/>
            </w:tcMar>
          </w:tcPr>
          <w:p w14:paraId="6D7AFEF6" w14:textId="77777777" w:rsidR="007A1CFD" w:rsidRDefault="00887338">
            <w:r>
              <w:rPr>
                <w:sz w:val="18"/>
                <w:szCs w:val="18"/>
              </w:rPr>
              <w:t>Physical Units Lost</w:t>
            </w:r>
          </w:p>
        </w:tc>
        <w:tc>
          <w:tcPr>
            <w:tcW w:w="0" w:type="auto"/>
            <w:tcMar>
              <w:top w:w="80" w:type="dxa"/>
              <w:left w:w="100" w:type="dxa"/>
              <w:bottom w:w="80" w:type="dxa"/>
              <w:right w:w="100" w:type="dxa"/>
            </w:tcMar>
          </w:tcPr>
          <w:p w14:paraId="22941D81" w14:textId="77777777" w:rsidR="007A1CFD" w:rsidRDefault="00887338">
            <w:r>
              <w:rPr>
                <w:sz w:val="18"/>
                <w:szCs w:val="18"/>
              </w:rPr>
              <w:t>Tracks the total drop in affordable units from the start of the project timeline to the end.</w:t>
            </w:r>
          </w:p>
        </w:tc>
        <w:tc>
          <w:tcPr>
            <w:tcW w:w="0" w:type="auto"/>
            <w:tcMar>
              <w:top w:w="80" w:type="dxa"/>
              <w:left w:w="100" w:type="dxa"/>
              <w:bottom w:w="80" w:type="dxa"/>
              <w:right w:w="100" w:type="dxa"/>
            </w:tcMar>
          </w:tcPr>
          <w:p w14:paraId="273C9457" w14:textId="77777777" w:rsidR="007A1CFD" w:rsidRDefault="00887338">
            <w:r>
              <w:rPr>
                <w:sz w:val="18"/>
                <w:szCs w:val="18"/>
              </w:rPr>
              <w:t>VAR StartYear = MIN('Master Calendar'[Year]) VAR EndYear = MAX('Master Calendar'[Year]) VAR UnitsStart = CALCULATE([Units Affordable], 'Master Calendar'[Year]=StartYear) VAR UnitsEnd = CALCULATE([Units Affordable], 'Master Calendar'[Year]=EndYear) RETURN UnitsEnd - UnitsStart</w:t>
            </w:r>
          </w:p>
        </w:tc>
      </w:tr>
      <w:tr w:rsidR="007A1CFD" w14:paraId="5B46DACE" w14:textId="77777777">
        <w:tc>
          <w:tcPr>
            <w:tcW w:w="0" w:type="auto"/>
            <w:shd w:val="clear" w:color="auto" w:fill="F7F7F7"/>
            <w:tcMar>
              <w:top w:w="80" w:type="dxa"/>
              <w:left w:w="100" w:type="dxa"/>
              <w:bottom w:w="80" w:type="dxa"/>
              <w:right w:w="100" w:type="dxa"/>
            </w:tcMar>
          </w:tcPr>
          <w:p w14:paraId="399970CF" w14:textId="77777777" w:rsidR="007A1CFD" w:rsidRDefault="00887338">
            <w:r>
              <w:rPr>
                <w:sz w:val="18"/>
                <w:szCs w:val="18"/>
              </w:rPr>
              <w:t>Retained Income</w:t>
            </w:r>
          </w:p>
        </w:tc>
        <w:tc>
          <w:tcPr>
            <w:tcW w:w="0" w:type="auto"/>
            <w:shd w:val="clear" w:color="auto" w:fill="F7F7F7"/>
            <w:tcMar>
              <w:top w:w="80" w:type="dxa"/>
              <w:left w:w="100" w:type="dxa"/>
              <w:bottom w:w="80" w:type="dxa"/>
              <w:right w:w="100" w:type="dxa"/>
            </w:tcMar>
          </w:tcPr>
          <w:p w14:paraId="4E899269" w14:textId="77777777" w:rsidR="007A1CFD" w:rsidRDefault="00887338">
            <w:r>
              <w:rPr>
                <w:sz w:val="18"/>
                <w:szCs w:val="18"/>
              </w:rPr>
              <w:t>Calculates the remaining purchasing power percentage after basic food costs are deducted.</w:t>
            </w:r>
          </w:p>
        </w:tc>
        <w:tc>
          <w:tcPr>
            <w:tcW w:w="0" w:type="auto"/>
            <w:shd w:val="clear" w:color="auto" w:fill="F7F7F7"/>
            <w:tcMar>
              <w:top w:w="80" w:type="dxa"/>
              <w:left w:w="100" w:type="dxa"/>
              <w:bottom w:w="80" w:type="dxa"/>
              <w:right w:w="100" w:type="dxa"/>
            </w:tcMar>
          </w:tcPr>
          <w:p w14:paraId="0EC29E7D" w14:textId="77777777" w:rsidR="007A1CFD" w:rsidRDefault="00887338">
            <w:r>
              <w:rPr>
                <w:sz w:val="18"/>
                <w:szCs w:val="18"/>
              </w:rPr>
              <w:t>1 - [Income Erosion Index]</w:t>
            </w:r>
          </w:p>
        </w:tc>
      </w:tr>
      <w:tr w:rsidR="007A1CFD" w14:paraId="0651E72D" w14:textId="77777777">
        <w:tc>
          <w:tcPr>
            <w:tcW w:w="0" w:type="auto"/>
            <w:tcMar>
              <w:top w:w="80" w:type="dxa"/>
              <w:left w:w="100" w:type="dxa"/>
              <w:bottom w:w="80" w:type="dxa"/>
              <w:right w:w="100" w:type="dxa"/>
            </w:tcMar>
          </w:tcPr>
          <w:p w14:paraId="4844EFEB" w14:textId="77777777" w:rsidR="007A1CFD" w:rsidRDefault="00887338">
            <w:r>
              <w:rPr>
                <w:sz w:val="18"/>
                <w:szCs w:val="18"/>
              </w:rPr>
              <w:t>Simulated Price (EGP)</w:t>
            </w:r>
          </w:p>
        </w:tc>
        <w:tc>
          <w:tcPr>
            <w:tcW w:w="0" w:type="auto"/>
            <w:tcMar>
              <w:top w:w="80" w:type="dxa"/>
              <w:left w:w="100" w:type="dxa"/>
              <w:bottom w:w="80" w:type="dxa"/>
              <w:right w:w="100" w:type="dxa"/>
            </w:tcMar>
          </w:tcPr>
          <w:p w14:paraId="17B4F778" w14:textId="77777777" w:rsidR="007A1CFD" w:rsidRDefault="00887338">
            <w:r>
              <w:rPr>
                <w:sz w:val="18"/>
                <w:szCs w:val="18"/>
              </w:rPr>
              <w:t>Projects the local price impact using a 0.50 Exchange Rate Pass-Through (ERPT) multiplier.</w:t>
            </w:r>
          </w:p>
        </w:tc>
        <w:tc>
          <w:tcPr>
            <w:tcW w:w="0" w:type="auto"/>
            <w:tcMar>
              <w:top w:w="80" w:type="dxa"/>
              <w:left w:w="100" w:type="dxa"/>
              <w:bottom w:w="80" w:type="dxa"/>
              <w:right w:w="100" w:type="dxa"/>
            </w:tcMar>
          </w:tcPr>
          <w:p w14:paraId="14867C0E" w14:textId="77777777" w:rsidR="007A1CFD" w:rsidRDefault="00887338">
            <w:r>
              <w:rPr>
                <w:sz w:val="18"/>
                <w:szCs w:val="18"/>
              </w:rPr>
              <w:t>VAR ERPT = 0.50 VAR CurrencyShock = 'Currency Shock %'[Currency Shock % Value] VAR RealImpact = CurrencyShock * ERPT RETURN [Avg Local Price] * (1 + RealImpact)</w:t>
            </w:r>
          </w:p>
        </w:tc>
      </w:tr>
      <w:tr w:rsidR="007A1CFD" w14:paraId="1DCC1938" w14:textId="77777777">
        <w:tc>
          <w:tcPr>
            <w:tcW w:w="0" w:type="auto"/>
            <w:shd w:val="clear" w:color="auto" w:fill="F7F7F7"/>
            <w:tcMar>
              <w:top w:w="80" w:type="dxa"/>
              <w:left w:w="100" w:type="dxa"/>
              <w:bottom w:w="80" w:type="dxa"/>
              <w:right w:w="100" w:type="dxa"/>
            </w:tcMar>
          </w:tcPr>
          <w:p w14:paraId="0F1E64C5" w14:textId="77777777" w:rsidR="007A1CFD" w:rsidRDefault="00887338">
            <w:r>
              <w:rPr>
                <w:sz w:val="18"/>
                <w:szCs w:val="18"/>
              </w:rPr>
              <w:t>Units Affordable</w:t>
            </w:r>
          </w:p>
        </w:tc>
        <w:tc>
          <w:tcPr>
            <w:tcW w:w="0" w:type="auto"/>
            <w:shd w:val="clear" w:color="auto" w:fill="F7F7F7"/>
            <w:tcMar>
              <w:top w:w="80" w:type="dxa"/>
              <w:left w:w="100" w:type="dxa"/>
              <w:bottom w:w="80" w:type="dxa"/>
              <w:right w:w="100" w:type="dxa"/>
            </w:tcMar>
          </w:tcPr>
          <w:p w14:paraId="1C0C8E9E" w14:textId="77777777" w:rsidR="007A1CFD" w:rsidRDefault="00887338">
            <w:r>
              <w:rPr>
                <w:sz w:val="18"/>
                <w:szCs w:val="18"/>
              </w:rPr>
              <w:t>Calculates the absolute number of food units the current monthly income can buy.</w:t>
            </w:r>
          </w:p>
        </w:tc>
        <w:tc>
          <w:tcPr>
            <w:tcW w:w="0" w:type="auto"/>
            <w:shd w:val="clear" w:color="auto" w:fill="F7F7F7"/>
            <w:tcMar>
              <w:top w:w="80" w:type="dxa"/>
              <w:left w:w="100" w:type="dxa"/>
              <w:bottom w:w="80" w:type="dxa"/>
              <w:right w:w="100" w:type="dxa"/>
            </w:tcMar>
          </w:tcPr>
          <w:p w14:paraId="28C80DF4" w14:textId="77777777" w:rsidR="007A1CFD" w:rsidRDefault="00887338">
            <w:r>
              <w:rPr>
                <w:sz w:val="18"/>
                <w:szCs w:val="18"/>
              </w:rPr>
              <w:t>DIVIDE([Monthly Income EGP], [Avg Local Price], 0)</w:t>
            </w:r>
          </w:p>
        </w:tc>
      </w:tr>
    </w:tbl>
    <w:p w14:paraId="39F02913" w14:textId="77777777" w:rsidR="007A1CFD" w:rsidRDefault="00887338">
      <w:pPr>
        <w:spacing w:before="200" w:after="120"/>
      </w:pPr>
      <w:r>
        <w:rPr>
          <w:b/>
          <w:bCs/>
          <w:i/>
          <w:iCs/>
          <w:color w:val="595959"/>
        </w:rPr>
        <w:t>Table 5: Core Macro Measures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5"/>
        <w:gridCol w:w="3727"/>
        <w:gridCol w:w="4494"/>
      </w:tblGrid>
      <w:tr w:rsidR="007A1CFD" w14:paraId="774753B1" w14:textId="77777777">
        <w:trPr>
          <w:tblHeader/>
        </w:trPr>
        <w:tc>
          <w:tcPr>
            <w:tcW w:w="0" w:type="dxa"/>
            <w:shd w:val="clear" w:color="auto" w:fill="1F3864"/>
            <w:tcMar>
              <w:top w:w="80" w:type="dxa"/>
              <w:left w:w="100" w:type="dxa"/>
              <w:bottom w:w="80" w:type="dxa"/>
              <w:right w:w="100" w:type="dxa"/>
            </w:tcMar>
            <w:vAlign w:val="center"/>
          </w:tcPr>
          <w:p w14:paraId="4D648C6D" w14:textId="77777777" w:rsidR="007A1CFD" w:rsidRDefault="00887338">
            <w:r>
              <w:rPr>
                <w:b/>
                <w:bCs/>
                <w:color w:val="FFFFFF"/>
                <w:sz w:val="19"/>
                <w:szCs w:val="19"/>
              </w:rPr>
              <w:t>Measure Name</w:t>
            </w:r>
          </w:p>
        </w:tc>
        <w:tc>
          <w:tcPr>
            <w:tcW w:w="0" w:type="dxa"/>
            <w:shd w:val="clear" w:color="auto" w:fill="1F3864"/>
            <w:tcMar>
              <w:top w:w="80" w:type="dxa"/>
              <w:left w:w="100" w:type="dxa"/>
              <w:bottom w:w="80" w:type="dxa"/>
              <w:right w:w="100" w:type="dxa"/>
            </w:tcMar>
            <w:vAlign w:val="center"/>
          </w:tcPr>
          <w:p w14:paraId="256C193A" w14:textId="77777777" w:rsidR="007A1CFD" w:rsidRDefault="00887338">
            <w:r>
              <w:rPr>
                <w:b/>
                <w:bCs/>
                <w:color w:val="FFFFFF"/>
                <w:sz w:val="19"/>
                <w:szCs w:val="19"/>
              </w:rPr>
              <w:t>Business Logic / Explanation</w:t>
            </w:r>
          </w:p>
        </w:tc>
        <w:tc>
          <w:tcPr>
            <w:tcW w:w="0" w:type="dxa"/>
            <w:shd w:val="clear" w:color="auto" w:fill="1F3864"/>
            <w:tcMar>
              <w:top w:w="80" w:type="dxa"/>
              <w:left w:w="100" w:type="dxa"/>
              <w:bottom w:w="80" w:type="dxa"/>
              <w:right w:w="100" w:type="dxa"/>
            </w:tcMar>
            <w:vAlign w:val="center"/>
          </w:tcPr>
          <w:p w14:paraId="3F108190" w14:textId="77777777" w:rsidR="007A1CFD" w:rsidRDefault="00887338">
            <w:r>
              <w:rPr>
                <w:b/>
                <w:bCs/>
                <w:color w:val="FFFFFF"/>
                <w:sz w:val="19"/>
                <w:szCs w:val="19"/>
              </w:rPr>
              <w:t>DAX Formula</w:t>
            </w:r>
          </w:p>
        </w:tc>
      </w:tr>
      <w:tr w:rsidR="007A1CFD" w14:paraId="44C5429A" w14:textId="77777777">
        <w:tc>
          <w:tcPr>
            <w:tcW w:w="0" w:type="auto"/>
            <w:tcMar>
              <w:top w:w="80" w:type="dxa"/>
              <w:left w:w="100" w:type="dxa"/>
              <w:bottom w:w="80" w:type="dxa"/>
              <w:right w:w="100" w:type="dxa"/>
            </w:tcMar>
          </w:tcPr>
          <w:p w14:paraId="06629A1A" w14:textId="77777777" w:rsidR="007A1CFD" w:rsidRDefault="00887338">
            <w:r>
              <w:rPr>
                <w:sz w:val="18"/>
                <w:szCs w:val="18"/>
              </w:rPr>
              <w:t>Avg Exchange Rate</w:t>
            </w:r>
          </w:p>
        </w:tc>
        <w:tc>
          <w:tcPr>
            <w:tcW w:w="0" w:type="auto"/>
            <w:tcMar>
              <w:top w:w="80" w:type="dxa"/>
              <w:left w:w="100" w:type="dxa"/>
              <w:bottom w:w="80" w:type="dxa"/>
              <w:right w:w="100" w:type="dxa"/>
            </w:tcMar>
          </w:tcPr>
          <w:p w14:paraId="0FBE8109" w14:textId="77777777" w:rsidR="007A1CFD" w:rsidRDefault="00887338">
            <w:r>
              <w:rPr>
                <w:sz w:val="18"/>
                <w:szCs w:val="18"/>
              </w:rPr>
              <w:t>Returns the average Egyptian Pound to US Dollar exchange rate.</w:t>
            </w:r>
          </w:p>
        </w:tc>
        <w:tc>
          <w:tcPr>
            <w:tcW w:w="0" w:type="auto"/>
            <w:tcMar>
              <w:top w:w="80" w:type="dxa"/>
              <w:left w:w="100" w:type="dxa"/>
              <w:bottom w:w="80" w:type="dxa"/>
              <w:right w:w="100" w:type="dxa"/>
            </w:tcMar>
          </w:tcPr>
          <w:p w14:paraId="1A68E27B" w14:textId="77777777" w:rsidR="007A1CFD" w:rsidRDefault="00887338">
            <w:r>
              <w:rPr>
                <w:sz w:val="18"/>
                <w:szCs w:val="18"/>
              </w:rPr>
              <w:t>AVERAGE('Currency Rate'[EGP per USD])</w:t>
            </w:r>
          </w:p>
        </w:tc>
      </w:tr>
      <w:tr w:rsidR="007A1CFD" w14:paraId="4C3744E7" w14:textId="77777777">
        <w:tc>
          <w:tcPr>
            <w:tcW w:w="0" w:type="auto"/>
            <w:shd w:val="clear" w:color="auto" w:fill="F7F7F7"/>
            <w:tcMar>
              <w:top w:w="80" w:type="dxa"/>
              <w:left w:w="100" w:type="dxa"/>
              <w:bottom w:w="80" w:type="dxa"/>
              <w:right w:w="100" w:type="dxa"/>
            </w:tcMar>
          </w:tcPr>
          <w:p w14:paraId="5E98F771" w14:textId="77777777" w:rsidR="007A1CFD" w:rsidRDefault="00887338">
            <w:r>
              <w:rPr>
                <w:sz w:val="18"/>
                <w:szCs w:val="18"/>
              </w:rPr>
              <w:t>Avg Food Inflation %</w:t>
            </w:r>
          </w:p>
        </w:tc>
        <w:tc>
          <w:tcPr>
            <w:tcW w:w="0" w:type="auto"/>
            <w:shd w:val="clear" w:color="auto" w:fill="F7F7F7"/>
            <w:tcMar>
              <w:top w:w="80" w:type="dxa"/>
              <w:left w:w="100" w:type="dxa"/>
              <w:bottom w:w="80" w:type="dxa"/>
              <w:right w:w="100" w:type="dxa"/>
            </w:tcMar>
          </w:tcPr>
          <w:p w14:paraId="2D59A0AA" w14:textId="77777777" w:rsidR="007A1CFD" w:rsidRDefault="00887338">
            <w:r>
              <w:rPr>
                <w:sz w:val="18"/>
                <w:szCs w:val="18"/>
              </w:rPr>
              <w:t>Averages the global FAO food inflation percentages.</w:t>
            </w:r>
          </w:p>
        </w:tc>
        <w:tc>
          <w:tcPr>
            <w:tcW w:w="0" w:type="auto"/>
            <w:shd w:val="clear" w:color="auto" w:fill="F7F7F7"/>
            <w:tcMar>
              <w:top w:w="80" w:type="dxa"/>
              <w:left w:w="100" w:type="dxa"/>
              <w:bottom w:w="80" w:type="dxa"/>
              <w:right w:w="100" w:type="dxa"/>
            </w:tcMar>
          </w:tcPr>
          <w:p w14:paraId="627561D6" w14:textId="77777777" w:rsidR="007A1CFD" w:rsidRDefault="00887338">
            <w:r>
              <w:rPr>
                <w:sz w:val="18"/>
                <w:szCs w:val="18"/>
              </w:rPr>
              <w:t>AVERAGE('FAOSTAT_data_en_6-14-2026'[food inflation %])</w:t>
            </w:r>
          </w:p>
        </w:tc>
      </w:tr>
      <w:tr w:rsidR="007A1CFD" w14:paraId="295144B2" w14:textId="77777777">
        <w:tc>
          <w:tcPr>
            <w:tcW w:w="0" w:type="auto"/>
            <w:tcMar>
              <w:top w:w="80" w:type="dxa"/>
              <w:left w:w="100" w:type="dxa"/>
              <w:bottom w:w="80" w:type="dxa"/>
              <w:right w:w="100" w:type="dxa"/>
            </w:tcMar>
          </w:tcPr>
          <w:p w14:paraId="7F5B3CE9" w14:textId="77777777" w:rsidR="007A1CFD" w:rsidRDefault="00887338">
            <w:r>
              <w:rPr>
                <w:sz w:val="18"/>
                <w:szCs w:val="18"/>
              </w:rPr>
              <w:t>Avg Local Price</w:t>
            </w:r>
          </w:p>
        </w:tc>
        <w:tc>
          <w:tcPr>
            <w:tcW w:w="0" w:type="auto"/>
            <w:tcMar>
              <w:top w:w="80" w:type="dxa"/>
              <w:left w:w="100" w:type="dxa"/>
              <w:bottom w:w="80" w:type="dxa"/>
              <w:right w:w="100" w:type="dxa"/>
            </w:tcMar>
          </w:tcPr>
          <w:p w14:paraId="6A3CC588" w14:textId="77777777" w:rsidR="007A1CFD" w:rsidRDefault="00887338">
            <w:r>
              <w:rPr>
                <w:sz w:val="18"/>
                <w:szCs w:val="18"/>
              </w:rPr>
              <w:t>Returns the average local market price in Egyptian Pounds.</w:t>
            </w:r>
          </w:p>
        </w:tc>
        <w:tc>
          <w:tcPr>
            <w:tcW w:w="0" w:type="auto"/>
            <w:tcMar>
              <w:top w:w="80" w:type="dxa"/>
              <w:left w:w="100" w:type="dxa"/>
              <w:bottom w:w="80" w:type="dxa"/>
              <w:right w:w="100" w:type="dxa"/>
            </w:tcMar>
          </w:tcPr>
          <w:p w14:paraId="3872DB3B" w14:textId="77777777" w:rsidR="007A1CFD" w:rsidRDefault="00887338">
            <w:r>
              <w:rPr>
                <w:sz w:val="18"/>
                <w:szCs w:val="18"/>
              </w:rPr>
              <w:t>AVERAGE('wfp_food_prices_egy'[EGP_price])</w:t>
            </w:r>
          </w:p>
        </w:tc>
      </w:tr>
      <w:tr w:rsidR="007A1CFD" w14:paraId="4F5794B1" w14:textId="77777777">
        <w:tc>
          <w:tcPr>
            <w:tcW w:w="0" w:type="auto"/>
            <w:shd w:val="clear" w:color="auto" w:fill="F7F7F7"/>
            <w:tcMar>
              <w:top w:w="80" w:type="dxa"/>
              <w:left w:w="100" w:type="dxa"/>
              <w:bottom w:w="80" w:type="dxa"/>
              <w:right w:w="100" w:type="dxa"/>
            </w:tcMar>
          </w:tcPr>
          <w:p w14:paraId="2DC52779" w14:textId="77777777" w:rsidR="007A1CFD" w:rsidRDefault="00887338">
            <w:r>
              <w:rPr>
                <w:sz w:val="18"/>
                <w:szCs w:val="18"/>
              </w:rPr>
              <w:t>Headline CPI</w:t>
            </w:r>
          </w:p>
        </w:tc>
        <w:tc>
          <w:tcPr>
            <w:tcW w:w="0" w:type="auto"/>
            <w:shd w:val="clear" w:color="auto" w:fill="F7F7F7"/>
            <w:tcMar>
              <w:top w:w="80" w:type="dxa"/>
              <w:left w:w="100" w:type="dxa"/>
              <w:bottom w:w="80" w:type="dxa"/>
              <w:right w:w="100" w:type="dxa"/>
            </w:tcMar>
          </w:tcPr>
          <w:p w14:paraId="7F881961" w14:textId="77777777" w:rsidR="007A1CFD" w:rsidRDefault="00887338">
            <w:r>
              <w:rPr>
                <w:sz w:val="18"/>
                <w:szCs w:val="18"/>
              </w:rPr>
              <w:t>Calculates the general consumer price index inflation rate.</w:t>
            </w:r>
          </w:p>
        </w:tc>
        <w:tc>
          <w:tcPr>
            <w:tcW w:w="0" w:type="auto"/>
            <w:shd w:val="clear" w:color="auto" w:fill="F7F7F7"/>
            <w:tcMar>
              <w:top w:w="80" w:type="dxa"/>
              <w:left w:w="100" w:type="dxa"/>
              <w:bottom w:w="80" w:type="dxa"/>
              <w:right w:w="100" w:type="dxa"/>
            </w:tcMar>
          </w:tcPr>
          <w:p w14:paraId="2342A8EF" w14:textId="77777777" w:rsidR="007A1CFD" w:rsidRDefault="00887338">
            <w:r>
              <w:rPr>
                <w:sz w:val="18"/>
                <w:szCs w:val="18"/>
              </w:rPr>
              <w:t>AVERAGE('INFLATION'[Inflation Rate])</w:t>
            </w:r>
          </w:p>
        </w:tc>
      </w:tr>
      <w:tr w:rsidR="007A1CFD" w14:paraId="6EC1EDC2" w14:textId="77777777">
        <w:tc>
          <w:tcPr>
            <w:tcW w:w="0" w:type="auto"/>
            <w:tcMar>
              <w:top w:w="80" w:type="dxa"/>
              <w:left w:w="100" w:type="dxa"/>
              <w:bottom w:w="80" w:type="dxa"/>
              <w:right w:w="100" w:type="dxa"/>
            </w:tcMar>
          </w:tcPr>
          <w:p w14:paraId="6DF02928" w14:textId="77777777" w:rsidR="007A1CFD" w:rsidRDefault="00887338">
            <w:r>
              <w:rPr>
                <w:sz w:val="18"/>
                <w:szCs w:val="18"/>
              </w:rPr>
              <w:t>Monthly Income EGP</w:t>
            </w:r>
          </w:p>
        </w:tc>
        <w:tc>
          <w:tcPr>
            <w:tcW w:w="0" w:type="auto"/>
            <w:tcMar>
              <w:top w:w="80" w:type="dxa"/>
              <w:left w:w="100" w:type="dxa"/>
              <w:bottom w:w="80" w:type="dxa"/>
              <w:right w:w="100" w:type="dxa"/>
            </w:tcMar>
          </w:tcPr>
          <w:p w14:paraId="3167E216" w14:textId="77777777" w:rsidR="007A1CFD" w:rsidRDefault="00887338">
            <w:r>
              <w:rPr>
                <w:sz w:val="18"/>
                <w:szCs w:val="18"/>
              </w:rPr>
              <w:t>Converts the annual GDP per capita value into a monthly metric.</w:t>
            </w:r>
          </w:p>
        </w:tc>
        <w:tc>
          <w:tcPr>
            <w:tcW w:w="0" w:type="auto"/>
            <w:tcMar>
              <w:top w:w="80" w:type="dxa"/>
              <w:left w:w="100" w:type="dxa"/>
              <w:bottom w:w="80" w:type="dxa"/>
              <w:right w:w="100" w:type="dxa"/>
            </w:tcMar>
          </w:tcPr>
          <w:p w14:paraId="795937E3" w14:textId="77777777" w:rsidR="007A1CFD" w:rsidRDefault="00887338">
            <w:r>
              <w:rPr>
                <w:sz w:val="18"/>
                <w:szCs w:val="18"/>
              </w:rPr>
              <w:t>DIVIDE(AVERAGE('income per capita'[Value]), 12, 0)</w:t>
            </w:r>
          </w:p>
        </w:tc>
      </w:tr>
    </w:tbl>
    <w:p w14:paraId="0658CF60" w14:textId="77777777" w:rsidR="00F12FA5" w:rsidRDefault="00F12FA5">
      <w:pPr>
        <w:spacing w:before="200" w:after="120"/>
        <w:rPr>
          <w:b/>
          <w:bCs/>
          <w:i/>
          <w:iCs/>
          <w:color w:val="595959"/>
        </w:rPr>
      </w:pPr>
    </w:p>
    <w:p w14:paraId="762A7A38" w14:textId="77777777" w:rsidR="00F12FA5" w:rsidRDefault="00F12FA5">
      <w:pPr>
        <w:spacing w:before="200" w:after="120"/>
        <w:rPr>
          <w:b/>
          <w:bCs/>
          <w:i/>
          <w:iCs/>
          <w:color w:val="595959"/>
        </w:rPr>
      </w:pPr>
    </w:p>
    <w:p w14:paraId="20CB13B4" w14:textId="18184562" w:rsidR="007A1CFD" w:rsidRDefault="00887338">
      <w:pPr>
        <w:spacing w:before="200" w:after="120"/>
      </w:pPr>
      <w:r>
        <w:rPr>
          <w:b/>
          <w:bCs/>
          <w:i/>
          <w:iCs/>
          <w:color w:val="595959"/>
        </w:rPr>
        <w:lastRenderedPageBreak/>
        <w:t>Table 6: Perspective Analytics Measures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0"/>
        <w:gridCol w:w="2054"/>
        <w:gridCol w:w="6572"/>
      </w:tblGrid>
      <w:tr w:rsidR="007A1CFD" w14:paraId="7BC513E0" w14:textId="77777777">
        <w:trPr>
          <w:tblHeader/>
        </w:trPr>
        <w:tc>
          <w:tcPr>
            <w:tcW w:w="0" w:type="dxa"/>
            <w:shd w:val="clear" w:color="auto" w:fill="1F3864"/>
            <w:tcMar>
              <w:top w:w="80" w:type="dxa"/>
              <w:left w:w="100" w:type="dxa"/>
              <w:bottom w:w="80" w:type="dxa"/>
              <w:right w:w="100" w:type="dxa"/>
            </w:tcMar>
            <w:vAlign w:val="center"/>
          </w:tcPr>
          <w:p w14:paraId="29BFAD58" w14:textId="77777777" w:rsidR="007A1CFD" w:rsidRDefault="00887338">
            <w:r>
              <w:rPr>
                <w:b/>
                <w:bCs/>
                <w:color w:val="FFFFFF"/>
                <w:sz w:val="19"/>
                <w:szCs w:val="19"/>
              </w:rPr>
              <w:t>Measure Name</w:t>
            </w:r>
          </w:p>
        </w:tc>
        <w:tc>
          <w:tcPr>
            <w:tcW w:w="0" w:type="dxa"/>
            <w:shd w:val="clear" w:color="auto" w:fill="1F3864"/>
            <w:tcMar>
              <w:top w:w="80" w:type="dxa"/>
              <w:left w:w="100" w:type="dxa"/>
              <w:bottom w:w="80" w:type="dxa"/>
              <w:right w:w="100" w:type="dxa"/>
            </w:tcMar>
            <w:vAlign w:val="center"/>
          </w:tcPr>
          <w:p w14:paraId="3969D15A" w14:textId="77777777" w:rsidR="007A1CFD" w:rsidRDefault="00887338">
            <w:r>
              <w:rPr>
                <w:b/>
                <w:bCs/>
                <w:color w:val="FFFFFF"/>
                <w:sz w:val="19"/>
                <w:szCs w:val="19"/>
              </w:rPr>
              <w:t>Business Logic / Explanation</w:t>
            </w:r>
          </w:p>
        </w:tc>
        <w:tc>
          <w:tcPr>
            <w:tcW w:w="0" w:type="dxa"/>
            <w:shd w:val="clear" w:color="auto" w:fill="1F3864"/>
            <w:tcMar>
              <w:top w:w="80" w:type="dxa"/>
              <w:left w:w="100" w:type="dxa"/>
              <w:bottom w:w="80" w:type="dxa"/>
              <w:right w:w="100" w:type="dxa"/>
            </w:tcMar>
            <w:vAlign w:val="center"/>
          </w:tcPr>
          <w:p w14:paraId="2B912F01" w14:textId="77777777" w:rsidR="007A1CFD" w:rsidRDefault="00887338">
            <w:r>
              <w:rPr>
                <w:b/>
                <w:bCs/>
                <w:color w:val="FFFFFF"/>
                <w:sz w:val="19"/>
                <w:szCs w:val="19"/>
              </w:rPr>
              <w:t>DAX Formula</w:t>
            </w:r>
          </w:p>
        </w:tc>
      </w:tr>
      <w:tr w:rsidR="007A1CFD" w14:paraId="0160E45E" w14:textId="77777777">
        <w:tc>
          <w:tcPr>
            <w:tcW w:w="0" w:type="auto"/>
            <w:tcMar>
              <w:top w:w="80" w:type="dxa"/>
              <w:left w:w="100" w:type="dxa"/>
              <w:bottom w:w="80" w:type="dxa"/>
              <w:right w:w="100" w:type="dxa"/>
            </w:tcMar>
          </w:tcPr>
          <w:p w14:paraId="52986266" w14:textId="77777777" w:rsidR="007A1CFD" w:rsidRDefault="00887338">
            <w:r>
              <w:rPr>
                <w:sz w:val="18"/>
                <w:szCs w:val="18"/>
              </w:rPr>
              <w:t>Max Category Spike %</w:t>
            </w:r>
          </w:p>
        </w:tc>
        <w:tc>
          <w:tcPr>
            <w:tcW w:w="0" w:type="auto"/>
            <w:tcMar>
              <w:top w:w="80" w:type="dxa"/>
              <w:left w:w="100" w:type="dxa"/>
              <w:bottom w:w="80" w:type="dxa"/>
              <w:right w:w="100" w:type="dxa"/>
            </w:tcMar>
          </w:tcPr>
          <w:p w14:paraId="3B03BDCB" w14:textId="77777777" w:rsidR="007A1CFD" w:rsidRDefault="00887338">
            <w:r>
              <w:rPr>
                <w:sz w:val="18"/>
                <w:szCs w:val="18"/>
              </w:rPr>
              <w:t>Identifies the absolute highest YoY price jump across all food categories.</w:t>
            </w:r>
          </w:p>
        </w:tc>
        <w:tc>
          <w:tcPr>
            <w:tcW w:w="0" w:type="auto"/>
            <w:tcMar>
              <w:top w:w="80" w:type="dxa"/>
              <w:left w:w="100" w:type="dxa"/>
              <w:bottom w:w="80" w:type="dxa"/>
              <w:right w:w="100" w:type="dxa"/>
            </w:tcMar>
          </w:tcPr>
          <w:p w14:paraId="1994ED50" w14:textId="77777777" w:rsidR="007A1CFD" w:rsidRDefault="00887338">
            <w:r>
              <w:rPr>
                <w:sz w:val="18"/>
                <w:szCs w:val="18"/>
              </w:rPr>
              <w:t>MAXX(VALUES('wfp_food_prices_egy'[category]), [Price YoY %])</w:t>
            </w:r>
          </w:p>
        </w:tc>
      </w:tr>
      <w:tr w:rsidR="007A1CFD" w14:paraId="5E5A186A" w14:textId="77777777">
        <w:tc>
          <w:tcPr>
            <w:tcW w:w="0" w:type="auto"/>
            <w:shd w:val="clear" w:color="auto" w:fill="F7F7F7"/>
            <w:tcMar>
              <w:top w:w="80" w:type="dxa"/>
              <w:left w:w="100" w:type="dxa"/>
              <w:bottom w:w="80" w:type="dxa"/>
              <w:right w:w="100" w:type="dxa"/>
            </w:tcMar>
          </w:tcPr>
          <w:p w14:paraId="7D259681" w14:textId="77777777" w:rsidR="007A1CFD" w:rsidRDefault="00887338">
            <w:r>
              <w:rPr>
                <w:sz w:val="18"/>
                <w:szCs w:val="18"/>
              </w:rPr>
              <w:t>Most Volatile Category</w:t>
            </w:r>
          </w:p>
        </w:tc>
        <w:tc>
          <w:tcPr>
            <w:tcW w:w="0" w:type="auto"/>
            <w:shd w:val="clear" w:color="auto" w:fill="F7F7F7"/>
            <w:tcMar>
              <w:top w:w="80" w:type="dxa"/>
              <w:left w:w="100" w:type="dxa"/>
              <w:bottom w:w="80" w:type="dxa"/>
              <w:right w:w="100" w:type="dxa"/>
            </w:tcMar>
          </w:tcPr>
          <w:p w14:paraId="260BC116" w14:textId="77777777" w:rsidR="007A1CFD" w:rsidRDefault="00887338">
            <w:r>
              <w:rPr>
                <w:sz w:val="18"/>
                <w:szCs w:val="18"/>
              </w:rPr>
              <w:t>Dynamically returns the name of the food category experiencing the highest price volatility.</w:t>
            </w:r>
          </w:p>
        </w:tc>
        <w:tc>
          <w:tcPr>
            <w:tcW w:w="0" w:type="auto"/>
            <w:shd w:val="clear" w:color="auto" w:fill="F7F7F7"/>
            <w:tcMar>
              <w:top w:w="80" w:type="dxa"/>
              <w:left w:w="100" w:type="dxa"/>
              <w:bottom w:w="80" w:type="dxa"/>
              <w:right w:w="100" w:type="dxa"/>
            </w:tcMar>
          </w:tcPr>
          <w:p w14:paraId="2BFB2F80" w14:textId="77777777" w:rsidR="007A1CFD" w:rsidRDefault="00887338">
            <w:r>
              <w:rPr>
                <w:sz w:val="18"/>
                <w:szCs w:val="18"/>
              </w:rPr>
              <w:t>CALCULATE(SELECTEDVALUE('wfp_food_prices_egy'[category]), TOPN(1, ALLSELECTED('wfp_food_prices_egy'[category]), [Price YoY %], DESC))</w:t>
            </w:r>
          </w:p>
        </w:tc>
      </w:tr>
      <w:tr w:rsidR="007A1CFD" w14:paraId="24C3D256" w14:textId="77777777">
        <w:tc>
          <w:tcPr>
            <w:tcW w:w="0" w:type="auto"/>
            <w:tcMar>
              <w:top w:w="80" w:type="dxa"/>
              <w:left w:w="100" w:type="dxa"/>
              <w:bottom w:w="80" w:type="dxa"/>
              <w:right w:w="100" w:type="dxa"/>
            </w:tcMar>
          </w:tcPr>
          <w:p w14:paraId="41678F52" w14:textId="77777777" w:rsidR="007A1CFD" w:rsidRDefault="00887338">
            <w:r>
              <w:rPr>
                <w:sz w:val="18"/>
                <w:szCs w:val="18"/>
              </w:rPr>
              <w:t>Risk Status</w:t>
            </w:r>
          </w:p>
        </w:tc>
        <w:tc>
          <w:tcPr>
            <w:tcW w:w="0" w:type="auto"/>
            <w:tcMar>
              <w:top w:w="80" w:type="dxa"/>
              <w:left w:w="100" w:type="dxa"/>
              <w:bottom w:w="80" w:type="dxa"/>
              <w:right w:w="100" w:type="dxa"/>
            </w:tcMar>
          </w:tcPr>
          <w:p w14:paraId="3CF21D72" w14:textId="77777777" w:rsidR="007A1CFD" w:rsidRDefault="00887338">
            <w:r>
              <w:rPr>
                <w:sz w:val="18"/>
                <w:szCs w:val="18"/>
              </w:rPr>
              <w:t>Categorizes commodity risk levels based on purchasing power drops.</w:t>
            </w:r>
          </w:p>
        </w:tc>
        <w:tc>
          <w:tcPr>
            <w:tcW w:w="0" w:type="auto"/>
            <w:tcMar>
              <w:top w:w="80" w:type="dxa"/>
              <w:left w:w="100" w:type="dxa"/>
              <w:bottom w:w="80" w:type="dxa"/>
              <w:right w:w="100" w:type="dxa"/>
            </w:tcMar>
          </w:tcPr>
          <w:p w14:paraId="2F608465" w14:textId="77777777" w:rsidR="007A1CFD" w:rsidRDefault="00887338">
            <w:r>
              <w:rPr>
                <w:sz w:val="18"/>
                <w:szCs w:val="18"/>
              </w:rPr>
              <w:t>SWITCH(TRUE(), [Affordability YoY %] &lt;= -0.20, "CRITICAL", [Affordability YoY %] &lt; 0, "WARNING", [Affordability YoY %] &gt;= 0, "STABLE", "No Data")</w:t>
            </w:r>
          </w:p>
        </w:tc>
      </w:tr>
      <w:tr w:rsidR="007A1CFD" w14:paraId="1FDF5C07" w14:textId="77777777">
        <w:tc>
          <w:tcPr>
            <w:tcW w:w="0" w:type="auto"/>
            <w:shd w:val="clear" w:color="auto" w:fill="F7F7F7"/>
            <w:tcMar>
              <w:top w:w="80" w:type="dxa"/>
              <w:left w:w="100" w:type="dxa"/>
              <w:bottom w:w="80" w:type="dxa"/>
              <w:right w:w="100" w:type="dxa"/>
            </w:tcMar>
          </w:tcPr>
          <w:p w14:paraId="0768F733" w14:textId="77777777" w:rsidR="007A1CFD" w:rsidRDefault="00887338">
            <w:r>
              <w:rPr>
                <w:sz w:val="18"/>
                <w:szCs w:val="18"/>
              </w:rPr>
              <w:t>Survival Basket Price Growth %</w:t>
            </w:r>
          </w:p>
        </w:tc>
        <w:tc>
          <w:tcPr>
            <w:tcW w:w="0" w:type="auto"/>
            <w:shd w:val="clear" w:color="auto" w:fill="F7F7F7"/>
            <w:tcMar>
              <w:top w:w="80" w:type="dxa"/>
              <w:left w:w="100" w:type="dxa"/>
              <w:bottom w:w="80" w:type="dxa"/>
              <w:right w:w="100" w:type="dxa"/>
            </w:tcMar>
          </w:tcPr>
          <w:p w14:paraId="60E01DB7" w14:textId="77777777" w:rsidR="007A1CFD" w:rsidRDefault="00887338">
            <w:r>
              <w:rPr>
                <w:sz w:val="18"/>
                <w:szCs w:val="18"/>
              </w:rPr>
              <w:t>Averages the YoY price growth for 5 critical survival items (Rice, Sugar, Wheat flour, Vegetable oil, Poultry).</w:t>
            </w:r>
          </w:p>
        </w:tc>
        <w:tc>
          <w:tcPr>
            <w:tcW w:w="0" w:type="auto"/>
            <w:shd w:val="clear" w:color="auto" w:fill="F7F7F7"/>
            <w:tcMar>
              <w:top w:w="80" w:type="dxa"/>
              <w:left w:w="100" w:type="dxa"/>
              <w:bottom w:w="80" w:type="dxa"/>
              <w:right w:w="100" w:type="dxa"/>
            </w:tcMar>
          </w:tcPr>
          <w:p w14:paraId="10E0EC8B" w14:textId="77777777" w:rsidR="007A1CFD" w:rsidRDefault="00887338">
            <w:r>
              <w:rPr>
                <w:sz w:val="18"/>
                <w:szCs w:val="18"/>
              </w:rPr>
              <w:t>CALCULATE(AVERAGEX(VALUES('wfp_food_prices_egy'[Product]), [Price YoY %]), 'wfp_food_prices_egy'[Product] IN {"Rice","Sugar","Wheat flour","Vegetable oil","Poultry"})</w:t>
            </w:r>
          </w:p>
        </w:tc>
      </w:tr>
    </w:tbl>
    <w:p w14:paraId="56DA2F9D" w14:textId="77777777" w:rsidR="007A1CFD" w:rsidRDefault="00887338">
      <w:pPr>
        <w:spacing w:before="200" w:after="120"/>
      </w:pPr>
      <w:r>
        <w:rPr>
          <w:b/>
          <w:bCs/>
          <w:i/>
          <w:iCs/>
          <w:color w:val="595959"/>
        </w:rPr>
        <w:t>Table 7: Scatter Plot &amp; UI Logic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
        <w:gridCol w:w="1696"/>
        <w:gridCol w:w="7067"/>
      </w:tblGrid>
      <w:tr w:rsidR="007A1CFD" w14:paraId="0970A37F" w14:textId="77777777">
        <w:trPr>
          <w:tblHeader/>
        </w:trPr>
        <w:tc>
          <w:tcPr>
            <w:tcW w:w="0" w:type="dxa"/>
            <w:shd w:val="clear" w:color="auto" w:fill="1F3864"/>
            <w:tcMar>
              <w:top w:w="80" w:type="dxa"/>
              <w:left w:w="100" w:type="dxa"/>
              <w:bottom w:w="80" w:type="dxa"/>
              <w:right w:w="100" w:type="dxa"/>
            </w:tcMar>
            <w:vAlign w:val="center"/>
          </w:tcPr>
          <w:p w14:paraId="0B618749" w14:textId="77777777" w:rsidR="007A1CFD" w:rsidRDefault="00887338">
            <w:r>
              <w:rPr>
                <w:b/>
                <w:bCs/>
                <w:color w:val="FFFFFF"/>
                <w:sz w:val="19"/>
                <w:szCs w:val="19"/>
              </w:rPr>
              <w:t>Measure Name</w:t>
            </w:r>
          </w:p>
        </w:tc>
        <w:tc>
          <w:tcPr>
            <w:tcW w:w="0" w:type="dxa"/>
            <w:shd w:val="clear" w:color="auto" w:fill="1F3864"/>
            <w:tcMar>
              <w:top w:w="80" w:type="dxa"/>
              <w:left w:w="100" w:type="dxa"/>
              <w:bottom w:w="80" w:type="dxa"/>
              <w:right w:w="100" w:type="dxa"/>
            </w:tcMar>
            <w:vAlign w:val="center"/>
          </w:tcPr>
          <w:p w14:paraId="378FA88D" w14:textId="77777777" w:rsidR="007A1CFD" w:rsidRDefault="00887338">
            <w:r>
              <w:rPr>
                <w:b/>
                <w:bCs/>
                <w:color w:val="FFFFFF"/>
                <w:sz w:val="19"/>
                <w:szCs w:val="19"/>
              </w:rPr>
              <w:t>Business Logic / Explanation</w:t>
            </w:r>
          </w:p>
        </w:tc>
        <w:tc>
          <w:tcPr>
            <w:tcW w:w="0" w:type="dxa"/>
            <w:shd w:val="clear" w:color="auto" w:fill="1F3864"/>
            <w:tcMar>
              <w:top w:w="80" w:type="dxa"/>
              <w:left w:w="100" w:type="dxa"/>
              <w:bottom w:w="80" w:type="dxa"/>
              <w:right w:w="100" w:type="dxa"/>
            </w:tcMar>
            <w:vAlign w:val="center"/>
          </w:tcPr>
          <w:p w14:paraId="1D42096F" w14:textId="77777777" w:rsidR="007A1CFD" w:rsidRDefault="00887338">
            <w:r>
              <w:rPr>
                <w:b/>
                <w:bCs/>
                <w:color w:val="FFFFFF"/>
                <w:sz w:val="19"/>
                <w:szCs w:val="19"/>
              </w:rPr>
              <w:t>DAX Formula</w:t>
            </w:r>
          </w:p>
        </w:tc>
      </w:tr>
      <w:tr w:rsidR="007A1CFD" w14:paraId="1C8CC1DE" w14:textId="77777777">
        <w:tc>
          <w:tcPr>
            <w:tcW w:w="0" w:type="auto"/>
            <w:tcMar>
              <w:top w:w="80" w:type="dxa"/>
              <w:left w:w="100" w:type="dxa"/>
              <w:bottom w:w="80" w:type="dxa"/>
              <w:right w:w="100" w:type="dxa"/>
            </w:tcMar>
          </w:tcPr>
          <w:p w14:paraId="413CED25" w14:textId="77777777" w:rsidR="007A1CFD" w:rsidRDefault="00887338">
            <w:r>
              <w:rPr>
                <w:sz w:val="18"/>
                <w:szCs w:val="18"/>
              </w:rPr>
              <w:t>Quadrant Line X</w:t>
            </w:r>
          </w:p>
        </w:tc>
        <w:tc>
          <w:tcPr>
            <w:tcW w:w="0" w:type="auto"/>
            <w:tcMar>
              <w:top w:w="80" w:type="dxa"/>
              <w:left w:w="100" w:type="dxa"/>
              <w:bottom w:w="80" w:type="dxa"/>
              <w:right w:w="100" w:type="dxa"/>
            </w:tcMar>
          </w:tcPr>
          <w:p w14:paraId="59626C26" w14:textId="77777777" w:rsidR="007A1CFD" w:rsidRDefault="00887338">
            <w:r>
              <w:rPr>
                <w:sz w:val="18"/>
                <w:szCs w:val="18"/>
              </w:rPr>
              <w:t>Calculates the dynamic average Price YoY % to form the center X-axis.</w:t>
            </w:r>
          </w:p>
        </w:tc>
        <w:tc>
          <w:tcPr>
            <w:tcW w:w="0" w:type="auto"/>
            <w:tcMar>
              <w:top w:w="80" w:type="dxa"/>
              <w:left w:w="100" w:type="dxa"/>
              <w:bottom w:w="80" w:type="dxa"/>
              <w:right w:w="100" w:type="dxa"/>
            </w:tcMar>
          </w:tcPr>
          <w:p w14:paraId="2FDBC120" w14:textId="77777777" w:rsidR="007A1CFD" w:rsidRDefault="00887338">
            <w:r>
              <w:rPr>
                <w:sz w:val="18"/>
                <w:szCs w:val="18"/>
              </w:rPr>
              <w:t>CALCULATE(AVERAGEX(VALUES('DIM_products'[Product]), [Price YoY %]), ALLSELECTED('DIM_products'[Product]))</w:t>
            </w:r>
          </w:p>
        </w:tc>
      </w:tr>
      <w:tr w:rsidR="007A1CFD" w14:paraId="0ED637E7" w14:textId="77777777">
        <w:tc>
          <w:tcPr>
            <w:tcW w:w="0" w:type="auto"/>
            <w:shd w:val="clear" w:color="auto" w:fill="F7F7F7"/>
            <w:tcMar>
              <w:top w:w="80" w:type="dxa"/>
              <w:left w:w="100" w:type="dxa"/>
              <w:bottom w:w="80" w:type="dxa"/>
              <w:right w:w="100" w:type="dxa"/>
            </w:tcMar>
          </w:tcPr>
          <w:p w14:paraId="5EF621EF" w14:textId="77777777" w:rsidR="007A1CFD" w:rsidRDefault="00887338">
            <w:r>
              <w:rPr>
                <w:sz w:val="18"/>
                <w:szCs w:val="18"/>
              </w:rPr>
              <w:t>Quadrant Line Y</w:t>
            </w:r>
          </w:p>
        </w:tc>
        <w:tc>
          <w:tcPr>
            <w:tcW w:w="0" w:type="auto"/>
            <w:shd w:val="clear" w:color="auto" w:fill="F7F7F7"/>
            <w:tcMar>
              <w:top w:w="80" w:type="dxa"/>
              <w:left w:w="100" w:type="dxa"/>
              <w:bottom w:w="80" w:type="dxa"/>
              <w:right w:w="100" w:type="dxa"/>
            </w:tcMar>
          </w:tcPr>
          <w:p w14:paraId="2380C82F" w14:textId="77777777" w:rsidR="007A1CFD" w:rsidRDefault="00887338">
            <w:r>
              <w:rPr>
                <w:sz w:val="18"/>
                <w:szCs w:val="18"/>
              </w:rPr>
              <w:t>Calculates the dynamic average Price Volatility % to form the center Y-axis.</w:t>
            </w:r>
          </w:p>
        </w:tc>
        <w:tc>
          <w:tcPr>
            <w:tcW w:w="0" w:type="auto"/>
            <w:shd w:val="clear" w:color="auto" w:fill="F7F7F7"/>
            <w:tcMar>
              <w:top w:w="80" w:type="dxa"/>
              <w:left w:w="100" w:type="dxa"/>
              <w:bottom w:w="80" w:type="dxa"/>
              <w:right w:w="100" w:type="dxa"/>
            </w:tcMar>
          </w:tcPr>
          <w:p w14:paraId="1E8C7E4E" w14:textId="77777777" w:rsidR="007A1CFD" w:rsidRDefault="00887338">
            <w:r>
              <w:rPr>
                <w:sz w:val="18"/>
                <w:szCs w:val="18"/>
              </w:rPr>
              <w:t>CALCULATE(AVERAGEX(VALUES('DIM_products'[Product]), [Price Volatility %]), ALLSELECTED('DIM_products'[Product]))</w:t>
            </w:r>
          </w:p>
        </w:tc>
      </w:tr>
      <w:tr w:rsidR="007A1CFD" w14:paraId="681D4AE1" w14:textId="77777777">
        <w:tc>
          <w:tcPr>
            <w:tcW w:w="0" w:type="auto"/>
            <w:tcMar>
              <w:top w:w="80" w:type="dxa"/>
              <w:left w:w="100" w:type="dxa"/>
              <w:bottom w:w="80" w:type="dxa"/>
              <w:right w:w="100" w:type="dxa"/>
            </w:tcMar>
          </w:tcPr>
          <w:p w14:paraId="4B2B49EC" w14:textId="77777777" w:rsidR="007A1CFD" w:rsidRDefault="00887338">
            <w:r>
              <w:rPr>
                <w:sz w:val="18"/>
                <w:szCs w:val="18"/>
              </w:rPr>
              <w:t>Scatter Color Code</w:t>
            </w:r>
          </w:p>
        </w:tc>
        <w:tc>
          <w:tcPr>
            <w:tcW w:w="0" w:type="auto"/>
            <w:tcMar>
              <w:top w:w="80" w:type="dxa"/>
              <w:left w:w="100" w:type="dxa"/>
              <w:bottom w:w="80" w:type="dxa"/>
              <w:right w:w="100" w:type="dxa"/>
            </w:tcMar>
          </w:tcPr>
          <w:p w14:paraId="56BFB4A1" w14:textId="77777777" w:rsidR="007A1CFD" w:rsidRDefault="00887338">
            <w:r>
              <w:rPr>
                <w:sz w:val="18"/>
                <w:szCs w:val="18"/>
              </w:rPr>
              <w:t>Dynamically assigns hex color codes to scatter plot dots based on quadrant position.</w:t>
            </w:r>
          </w:p>
        </w:tc>
        <w:tc>
          <w:tcPr>
            <w:tcW w:w="0" w:type="auto"/>
            <w:tcMar>
              <w:top w:w="80" w:type="dxa"/>
              <w:left w:w="100" w:type="dxa"/>
              <w:bottom w:w="80" w:type="dxa"/>
              <w:right w:w="100" w:type="dxa"/>
            </w:tcMar>
          </w:tcPr>
          <w:p w14:paraId="138172C9" w14:textId="77777777" w:rsidR="007A1CFD" w:rsidRDefault="00887338">
            <w:r>
              <w:rPr>
                <w:sz w:val="18"/>
                <w:szCs w:val="18"/>
              </w:rPr>
              <w:t>VAR CurrentX=[Price YoY %] VAR CurrentY=[Price Volatility %] VAR CenterX=[Quadrant Line X] VAR CenterY=[Quadrant Line Y] RETURN IF(ISBLANK(CurrentX)||ISBLANK(CurrentY), BLANK(), IF(CurrentX&gt;=CenterX &amp;&amp; CurrentY&gt;=CenterY, "#D32F2F", IF(CurrentX&lt;CenterX &amp;&amp; CurrentY&lt;CenterY, "#2E75B6", "#838383")))</w:t>
            </w:r>
          </w:p>
        </w:tc>
      </w:tr>
    </w:tbl>
    <w:p w14:paraId="46CE8CFA" w14:textId="77777777" w:rsidR="007A1CFD" w:rsidRDefault="00887338">
      <w:pPr>
        <w:spacing w:before="200" w:after="120"/>
      </w:pPr>
      <w:r>
        <w:rPr>
          <w:b/>
          <w:bCs/>
          <w:i/>
          <w:iCs/>
          <w:color w:val="595959"/>
        </w:rPr>
        <w:t>Table 8: Macro Trade Reality Measures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2637"/>
        <w:gridCol w:w="5830"/>
      </w:tblGrid>
      <w:tr w:rsidR="007A1CFD" w14:paraId="62DE68B0" w14:textId="77777777">
        <w:trPr>
          <w:tblHeader/>
        </w:trPr>
        <w:tc>
          <w:tcPr>
            <w:tcW w:w="0" w:type="dxa"/>
            <w:shd w:val="clear" w:color="auto" w:fill="1F3864"/>
            <w:tcMar>
              <w:top w:w="80" w:type="dxa"/>
              <w:left w:w="100" w:type="dxa"/>
              <w:bottom w:w="80" w:type="dxa"/>
              <w:right w:w="100" w:type="dxa"/>
            </w:tcMar>
            <w:vAlign w:val="center"/>
          </w:tcPr>
          <w:p w14:paraId="7D033A98" w14:textId="77777777" w:rsidR="007A1CFD" w:rsidRDefault="00887338">
            <w:r>
              <w:rPr>
                <w:b/>
                <w:bCs/>
                <w:color w:val="FFFFFF"/>
                <w:sz w:val="19"/>
                <w:szCs w:val="19"/>
              </w:rPr>
              <w:t>Measure Name</w:t>
            </w:r>
          </w:p>
        </w:tc>
        <w:tc>
          <w:tcPr>
            <w:tcW w:w="0" w:type="dxa"/>
            <w:shd w:val="clear" w:color="auto" w:fill="1F3864"/>
            <w:tcMar>
              <w:top w:w="80" w:type="dxa"/>
              <w:left w:w="100" w:type="dxa"/>
              <w:bottom w:w="80" w:type="dxa"/>
              <w:right w:w="100" w:type="dxa"/>
            </w:tcMar>
            <w:vAlign w:val="center"/>
          </w:tcPr>
          <w:p w14:paraId="7FEBC902" w14:textId="77777777" w:rsidR="007A1CFD" w:rsidRDefault="00887338">
            <w:r>
              <w:rPr>
                <w:b/>
                <w:bCs/>
                <w:color w:val="FFFFFF"/>
                <w:sz w:val="19"/>
                <w:szCs w:val="19"/>
              </w:rPr>
              <w:t>Business Logic / Explanation</w:t>
            </w:r>
          </w:p>
        </w:tc>
        <w:tc>
          <w:tcPr>
            <w:tcW w:w="0" w:type="dxa"/>
            <w:shd w:val="clear" w:color="auto" w:fill="1F3864"/>
            <w:tcMar>
              <w:top w:w="80" w:type="dxa"/>
              <w:left w:w="100" w:type="dxa"/>
              <w:bottom w:w="80" w:type="dxa"/>
              <w:right w:w="100" w:type="dxa"/>
            </w:tcMar>
            <w:vAlign w:val="center"/>
          </w:tcPr>
          <w:p w14:paraId="138B523B" w14:textId="77777777" w:rsidR="007A1CFD" w:rsidRDefault="00887338">
            <w:r>
              <w:rPr>
                <w:b/>
                <w:bCs/>
                <w:color w:val="FFFFFF"/>
                <w:sz w:val="19"/>
                <w:szCs w:val="19"/>
              </w:rPr>
              <w:t>DAX Formula</w:t>
            </w:r>
          </w:p>
        </w:tc>
      </w:tr>
      <w:tr w:rsidR="007A1CFD" w14:paraId="0B7F7957" w14:textId="77777777">
        <w:tc>
          <w:tcPr>
            <w:tcW w:w="0" w:type="auto"/>
            <w:tcMar>
              <w:top w:w="80" w:type="dxa"/>
              <w:left w:w="100" w:type="dxa"/>
              <w:bottom w:w="80" w:type="dxa"/>
              <w:right w:w="100" w:type="dxa"/>
            </w:tcMar>
          </w:tcPr>
          <w:p w14:paraId="09631E2E" w14:textId="77777777" w:rsidR="007A1CFD" w:rsidRDefault="00887338">
            <w:r>
              <w:rPr>
                <w:sz w:val="18"/>
                <w:szCs w:val="18"/>
              </w:rPr>
              <w:t>Global Cost Per Ton (USD)</w:t>
            </w:r>
          </w:p>
        </w:tc>
        <w:tc>
          <w:tcPr>
            <w:tcW w:w="0" w:type="auto"/>
            <w:tcMar>
              <w:top w:w="80" w:type="dxa"/>
              <w:left w:w="100" w:type="dxa"/>
              <w:bottom w:w="80" w:type="dxa"/>
              <w:right w:w="100" w:type="dxa"/>
            </w:tcMar>
          </w:tcPr>
          <w:p w14:paraId="3A896FF3" w14:textId="77777777" w:rsidR="007A1CFD" w:rsidRDefault="00887338">
            <w:r>
              <w:rPr>
                <w:sz w:val="18"/>
                <w:szCs w:val="18"/>
              </w:rPr>
              <w:t>Calculates the actual USD cost per metric ton of imported goods.</w:t>
            </w:r>
          </w:p>
        </w:tc>
        <w:tc>
          <w:tcPr>
            <w:tcW w:w="0" w:type="auto"/>
            <w:tcMar>
              <w:top w:w="80" w:type="dxa"/>
              <w:left w:w="100" w:type="dxa"/>
              <w:bottom w:w="80" w:type="dxa"/>
              <w:right w:w="100" w:type="dxa"/>
            </w:tcMar>
          </w:tcPr>
          <w:p w14:paraId="4598A1AE" w14:textId="77777777" w:rsidR="007A1CFD" w:rsidRDefault="00887338">
            <w:r>
              <w:rPr>
                <w:sz w:val="18"/>
                <w:szCs w:val="18"/>
              </w:rPr>
              <w:t>DIVIDE([Import Value (USD)], [Import Volume (MT)], 0)</w:t>
            </w:r>
          </w:p>
        </w:tc>
      </w:tr>
      <w:tr w:rsidR="007A1CFD" w14:paraId="0F50BD97" w14:textId="77777777">
        <w:tc>
          <w:tcPr>
            <w:tcW w:w="0" w:type="auto"/>
            <w:shd w:val="clear" w:color="auto" w:fill="F7F7F7"/>
            <w:tcMar>
              <w:top w:w="80" w:type="dxa"/>
              <w:left w:w="100" w:type="dxa"/>
              <w:bottom w:w="80" w:type="dxa"/>
              <w:right w:w="100" w:type="dxa"/>
            </w:tcMar>
          </w:tcPr>
          <w:p w14:paraId="345EAC03" w14:textId="77777777" w:rsidR="007A1CFD" w:rsidRDefault="00887338">
            <w:r>
              <w:rPr>
                <w:sz w:val="18"/>
                <w:szCs w:val="18"/>
              </w:rPr>
              <w:t>Highest Risk Partner</w:t>
            </w:r>
          </w:p>
        </w:tc>
        <w:tc>
          <w:tcPr>
            <w:tcW w:w="0" w:type="auto"/>
            <w:shd w:val="clear" w:color="auto" w:fill="F7F7F7"/>
            <w:tcMar>
              <w:top w:w="80" w:type="dxa"/>
              <w:left w:w="100" w:type="dxa"/>
              <w:bottom w:w="80" w:type="dxa"/>
              <w:right w:w="100" w:type="dxa"/>
            </w:tcMar>
          </w:tcPr>
          <w:p w14:paraId="2EF9CBC7" w14:textId="77777777" w:rsidR="007A1CFD" w:rsidRDefault="00887338">
            <w:r>
              <w:rPr>
                <w:sz w:val="18"/>
                <w:szCs w:val="18"/>
              </w:rPr>
              <w:t>Identifies the sovereign trade partner supplying the maximum import volume.</w:t>
            </w:r>
          </w:p>
        </w:tc>
        <w:tc>
          <w:tcPr>
            <w:tcW w:w="0" w:type="auto"/>
            <w:shd w:val="clear" w:color="auto" w:fill="F7F7F7"/>
            <w:tcMar>
              <w:top w:w="80" w:type="dxa"/>
              <w:left w:w="100" w:type="dxa"/>
              <w:bottom w:w="80" w:type="dxa"/>
              <w:right w:w="100" w:type="dxa"/>
            </w:tcMar>
          </w:tcPr>
          <w:p w14:paraId="400B5F38" w14:textId="77777777" w:rsidR="007A1CFD" w:rsidRDefault="00887338">
            <w:r>
              <w:rPr>
                <w:sz w:val="18"/>
                <w:szCs w:val="18"/>
              </w:rPr>
              <w:t>CALCULATE(MAX('TradeData'[partnerDesc]), TOPN(1, ALLSELECTED('TradeData'[partnerDesc]), CALCULATE(SUM('TradeData'[qty])), DESC))</w:t>
            </w:r>
          </w:p>
        </w:tc>
      </w:tr>
      <w:tr w:rsidR="007A1CFD" w14:paraId="06338D5C" w14:textId="77777777">
        <w:tc>
          <w:tcPr>
            <w:tcW w:w="0" w:type="auto"/>
            <w:tcMar>
              <w:top w:w="80" w:type="dxa"/>
              <w:left w:w="100" w:type="dxa"/>
              <w:bottom w:w="80" w:type="dxa"/>
              <w:right w:w="100" w:type="dxa"/>
            </w:tcMar>
          </w:tcPr>
          <w:p w14:paraId="2785FFF5" w14:textId="77777777" w:rsidR="007A1CFD" w:rsidRDefault="00887338">
            <w:r>
              <w:rPr>
                <w:sz w:val="18"/>
                <w:szCs w:val="18"/>
              </w:rPr>
              <w:t>Import Value (USD)</w:t>
            </w:r>
          </w:p>
        </w:tc>
        <w:tc>
          <w:tcPr>
            <w:tcW w:w="0" w:type="auto"/>
            <w:tcMar>
              <w:top w:w="80" w:type="dxa"/>
              <w:left w:w="100" w:type="dxa"/>
              <w:bottom w:w="80" w:type="dxa"/>
              <w:right w:w="100" w:type="dxa"/>
            </w:tcMar>
          </w:tcPr>
          <w:p w14:paraId="5AB91306" w14:textId="77777777" w:rsidR="007A1CFD" w:rsidRDefault="00887338">
            <w:r>
              <w:rPr>
                <w:sz w:val="18"/>
                <w:szCs w:val="18"/>
              </w:rPr>
              <w:t>Sums the total USD value of international trade imports.</w:t>
            </w:r>
          </w:p>
        </w:tc>
        <w:tc>
          <w:tcPr>
            <w:tcW w:w="0" w:type="auto"/>
            <w:tcMar>
              <w:top w:w="80" w:type="dxa"/>
              <w:left w:w="100" w:type="dxa"/>
              <w:bottom w:w="80" w:type="dxa"/>
              <w:right w:w="100" w:type="dxa"/>
            </w:tcMar>
          </w:tcPr>
          <w:p w14:paraId="091BAFCA" w14:textId="77777777" w:rsidR="007A1CFD" w:rsidRDefault="00887338">
            <w:r>
              <w:rPr>
                <w:sz w:val="18"/>
                <w:szCs w:val="18"/>
              </w:rPr>
              <w:t>SUMX(TradeData,TradeData[primaryValue])</w:t>
            </w:r>
          </w:p>
        </w:tc>
      </w:tr>
      <w:tr w:rsidR="007A1CFD" w14:paraId="7BBFEBAD" w14:textId="77777777">
        <w:tc>
          <w:tcPr>
            <w:tcW w:w="0" w:type="auto"/>
            <w:shd w:val="clear" w:color="auto" w:fill="F7F7F7"/>
            <w:tcMar>
              <w:top w:w="80" w:type="dxa"/>
              <w:left w:w="100" w:type="dxa"/>
              <w:bottom w:w="80" w:type="dxa"/>
              <w:right w:w="100" w:type="dxa"/>
            </w:tcMar>
          </w:tcPr>
          <w:p w14:paraId="02C2C603" w14:textId="77777777" w:rsidR="007A1CFD" w:rsidRDefault="00887338">
            <w:r>
              <w:rPr>
                <w:sz w:val="18"/>
                <w:szCs w:val="18"/>
              </w:rPr>
              <w:t>Import Volume (MT)</w:t>
            </w:r>
          </w:p>
        </w:tc>
        <w:tc>
          <w:tcPr>
            <w:tcW w:w="0" w:type="auto"/>
            <w:shd w:val="clear" w:color="auto" w:fill="F7F7F7"/>
            <w:tcMar>
              <w:top w:w="80" w:type="dxa"/>
              <w:left w:w="100" w:type="dxa"/>
              <w:bottom w:w="80" w:type="dxa"/>
              <w:right w:w="100" w:type="dxa"/>
            </w:tcMar>
          </w:tcPr>
          <w:p w14:paraId="05330E6D" w14:textId="77777777" w:rsidR="007A1CFD" w:rsidRDefault="00887338">
            <w:r>
              <w:rPr>
                <w:sz w:val="18"/>
                <w:szCs w:val="18"/>
              </w:rPr>
              <w:t>Sums the total metric ton quantity of imports.</w:t>
            </w:r>
          </w:p>
        </w:tc>
        <w:tc>
          <w:tcPr>
            <w:tcW w:w="0" w:type="auto"/>
            <w:shd w:val="clear" w:color="auto" w:fill="F7F7F7"/>
            <w:tcMar>
              <w:top w:w="80" w:type="dxa"/>
              <w:left w:w="100" w:type="dxa"/>
              <w:bottom w:w="80" w:type="dxa"/>
              <w:right w:w="100" w:type="dxa"/>
            </w:tcMar>
          </w:tcPr>
          <w:p w14:paraId="12BD1AF5" w14:textId="77777777" w:rsidR="007A1CFD" w:rsidRDefault="00887338">
            <w:r>
              <w:rPr>
                <w:sz w:val="18"/>
                <w:szCs w:val="18"/>
              </w:rPr>
              <w:t>SUMX(TradeData,TradeData[qty])</w:t>
            </w:r>
          </w:p>
        </w:tc>
      </w:tr>
      <w:tr w:rsidR="007A1CFD" w14:paraId="16D03839" w14:textId="77777777">
        <w:tc>
          <w:tcPr>
            <w:tcW w:w="0" w:type="auto"/>
            <w:tcMar>
              <w:top w:w="80" w:type="dxa"/>
              <w:left w:w="100" w:type="dxa"/>
              <w:bottom w:w="80" w:type="dxa"/>
              <w:right w:w="100" w:type="dxa"/>
            </w:tcMar>
          </w:tcPr>
          <w:p w14:paraId="0CC15622" w14:textId="77777777" w:rsidR="007A1CFD" w:rsidRDefault="00887338">
            <w:r>
              <w:rPr>
                <w:sz w:val="18"/>
                <w:szCs w:val="18"/>
              </w:rPr>
              <w:t>Total Import Cost (EGP)</w:t>
            </w:r>
          </w:p>
        </w:tc>
        <w:tc>
          <w:tcPr>
            <w:tcW w:w="0" w:type="auto"/>
            <w:tcMar>
              <w:top w:w="80" w:type="dxa"/>
              <w:left w:w="100" w:type="dxa"/>
              <w:bottom w:w="80" w:type="dxa"/>
              <w:right w:w="100" w:type="dxa"/>
            </w:tcMar>
          </w:tcPr>
          <w:p w14:paraId="7011FF09" w14:textId="77777777" w:rsidR="007A1CFD" w:rsidRDefault="00887338">
            <w:r>
              <w:rPr>
                <w:sz w:val="18"/>
                <w:szCs w:val="18"/>
              </w:rPr>
              <w:t>Converts the global USD import value into local currency based on the exchange rate.</w:t>
            </w:r>
          </w:p>
        </w:tc>
        <w:tc>
          <w:tcPr>
            <w:tcW w:w="0" w:type="auto"/>
            <w:tcMar>
              <w:top w:w="80" w:type="dxa"/>
              <w:left w:w="100" w:type="dxa"/>
              <w:bottom w:w="80" w:type="dxa"/>
              <w:right w:w="100" w:type="dxa"/>
            </w:tcMar>
          </w:tcPr>
          <w:p w14:paraId="7D71EE4F" w14:textId="77777777" w:rsidR="007A1CFD" w:rsidRDefault="00887338">
            <w:r>
              <w:rPr>
                <w:sz w:val="18"/>
                <w:szCs w:val="18"/>
              </w:rPr>
              <w:t>[Import Value (USD)] * [Avg Exchange Rate]</w:t>
            </w:r>
          </w:p>
        </w:tc>
      </w:tr>
    </w:tbl>
    <w:p w14:paraId="4D09AF5C" w14:textId="77777777" w:rsidR="007A1CFD" w:rsidRDefault="00887338">
      <w:pPr>
        <w:spacing w:before="200" w:after="120"/>
      </w:pPr>
      <w:r>
        <w:rPr>
          <w:b/>
          <w:bCs/>
          <w:i/>
          <w:iCs/>
          <w:color w:val="595959"/>
        </w:rPr>
        <w:lastRenderedPageBreak/>
        <w:t>Table 9: Time Intelligence Measures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1949"/>
        <w:gridCol w:w="6469"/>
      </w:tblGrid>
      <w:tr w:rsidR="007A1CFD" w14:paraId="590F800D" w14:textId="77777777">
        <w:trPr>
          <w:tblHeader/>
        </w:trPr>
        <w:tc>
          <w:tcPr>
            <w:tcW w:w="0" w:type="dxa"/>
            <w:shd w:val="clear" w:color="auto" w:fill="1F3864"/>
            <w:tcMar>
              <w:top w:w="80" w:type="dxa"/>
              <w:left w:w="100" w:type="dxa"/>
              <w:bottom w:w="80" w:type="dxa"/>
              <w:right w:w="100" w:type="dxa"/>
            </w:tcMar>
            <w:vAlign w:val="center"/>
          </w:tcPr>
          <w:p w14:paraId="07992F4C" w14:textId="77777777" w:rsidR="007A1CFD" w:rsidRDefault="00887338">
            <w:r>
              <w:rPr>
                <w:b/>
                <w:bCs/>
                <w:color w:val="FFFFFF"/>
                <w:sz w:val="19"/>
                <w:szCs w:val="19"/>
              </w:rPr>
              <w:t>Measure Name</w:t>
            </w:r>
          </w:p>
        </w:tc>
        <w:tc>
          <w:tcPr>
            <w:tcW w:w="0" w:type="dxa"/>
            <w:shd w:val="clear" w:color="auto" w:fill="1F3864"/>
            <w:tcMar>
              <w:top w:w="80" w:type="dxa"/>
              <w:left w:w="100" w:type="dxa"/>
              <w:bottom w:w="80" w:type="dxa"/>
              <w:right w:w="100" w:type="dxa"/>
            </w:tcMar>
            <w:vAlign w:val="center"/>
          </w:tcPr>
          <w:p w14:paraId="1AB8260B" w14:textId="77777777" w:rsidR="007A1CFD" w:rsidRDefault="00887338">
            <w:r>
              <w:rPr>
                <w:b/>
                <w:bCs/>
                <w:color w:val="FFFFFF"/>
                <w:sz w:val="19"/>
                <w:szCs w:val="19"/>
              </w:rPr>
              <w:t>Business Logic / Explanation</w:t>
            </w:r>
          </w:p>
        </w:tc>
        <w:tc>
          <w:tcPr>
            <w:tcW w:w="0" w:type="dxa"/>
            <w:shd w:val="clear" w:color="auto" w:fill="1F3864"/>
            <w:tcMar>
              <w:top w:w="80" w:type="dxa"/>
              <w:left w:w="100" w:type="dxa"/>
              <w:bottom w:w="80" w:type="dxa"/>
              <w:right w:w="100" w:type="dxa"/>
            </w:tcMar>
            <w:vAlign w:val="center"/>
          </w:tcPr>
          <w:p w14:paraId="259826A6" w14:textId="77777777" w:rsidR="007A1CFD" w:rsidRDefault="00887338">
            <w:r>
              <w:rPr>
                <w:b/>
                <w:bCs/>
                <w:color w:val="FFFFFF"/>
                <w:sz w:val="19"/>
                <w:szCs w:val="19"/>
              </w:rPr>
              <w:t>DAX Formula</w:t>
            </w:r>
          </w:p>
        </w:tc>
      </w:tr>
      <w:tr w:rsidR="007A1CFD" w14:paraId="590E7C0E" w14:textId="77777777">
        <w:tc>
          <w:tcPr>
            <w:tcW w:w="0" w:type="auto"/>
            <w:tcMar>
              <w:top w:w="80" w:type="dxa"/>
              <w:left w:w="100" w:type="dxa"/>
              <w:bottom w:w="80" w:type="dxa"/>
              <w:right w:w="100" w:type="dxa"/>
            </w:tcMar>
          </w:tcPr>
          <w:p w14:paraId="42B05315" w14:textId="77777777" w:rsidR="007A1CFD" w:rsidRDefault="00887338">
            <w:r>
              <w:rPr>
                <w:sz w:val="18"/>
                <w:szCs w:val="18"/>
              </w:rPr>
              <w:t>Critical Commodities Count</w:t>
            </w:r>
          </w:p>
        </w:tc>
        <w:tc>
          <w:tcPr>
            <w:tcW w:w="0" w:type="auto"/>
            <w:tcMar>
              <w:top w:w="80" w:type="dxa"/>
              <w:left w:w="100" w:type="dxa"/>
              <w:bottom w:w="80" w:type="dxa"/>
              <w:right w:w="100" w:type="dxa"/>
            </w:tcMar>
          </w:tcPr>
          <w:p w14:paraId="017016BD" w14:textId="77777777" w:rsidR="007A1CFD" w:rsidRDefault="00887338">
            <w:r>
              <w:rPr>
                <w:sz w:val="18"/>
                <w:szCs w:val="18"/>
              </w:rPr>
              <w:t>Counts the distinct number of products that have hit a &gt;20% loss in affordability.</w:t>
            </w:r>
          </w:p>
        </w:tc>
        <w:tc>
          <w:tcPr>
            <w:tcW w:w="0" w:type="auto"/>
            <w:tcMar>
              <w:top w:w="80" w:type="dxa"/>
              <w:left w:w="100" w:type="dxa"/>
              <w:bottom w:w="80" w:type="dxa"/>
              <w:right w:w="100" w:type="dxa"/>
            </w:tcMar>
          </w:tcPr>
          <w:p w14:paraId="4424F66D" w14:textId="77777777" w:rsidR="007A1CFD" w:rsidRDefault="00887338">
            <w:r>
              <w:rPr>
                <w:sz w:val="18"/>
                <w:szCs w:val="18"/>
              </w:rPr>
              <w:t>COUNTROWS(FILTER(VALUES('wfp_food_prices_egy'[Product]), [Affordability YoY %] &lt;= -0.20))</w:t>
            </w:r>
          </w:p>
        </w:tc>
      </w:tr>
      <w:tr w:rsidR="007A1CFD" w14:paraId="0CF6988E" w14:textId="77777777">
        <w:tc>
          <w:tcPr>
            <w:tcW w:w="0" w:type="auto"/>
            <w:shd w:val="clear" w:color="auto" w:fill="F7F7F7"/>
            <w:tcMar>
              <w:top w:w="80" w:type="dxa"/>
              <w:left w:w="100" w:type="dxa"/>
              <w:bottom w:w="80" w:type="dxa"/>
              <w:right w:w="100" w:type="dxa"/>
            </w:tcMar>
          </w:tcPr>
          <w:p w14:paraId="1BB9FCD4" w14:textId="77777777" w:rsidR="007A1CFD" w:rsidRDefault="00887338">
            <w:r>
              <w:rPr>
                <w:sz w:val="18"/>
                <w:szCs w:val="18"/>
              </w:rPr>
              <w:t>FX Devaluation YoY %</w:t>
            </w:r>
          </w:p>
        </w:tc>
        <w:tc>
          <w:tcPr>
            <w:tcW w:w="0" w:type="auto"/>
            <w:shd w:val="clear" w:color="auto" w:fill="F7F7F7"/>
            <w:tcMar>
              <w:top w:w="80" w:type="dxa"/>
              <w:left w:w="100" w:type="dxa"/>
              <w:bottom w:w="80" w:type="dxa"/>
              <w:right w:w="100" w:type="dxa"/>
            </w:tcMar>
          </w:tcPr>
          <w:p w14:paraId="49251F64" w14:textId="77777777" w:rsidR="007A1CFD" w:rsidRDefault="00887338">
            <w:r>
              <w:rPr>
                <w:sz w:val="18"/>
                <w:szCs w:val="18"/>
              </w:rPr>
              <w:t>Calculates the year-over-year percentage collapse of the Egyptian Pound against the USD.</w:t>
            </w:r>
          </w:p>
        </w:tc>
        <w:tc>
          <w:tcPr>
            <w:tcW w:w="0" w:type="auto"/>
            <w:shd w:val="clear" w:color="auto" w:fill="F7F7F7"/>
            <w:tcMar>
              <w:top w:w="80" w:type="dxa"/>
              <w:left w:w="100" w:type="dxa"/>
              <w:bottom w:w="80" w:type="dxa"/>
              <w:right w:w="100" w:type="dxa"/>
            </w:tcMar>
          </w:tcPr>
          <w:p w14:paraId="30321905" w14:textId="77777777" w:rsidR="007A1CFD" w:rsidRDefault="00887338">
            <w:r>
              <w:rPr>
                <w:sz w:val="18"/>
                <w:szCs w:val="18"/>
              </w:rPr>
              <w:t>VAR RatePY = CALCULATE([Avg Exchange Rate], PREVIOUSYEAR('Master Calendar'[date])) RETURN DIVIDE([Avg Exchange Rate] - RatePY, RatePY, 0)</w:t>
            </w:r>
          </w:p>
        </w:tc>
      </w:tr>
      <w:tr w:rsidR="007A1CFD" w14:paraId="3BAC0FBE" w14:textId="77777777">
        <w:tc>
          <w:tcPr>
            <w:tcW w:w="0" w:type="auto"/>
            <w:tcMar>
              <w:top w:w="80" w:type="dxa"/>
              <w:left w:w="100" w:type="dxa"/>
              <w:bottom w:w="80" w:type="dxa"/>
              <w:right w:w="100" w:type="dxa"/>
            </w:tcMar>
          </w:tcPr>
          <w:p w14:paraId="6B473ADA" w14:textId="77777777" w:rsidR="007A1CFD" w:rsidRDefault="00887338">
            <w:r>
              <w:rPr>
                <w:sz w:val="18"/>
                <w:szCs w:val="18"/>
              </w:rPr>
              <w:t>Max FX Devaluation</w:t>
            </w:r>
          </w:p>
        </w:tc>
        <w:tc>
          <w:tcPr>
            <w:tcW w:w="0" w:type="auto"/>
            <w:tcMar>
              <w:top w:w="80" w:type="dxa"/>
              <w:left w:w="100" w:type="dxa"/>
              <w:bottom w:w="80" w:type="dxa"/>
              <w:right w:w="100" w:type="dxa"/>
            </w:tcMar>
          </w:tcPr>
          <w:p w14:paraId="26A9B109" w14:textId="77777777" w:rsidR="007A1CFD" w:rsidRDefault="00887338">
            <w:r>
              <w:rPr>
                <w:sz w:val="18"/>
                <w:szCs w:val="18"/>
              </w:rPr>
              <w:t>Finds the absolute maximum YoY devaluation rate across the timeline.</w:t>
            </w:r>
          </w:p>
        </w:tc>
        <w:tc>
          <w:tcPr>
            <w:tcW w:w="0" w:type="auto"/>
            <w:tcMar>
              <w:top w:w="80" w:type="dxa"/>
              <w:left w:w="100" w:type="dxa"/>
              <w:bottom w:w="80" w:type="dxa"/>
              <w:right w:w="100" w:type="dxa"/>
            </w:tcMar>
          </w:tcPr>
          <w:p w14:paraId="56F97937" w14:textId="77777777" w:rsidR="007A1CFD" w:rsidRDefault="00887338">
            <w:r>
              <w:rPr>
                <w:sz w:val="18"/>
                <w:szCs w:val="18"/>
              </w:rPr>
              <w:t>MAXX(ALL('Master Calendar'[Year]), [FX Devaluation YoY %])</w:t>
            </w:r>
          </w:p>
        </w:tc>
      </w:tr>
      <w:tr w:rsidR="007A1CFD" w14:paraId="46B41389" w14:textId="77777777">
        <w:tc>
          <w:tcPr>
            <w:tcW w:w="0" w:type="auto"/>
            <w:shd w:val="clear" w:color="auto" w:fill="F7F7F7"/>
            <w:tcMar>
              <w:top w:w="80" w:type="dxa"/>
              <w:left w:w="100" w:type="dxa"/>
              <w:bottom w:w="80" w:type="dxa"/>
              <w:right w:w="100" w:type="dxa"/>
            </w:tcMar>
          </w:tcPr>
          <w:p w14:paraId="52E4C0EB" w14:textId="77777777" w:rsidR="007A1CFD" w:rsidRDefault="00887338">
            <w:r>
              <w:rPr>
                <w:sz w:val="18"/>
                <w:szCs w:val="18"/>
              </w:rPr>
              <w:t>Price PY</w:t>
            </w:r>
          </w:p>
        </w:tc>
        <w:tc>
          <w:tcPr>
            <w:tcW w:w="0" w:type="auto"/>
            <w:shd w:val="clear" w:color="auto" w:fill="F7F7F7"/>
            <w:tcMar>
              <w:top w:w="80" w:type="dxa"/>
              <w:left w:w="100" w:type="dxa"/>
              <w:bottom w:w="80" w:type="dxa"/>
              <w:right w:w="100" w:type="dxa"/>
            </w:tcMar>
          </w:tcPr>
          <w:p w14:paraId="2CC9C97E" w14:textId="77777777" w:rsidR="007A1CFD" w:rsidRDefault="00887338">
            <w:r>
              <w:rPr>
                <w:sz w:val="18"/>
                <w:szCs w:val="18"/>
              </w:rPr>
              <w:t>Calculates the average local price of commodities in the previous year.</w:t>
            </w:r>
          </w:p>
        </w:tc>
        <w:tc>
          <w:tcPr>
            <w:tcW w:w="0" w:type="auto"/>
            <w:shd w:val="clear" w:color="auto" w:fill="F7F7F7"/>
            <w:tcMar>
              <w:top w:w="80" w:type="dxa"/>
              <w:left w:w="100" w:type="dxa"/>
              <w:bottom w:w="80" w:type="dxa"/>
              <w:right w:w="100" w:type="dxa"/>
            </w:tcMar>
          </w:tcPr>
          <w:p w14:paraId="5443C39C" w14:textId="77777777" w:rsidR="007A1CFD" w:rsidRDefault="00887338">
            <w:r>
              <w:rPr>
                <w:sz w:val="18"/>
                <w:szCs w:val="18"/>
              </w:rPr>
              <w:t>CALCULATE([Avg Local Price], PREVIOUSYEAR('Master Calendar'[Date]))</w:t>
            </w:r>
          </w:p>
        </w:tc>
      </w:tr>
      <w:tr w:rsidR="007A1CFD" w14:paraId="3939069C" w14:textId="77777777">
        <w:tc>
          <w:tcPr>
            <w:tcW w:w="0" w:type="auto"/>
            <w:tcMar>
              <w:top w:w="80" w:type="dxa"/>
              <w:left w:w="100" w:type="dxa"/>
              <w:bottom w:w="80" w:type="dxa"/>
              <w:right w:w="100" w:type="dxa"/>
            </w:tcMar>
          </w:tcPr>
          <w:p w14:paraId="055E3CC6" w14:textId="77777777" w:rsidR="007A1CFD" w:rsidRDefault="00887338">
            <w:r>
              <w:rPr>
                <w:sz w:val="18"/>
                <w:szCs w:val="18"/>
              </w:rPr>
              <w:t>Price Volatility %</w:t>
            </w:r>
          </w:p>
        </w:tc>
        <w:tc>
          <w:tcPr>
            <w:tcW w:w="0" w:type="auto"/>
            <w:tcMar>
              <w:top w:w="80" w:type="dxa"/>
              <w:left w:w="100" w:type="dxa"/>
              <w:bottom w:w="80" w:type="dxa"/>
              <w:right w:w="100" w:type="dxa"/>
            </w:tcMar>
          </w:tcPr>
          <w:p w14:paraId="0B4E2EC8" w14:textId="77777777" w:rsidR="007A1CFD" w:rsidRDefault="00887338">
            <w:r>
              <w:rPr>
                <w:sz w:val="18"/>
                <w:szCs w:val="18"/>
              </w:rPr>
              <w:t>Calculates the relative standard deviation to measure price volatility.</w:t>
            </w:r>
          </w:p>
        </w:tc>
        <w:tc>
          <w:tcPr>
            <w:tcW w:w="0" w:type="auto"/>
            <w:tcMar>
              <w:top w:w="80" w:type="dxa"/>
              <w:left w:w="100" w:type="dxa"/>
              <w:bottom w:w="80" w:type="dxa"/>
              <w:right w:w="100" w:type="dxa"/>
            </w:tcMar>
          </w:tcPr>
          <w:p w14:paraId="516560A2" w14:textId="77777777" w:rsidR="007A1CFD" w:rsidRDefault="00887338">
            <w:r>
              <w:rPr>
                <w:sz w:val="18"/>
                <w:szCs w:val="18"/>
              </w:rPr>
              <w:t>VAR StandardDeviation = STDEVX.P(VALUES('Master Calendar'[Year]), [Avg Local Price]) VAR AveragePrice=[Avg Local Price] RETURN DIVIDE(StandardDeviation, AveragePrice, 0)</w:t>
            </w:r>
          </w:p>
        </w:tc>
      </w:tr>
      <w:tr w:rsidR="007A1CFD" w14:paraId="59678C5A" w14:textId="77777777">
        <w:tc>
          <w:tcPr>
            <w:tcW w:w="0" w:type="auto"/>
            <w:shd w:val="clear" w:color="auto" w:fill="F7F7F7"/>
            <w:tcMar>
              <w:top w:w="80" w:type="dxa"/>
              <w:left w:w="100" w:type="dxa"/>
              <w:bottom w:w="80" w:type="dxa"/>
              <w:right w:w="100" w:type="dxa"/>
            </w:tcMar>
          </w:tcPr>
          <w:p w14:paraId="5BBF6DC1" w14:textId="77777777" w:rsidR="007A1CFD" w:rsidRDefault="00887338">
            <w:r>
              <w:rPr>
                <w:sz w:val="18"/>
                <w:szCs w:val="18"/>
              </w:rPr>
              <w:t>Price YoY %</w:t>
            </w:r>
          </w:p>
        </w:tc>
        <w:tc>
          <w:tcPr>
            <w:tcW w:w="0" w:type="auto"/>
            <w:shd w:val="clear" w:color="auto" w:fill="F7F7F7"/>
            <w:tcMar>
              <w:top w:w="80" w:type="dxa"/>
              <w:left w:w="100" w:type="dxa"/>
              <w:bottom w:w="80" w:type="dxa"/>
              <w:right w:w="100" w:type="dxa"/>
            </w:tcMar>
          </w:tcPr>
          <w:p w14:paraId="59E27235" w14:textId="77777777" w:rsidR="007A1CFD" w:rsidRDefault="00887338">
            <w:r>
              <w:rPr>
                <w:sz w:val="18"/>
                <w:szCs w:val="18"/>
              </w:rPr>
              <w:t>Calculates the year-over-year percentage growth of local commodity prices.</w:t>
            </w:r>
          </w:p>
        </w:tc>
        <w:tc>
          <w:tcPr>
            <w:tcW w:w="0" w:type="auto"/>
            <w:shd w:val="clear" w:color="auto" w:fill="F7F7F7"/>
            <w:tcMar>
              <w:top w:w="80" w:type="dxa"/>
              <w:left w:w="100" w:type="dxa"/>
              <w:bottom w:w="80" w:type="dxa"/>
              <w:right w:w="100" w:type="dxa"/>
            </w:tcMar>
          </w:tcPr>
          <w:p w14:paraId="5F444713" w14:textId="77777777" w:rsidR="007A1CFD" w:rsidRDefault="00887338">
            <w:r>
              <w:rPr>
                <w:sz w:val="18"/>
                <w:szCs w:val="18"/>
              </w:rPr>
              <w:t>DIVIDE([Avg Local Price] - [Price PY], [Price PY], 0)</w:t>
            </w:r>
          </w:p>
        </w:tc>
      </w:tr>
      <w:tr w:rsidR="007A1CFD" w14:paraId="34AD75D8" w14:textId="77777777">
        <w:tc>
          <w:tcPr>
            <w:tcW w:w="0" w:type="auto"/>
            <w:tcMar>
              <w:top w:w="80" w:type="dxa"/>
              <w:left w:w="100" w:type="dxa"/>
              <w:bottom w:w="80" w:type="dxa"/>
              <w:right w:w="100" w:type="dxa"/>
            </w:tcMar>
          </w:tcPr>
          <w:p w14:paraId="74803A79" w14:textId="77777777" w:rsidR="007A1CFD" w:rsidRDefault="00887338">
            <w:r>
              <w:rPr>
                <w:sz w:val="18"/>
                <w:szCs w:val="18"/>
              </w:rPr>
              <w:t>Selected End Year</w:t>
            </w:r>
          </w:p>
        </w:tc>
        <w:tc>
          <w:tcPr>
            <w:tcW w:w="0" w:type="auto"/>
            <w:tcMar>
              <w:top w:w="80" w:type="dxa"/>
              <w:left w:w="100" w:type="dxa"/>
              <w:bottom w:w="80" w:type="dxa"/>
              <w:right w:w="100" w:type="dxa"/>
            </w:tcMar>
          </w:tcPr>
          <w:p w14:paraId="765035BB" w14:textId="77777777" w:rsidR="007A1CFD" w:rsidRDefault="00887338">
            <w:r>
              <w:rPr>
                <w:sz w:val="18"/>
                <w:szCs w:val="18"/>
              </w:rPr>
              <w:t>Returns the maximum year currently selected in the calendar.</w:t>
            </w:r>
          </w:p>
        </w:tc>
        <w:tc>
          <w:tcPr>
            <w:tcW w:w="0" w:type="auto"/>
            <w:tcMar>
              <w:top w:w="80" w:type="dxa"/>
              <w:left w:w="100" w:type="dxa"/>
              <w:bottom w:w="80" w:type="dxa"/>
              <w:right w:w="100" w:type="dxa"/>
            </w:tcMar>
          </w:tcPr>
          <w:p w14:paraId="7E2A37D9" w14:textId="77777777" w:rsidR="007A1CFD" w:rsidRDefault="00887338">
            <w:r>
              <w:rPr>
                <w:sz w:val="18"/>
                <w:szCs w:val="18"/>
              </w:rPr>
              <w:t>MAX('Master Calendar'[Year])</w:t>
            </w:r>
          </w:p>
        </w:tc>
      </w:tr>
      <w:tr w:rsidR="007A1CFD" w14:paraId="4BFD1ACE" w14:textId="77777777">
        <w:tc>
          <w:tcPr>
            <w:tcW w:w="0" w:type="auto"/>
            <w:shd w:val="clear" w:color="auto" w:fill="F7F7F7"/>
            <w:tcMar>
              <w:top w:w="80" w:type="dxa"/>
              <w:left w:w="100" w:type="dxa"/>
              <w:bottom w:w="80" w:type="dxa"/>
              <w:right w:w="100" w:type="dxa"/>
            </w:tcMar>
          </w:tcPr>
          <w:p w14:paraId="7D8EBC9A" w14:textId="77777777" w:rsidR="007A1CFD" w:rsidRDefault="00887338">
            <w:r>
              <w:rPr>
                <w:sz w:val="18"/>
                <w:szCs w:val="18"/>
              </w:rPr>
              <w:t>Selected Start Year</w:t>
            </w:r>
          </w:p>
        </w:tc>
        <w:tc>
          <w:tcPr>
            <w:tcW w:w="0" w:type="auto"/>
            <w:shd w:val="clear" w:color="auto" w:fill="F7F7F7"/>
            <w:tcMar>
              <w:top w:w="80" w:type="dxa"/>
              <w:left w:w="100" w:type="dxa"/>
              <w:bottom w:w="80" w:type="dxa"/>
              <w:right w:w="100" w:type="dxa"/>
            </w:tcMar>
          </w:tcPr>
          <w:p w14:paraId="67E657AE" w14:textId="77777777" w:rsidR="007A1CFD" w:rsidRDefault="00887338">
            <w:r>
              <w:rPr>
                <w:sz w:val="18"/>
                <w:szCs w:val="18"/>
              </w:rPr>
              <w:t>Returns the minimum year currently selected in the calendar.</w:t>
            </w:r>
          </w:p>
        </w:tc>
        <w:tc>
          <w:tcPr>
            <w:tcW w:w="0" w:type="auto"/>
            <w:shd w:val="clear" w:color="auto" w:fill="F7F7F7"/>
            <w:tcMar>
              <w:top w:w="80" w:type="dxa"/>
              <w:left w:w="100" w:type="dxa"/>
              <w:bottom w:w="80" w:type="dxa"/>
              <w:right w:w="100" w:type="dxa"/>
            </w:tcMar>
          </w:tcPr>
          <w:p w14:paraId="0ABE923E" w14:textId="77777777" w:rsidR="007A1CFD" w:rsidRDefault="00887338">
            <w:r>
              <w:rPr>
                <w:sz w:val="18"/>
                <w:szCs w:val="18"/>
              </w:rPr>
              <w:t>MIN('Master Calendar'[Year])</w:t>
            </w:r>
          </w:p>
        </w:tc>
      </w:tr>
    </w:tbl>
    <w:p w14:paraId="47FA3936" w14:textId="77777777" w:rsidR="007A1CFD" w:rsidRDefault="00887338">
      <w:pPr>
        <w:pStyle w:val="Heading2"/>
        <w:spacing w:before="320" w:after="160"/>
      </w:pPr>
      <w:bookmarkStart w:id="40" w:name="_Toc234072282"/>
      <w:bookmarkStart w:id="41" w:name="_Toc234429721"/>
      <w:r>
        <w:rPr>
          <w:b/>
          <w:bCs/>
          <w:color w:val="1F3864"/>
        </w:rPr>
        <w:t>2.2 UI/UX Design &amp; Prototyping</w:t>
      </w:r>
      <w:bookmarkEnd w:id="40"/>
      <w:bookmarkEnd w:id="41"/>
    </w:p>
    <w:p w14:paraId="6571A76E" w14:textId="77777777" w:rsidR="007A1CFD" w:rsidRDefault="00887338">
      <w:pPr>
        <w:spacing w:after="160" w:line="300" w:lineRule="auto"/>
        <w:jc w:val="both"/>
      </w:pPr>
      <w:r>
        <w:rPr>
          <w:sz w:val="22"/>
          <w:szCs w:val="22"/>
        </w:rPr>
        <w:t>The report architecture was engineered to signal economic urgency through high-impact visual cues. A rigorous UI/UX methodology was implemented to maintain analytical precision and scalability across the four-page interface. To eliminate subjective interpretation, the design utilizes automated conditional formatting governed by backend DAX calculations.</w:t>
      </w:r>
    </w:p>
    <w:p w14:paraId="5431067E" w14:textId="77777777" w:rsidR="007A1CFD" w:rsidRDefault="00887338">
      <w:pPr>
        <w:pStyle w:val="Heading4"/>
        <w:spacing w:before="200" w:after="100"/>
      </w:pPr>
      <w:r>
        <w:rPr>
          <w:b/>
          <w:bCs/>
          <w:color w:val="1F3864"/>
          <w:sz w:val="21"/>
          <w:szCs w:val="21"/>
        </w:rPr>
        <w:t>Interface Standards &amp; Automated Color Logic</w:t>
      </w:r>
    </w:p>
    <w:p w14:paraId="77D30050" w14:textId="77777777" w:rsidR="007A1CFD" w:rsidRDefault="00887338">
      <w:pPr>
        <w:spacing w:after="160" w:line="300" w:lineRule="auto"/>
        <w:jc w:val="both"/>
      </w:pPr>
      <w:r>
        <w:rPr>
          <w:sz w:val="22"/>
          <w:szCs w:val="22"/>
        </w:rPr>
        <w:t>To achieve optimal clarity, the system leverages a dynamic color engine integrated into the DAX layer (primarily via the Scatter Color Code measure). Visual markers automatically re-categorize based on a commodity's statistical position within the price-volatility matrix:</w:t>
      </w:r>
    </w:p>
    <w:p w14:paraId="74BFF685" w14:textId="77777777" w:rsidR="007A1CFD" w:rsidRDefault="00887338">
      <w:pPr>
        <w:pStyle w:val="ListParagraph"/>
        <w:numPr>
          <w:ilvl w:val="0"/>
          <w:numId w:val="2"/>
        </w:numPr>
        <w:spacing w:after="100"/>
      </w:pPr>
      <w:r>
        <w:rPr>
          <w:b/>
          <w:bCs/>
          <w:color w:val="C0392B"/>
          <w:sz w:val="22"/>
          <w:szCs w:val="22"/>
        </w:rPr>
        <w:t xml:space="preserve">🔴 Hyper-Volatile (Crimson – #D32F2F): </w:t>
      </w:r>
      <w:r>
        <w:rPr>
          <w:sz w:val="22"/>
          <w:szCs w:val="22"/>
        </w:rPr>
        <w:t>Assigned to commodities in the top-right quadrant exhibiting extreme price spikes and high market instability.</w:t>
      </w:r>
    </w:p>
    <w:p w14:paraId="03613718" w14:textId="77777777" w:rsidR="007A1CFD" w:rsidRDefault="00887338">
      <w:pPr>
        <w:pStyle w:val="ListParagraph"/>
        <w:numPr>
          <w:ilvl w:val="0"/>
          <w:numId w:val="2"/>
        </w:numPr>
        <w:spacing w:after="100"/>
      </w:pPr>
      <w:r>
        <w:rPr>
          <w:b/>
          <w:bCs/>
          <w:color w:val="2E75B6"/>
          <w:sz w:val="22"/>
          <w:szCs w:val="22"/>
        </w:rPr>
        <w:t xml:space="preserve">🟢 Stable Baseline (Teal – #2E75B6): </w:t>
      </w:r>
      <w:r>
        <w:rPr>
          <w:sz w:val="22"/>
          <w:szCs w:val="22"/>
        </w:rPr>
        <w:t>Assigned to items in the lower-left quadrant with manageable inflation and low variance.</w:t>
      </w:r>
    </w:p>
    <w:p w14:paraId="438B410D" w14:textId="77777777" w:rsidR="007A1CFD" w:rsidRDefault="00887338">
      <w:pPr>
        <w:pStyle w:val="ListParagraph"/>
        <w:numPr>
          <w:ilvl w:val="0"/>
          <w:numId w:val="2"/>
        </w:numPr>
        <w:spacing w:after="100"/>
      </w:pPr>
      <w:r>
        <w:rPr>
          <w:b/>
          <w:bCs/>
          <w:color w:val="595959"/>
          <w:sz w:val="22"/>
          <w:szCs w:val="22"/>
        </w:rPr>
        <w:t xml:space="preserve">⚠️ Moderate Risk (Gray – #838383): </w:t>
      </w:r>
      <w:r>
        <w:rPr>
          <w:sz w:val="22"/>
          <w:szCs w:val="22"/>
        </w:rPr>
        <w:t>Assigned to intermediary quadrants to highlight emerging economic concerns.</w:t>
      </w:r>
    </w:p>
    <w:p w14:paraId="46565F9C" w14:textId="77777777" w:rsidR="00F12FA5" w:rsidRDefault="00F12FA5">
      <w:pPr>
        <w:pStyle w:val="Heading2"/>
        <w:spacing w:before="320" w:after="160"/>
        <w:rPr>
          <w:b/>
          <w:bCs/>
          <w:color w:val="1F3864"/>
        </w:rPr>
      </w:pPr>
      <w:bookmarkStart w:id="42" w:name="_Toc234072283"/>
    </w:p>
    <w:p w14:paraId="504B6571" w14:textId="569FAA55" w:rsidR="007A1CFD" w:rsidRDefault="00887338">
      <w:pPr>
        <w:pStyle w:val="Heading2"/>
        <w:spacing w:before="320" w:after="160"/>
      </w:pPr>
      <w:bookmarkStart w:id="43" w:name="_Toc234429722"/>
      <w:r>
        <w:rPr>
          <w:b/>
          <w:bCs/>
          <w:color w:val="1F3864"/>
        </w:rPr>
        <w:lastRenderedPageBreak/>
        <w:t>2.3 Dashboard Navigation Guide</w:t>
      </w:r>
      <w:bookmarkEnd w:id="42"/>
      <w:bookmarkEnd w:id="43"/>
    </w:p>
    <w:p w14:paraId="777F7218" w14:textId="77777777" w:rsidR="007A1CFD" w:rsidRDefault="00887338">
      <w:pPr>
        <w:spacing w:after="160" w:line="300" w:lineRule="auto"/>
        <w:jc w:val="both"/>
      </w:pPr>
      <w:r>
        <w:rPr>
          <w:sz w:val="22"/>
          <w:szCs w:val="22"/>
        </w:rPr>
        <w:t>The Power BI environment is organized into four analytical tiers, guiding the user from national macroeconomic trends down to household-level affordability and global trade dependencies.</w:t>
      </w:r>
    </w:p>
    <w:p w14:paraId="33900CB9" w14:textId="3C7B5430" w:rsidR="005401C0" w:rsidRPr="003E30D0" w:rsidRDefault="005401C0" w:rsidP="005401C0">
      <w:pPr>
        <w:pStyle w:val="Heading4"/>
        <w:spacing w:before="200" w:after="100"/>
        <w:rPr>
          <w:b/>
          <w:bCs/>
          <w:color w:val="1F3864"/>
          <w:sz w:val="28"/>
          <w:szCs w:val="28"/>
        </w:rPr>
      </w:pPr>
      <w:r w:rsidRPr="003E30D0">
        <w:rPr>
          <w:b/>
          <w:bCs/>
          <w:color w:val="1F3864"/>
          <w:sz w:val="28"/>
          <w:szCs w:val="28"/>
        </w:rPr>
        <w:t>Page 1: The Macro Shock Catalyst</w:t>
      </w:r>
    </w:p>
    <w:p w14:paraId="3844DAE4" w14:textId="77777777" w:rsidR="005401C0" w:rsidRPr="005401C0" w:rsidRDefault="005401C0" w:rsidP="005401C0">
      <w:pPr>
        <w:rPr>
          <w:sz w:val="22"/>
          <w:szCs w:val="22"/>
        </w:rPr>
      </w:pPr>
      <w:r w:rsidRPr="005401C0">
        <w:rPr>
          <w:sz w:val="22"/>
          <w:szCs w:val="22"/>
        </w:rPr>
        <w:t>The primary landing page acts as the analytical anchor for the entire project, monitoring sovereign-level shocks and the mechanics of currency devaluation. It proves that the root cause of the crisis is monetary, not agricultural.</w:t>
      </w:r>
    </w:p>
    <w:p w14:paraId="448E33D2" w14:textId="77777777" w:rsidR="005401C0" w:rsidRPr="005401C0" w:rsidRDefault="005401C0" w:rsidP="005401C0">
      <w:pPr>
        <w:rPr>
          <w:sz w:val="24"/>
          <w:szCs w:val="24"/>
        </w:rPr>
      </w:pPr>
      <w:r w:rsidRPr="005401C0">
        <w:rPr>
          <w:b/>
          <w:bCs/>
          <w:sz w:val="24"/>
          <w:szCs w:val="24"/>
        </w:rPr>
        <w:t>Core KPIs &amp; The "Food Crisis Premium"</w:t>
      </w:r>
    </w:p>
    <w:p w14:paraId="1E66D4B6" w14:textId="77777777" w:rsidR="005401C0" w:rsidRPr="005401C0" w:rsidRDefault="005401C0" w:rsidP="005401C0">
      <w:pPr>
        <w:numPr>
          <w:ilvl w:val="0"/>
          <w:numId w:val="7"/>
        </w:numPr>
        <w:spacing w:before="100" w:beforeAutospacing="1" w:after="100" w:afterAutospacing="1"/>
        <w:rPr>
          <w:sz w:val="24"/>
          <w:szCs w:val="24"/>
        </w:rPr>
      </w:pPr>
      <w:r w:rsidRPr="005401C0">
        <w:rPr>
          <w:b/>
          <w:bCs/>
          <w:sz w:val="24"/>
          <w:szCs w:val="24"/>
        </w:rPr>
        <w:t>Max FX Devaluation:</w:t>
      </w:r>
      <w:r w:rsidRPr="005401C0">
        <w:rPr>
          <w:sz w:val="24"/>
          <w:szCs w:val="24"/>
        </w:rPr>
        <w:t xml:space="preserve"> </w:t>
      </w:r>
      <w:r w:rsidRPr="005401C0">
        <w:rPr>
          <w:sz w:val="22"/>
          <w:szCs w:val="22"/>
        </w:rPr>
        <w:t xml:space="preserve">Quantifies the volatile economic climate, tracking the peak currency collapse of </w:t>
      </w:r>
      <w:r w:rsidRPr="005401C0">
        <w:rPr>
          <w:b/>
          <w:bCs/>
          <w:sz w:val="22"/>
          <w:szCs w:val="22"/>
        </w:rPr>
        <w:t>59.84%</w:t>
      </w:r>
      <w:r w:rsidRPr="005401C0">
        <w:rPr>
          <w:sz w:val="22"/>
          <w:szCs w:val="22"/>
        </w:rPr>
        <w:t xml:space="preserve"> in 2023. The average exchange rate violently deteriorated from 15.75 EGP/USD in 2020 to 45.29 EGP/USD in 2024.</w:t>
      </w:r>
    </w:p>
    <w:p w14:paraId="69FB004A" w14:textId="77777777" w:rsidR="005401C0" w:rsidRPr="005401C0" w:rsidRDefault="005401C0" w:rsidP="005401C0">
      <w:pPr>
        <w:numPr>
          <w:ilvl w:val="0"/>
          <w:numId w:val="7"/>
        </w:numPr>
        <w:spacing w:before="100" w:beforeAutospacing="1" w:after="100" w:afterAutospacing="1"/>
        <w:rPr>
          <w:sz w:val="24"/>
          <w:szCs w:val="24"/>
        </w:rPr>
      </w:pPr>
      <w:r w:rsidRPr="005401C0">
        <w:rPr>
          <w:b/>
          <w:bCs/>
          <w:sz w:val="24"/>
          <w:szCs w:val="24"/>
        </w:rPr>
        <w:t>The Food Crisis Premium:</w:t>
      </w:r>
      <w:r w:rsidRPr="005401C0">
        <w:rPr>
          <w:sz w:val="24"/>
          <w:szCs w:val="24"/>
        </w:rPr>
        <w:t xml:space="preserve"> </w:t>
      </w:r>
      <w:r w:rsidRPr="005401C0">
        <w:rPr>
          <w:sz w:val="22"/>
          <w:szCs w:val="22"/>
        </w:rPr>
        <w:t xml:space="preserve">This reveals a devastating gap between general and food-specific inflation. While headline CPI reached a high of </w:t>
      </w:r>
      <w:r w:rsidRPr="005401C0">
        <w:rPr>
          <w:b/>
          <w:bCs/>
          <w:sz w:val="22"/>
          <w:szCs w:val="22"/>
        </w:rPr>
        <w:t>33.88%</w:t>
      </w:r>
      <w:r w:rsidRPr="005401C0">
        <w:rPr>
          <w:sz w:val="22"/>
          <w:szCs w:val="22"/>
        </w:rPr>
        <w:t xml:space="preserve"> in 2023, average food inflation surged to nearly double that rate at </w:t>
      </w:r>
      <w:r w:rsidRPr="005401C0">
        <w:rPr>
          <w:b/>
          <w:bCs/>
          <w:sz w:val="22"/>
          <w:szCs w:val="22"/>
        </w:rPr>
        <w:t>63.57%</w:t>
      </w:r>
      <w:r w:rsidRPr="005401C0">
        <w:rPr>
          <w:sz w:val="22"/>
          <w:szCs w:val="22"/>
        </w:rPr>
        <w:t>. This 29.69 percentage-point gap proves that food costs acted as the primary anchor dragging down the Egyptian economy.</w:t>
      </w:r>
    </w:p>
    <w:p w14:paraId="5D46FD3C" w14:textId="77777777" w:rsidR="005401C0" w:rsidRPr="005401C0" w:rsidRDefault="005401C0" w:rsidP="005401C0">
      <w:pPr>
        <w:rPr>
          <w:sz w:val="24"/>
          <w:szCs w:val="24"/>
        </w:rPr>
      </w:pPr>
      <w:r w:rsidRPr="005401C0">
        <w:rPr>
          <w:b/>
          <w:bCs/>
          <w:sz w:val="24"/>
          <w:szCs w:val="24"/>
        </w:rPr>
        <w:t>Visualizations &amp; Transmission Mechanics</w:t>
      </w:r>
    </w:p>
    <w:p w14:paraId="076DC549" w14:textId="77777777" w:rsidR="005401C0" w:rsidRPr="005401C0" w:rsidRDefault="005401C0" w:rsidP="005401C0">
      <w:pPr>
        <w:numPr>
          <w:ilvl w:val="0"/>
          <w:numId w:val="8"/>
        </w:numPr>
        <w:spacing w:before="100" w:beforeAutospacing="1" w:after="100" w:afterAutospacing="1"/>
        <w:rPr>
          <w:sz w:val="24"/>
          <w:szCs w:val="24"/>
        </w:rPr>
      </w:pPr>
      <w:r w:rsidRPr="005401C0">
        <w:rPr>
          <w:b/>
          <w:bCs/>
          <w:sz w:val="24"/>
          <w:szCs w:val="24"/>
        </w:rPr>
        <w:t>Clustered Column &amp; Line Chart (Inflation vs. Currency Shock):</w:t>
      </w:r>
      <w:r w:rsidRPr="005401C0">
        <w:rPr>
          <w:sz w:val="24"/>
          <w:szCs w:val="24"/>
        </w:rPr>
        <w:t xml:space="preserve"> </w:t>
      </w:r>
      <w:r w:rsidRPr="005401C0">
        <w:rPr>
          <w:sz w:val="22"/>
          <w:szCs w:val="22"/>
        </w:rPr>
        <w:t>Compares CPI directly against average exchange rates. This visual demonstrates a near 1:1 correlation between exchange rate spikes and headline CPI growth, proving that local inflation was fundamentally imported.</w:t>
      </w:r>
    </w:p>
    <w:p w14:paraId="193636DF" w14:textId="77777777" w:rsidR="005401C0" w:rsidRPr="005401C0" w:rsidRDefault="005401C0" w:rsidP="005401C0">
      <w:pPr>
        <w:numPr>
          <w:ilvl w:val="0"/>
          <w:numId w:val="8"/>
        </w:numPr>
        <w:spacing w:before="100" w:beforeAutospacing="1" w:after="100" w:afterAutospacing="1"/>
        <w:rPr>
          <w:sz w:val="24"/>
          <w:szCs w:val="24"/>
        </w:rPr>
      </w:pPr>
      <w:r w:rsidRPr="005401C0">
        <w:rPr>
          <w:b/>
          <w:bCs/>
          <w:sz w:val="24"/>
          <w:szCs w:val="24"/>
        </w:rPr>
        <w:t>Waterfall Chart (YoY Devaluation):</w:t>
      </w:r>
      <w:r w:rsidRPr="005401C0">
        <w:rPr>
          <w:sz w:val="24"/>
          <w:szCs w:val="24"/>
        </w:rPr>
        <w:t xml:space="preserve"> </w:t>
      </w:r>
      <w:r w:rsidRPr="005401C0">
        <w:rPr>
          <w:sz w:val="22"/>
          <w:szCs w:val="22"/>
        </w:rPr>
        <w:t>Decomposes yearly foreign exchange movements to illustrate the compounding nature of the crisis: a 22.47% devaluation drop in 2022, immediately followed by the catastrophic 59.84% crash in 2023, and continuing with a 47.91% rate in 2024.</w:t>
      </w:r>
    </w:p>
    <w:p w14:paraId="4FE3C913" w14:textId="77777777" w:rsidR="005401C0" w:rsidRPr="005401C0" w:rsidRDefault="005401C0" w:rsidP="005401C0">
      <w:pPr>
        <w:numPr>
          <w:ilvl w:val="0"/>
          <w:numId w:val="8"/>
        </w:numPr>
        <w:spacing w:before="100" w:beforeAutospacing="1" w:after="100" w:afterAutospacing="1"/>
        <w:rPr>
          <w:sz w:val="24"/>
          <w:szCs w:val="24"/>
        </w:rPr>
      </w:pPr>
      <w:r w:rsidRPr="005401C0">
        <w:rPr>
          <w:b/>
          <w:bCs/>
          <w:sz w:val="24"/>
          <w:szCs w:val="24"/>
        </w:rPr>
        <w:t>Trend Line (Food vs. General Economy):</w:t>
      </w:r>
      <w:r w:rsidRPr="005401C0">
        <w:rPr>
          <w:sz w:val="24"/>
          <w:szCs w:val="24"/>
        </w:rPr>
        <w:t xml:space="preserve"> </w:t>
      </w:r>
      <w:r w:rsidRPr="005401C0">
        <w:rPr>
          <w:sz w:val="22"/>
          <w:szCs w:val="22"/>
        </w:rPr>
        <w:t>A dedicated trend line contrasting food-specific inflation against the general CPI, explicitly visualizing the "Food Crisis Premium" and the severe strain on purchasing power.</w:t>
      </w:r>
    </w:p>
    <w:p w14:paraId="26D79566" w14:textId="271196E4" w:rsidR="00BB2F6D" w:rsidRDefault="00BB2F6D" w:rsidP="00BB2F6D">
      <w:pPr>
        <w:pStyle w:val="ListParagraph"/>
        <w:spacing w:after="100"/>
        <w:ind w:left="504"/>
      </w:pPr>
      <w:r w:rsidRPr="00BB2F6D">
        <w:rPr>
          <w:noProof/>
        </w:rPr>
        <w:drawing>
          <wp:inline distT="0" distB="0" distL="0" distR="0" wp14:anchorId="68D66418" wp14:editId="03F7C94B">
            <wp:extent cx="6188710" cy="3487420"/>
            <wp:effectExtent l="0" t="0" r="2540" b="0"/>
            <wp:docPr id="11274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618" name=""/>
                    <pic:cNvPicPr/>
                  </pic:nvPicPr>
                  <pic:blipFill>
                    <a:blip r:embed="rId9"/>
                    <a:stretch>
                      <a:fillRect/>
                    </a:stretch>
                  </pic:blipFill>
                  <pic:spPr>
                    <a:xfrm>
                      <a:off x="0" y="0"/>
                      <a:ext cx="6188710" cy="3487420"/>
                    </a:xfrm>
                    <a:prstGeom prst="rect">
                      <a:avLst/>
                    </a:prstGeom>
                  </pic:spPr>
                </pic:pic>
              </a:graphicData>
            </a:graphic>
          </wp:inline>
        </w:drawing>
      </w:r>
    </w:p>
    <w:p w14:paraId="249EFCCD" w14:textId="77777777" w:rsidR="006528AB" w:rsidRDefault="006528AB">
      <w:pPr>
        <w:pStyle w:val="Heading4"/>
        <w:spacing w:before="200" w:after="100"/>
        <w:rPr>
          <w:b/>
          <w:bCs/>
          <w:color w:val="1F3864"/>
          <w:sz w:val="21"/>
          <w:szCs w:val="21"/>
        </w:rPr>
      </w:pPr>
    </w:p>
    <w:p w14:paraId="15DD7BB9" w14:textId="77777777" w:rsidR="006528AB" w:rsidRDefault="006528AB">
      <w:pPr>
        <w:pStyle w:val="Heading4"/>
        <w:spacing w:before="200" w:after="100"/>
        <w:rPr>
          <w:b/>
          <w:bCs/>
          <w:color w:val="1F3864"/>
          <w:sz w:val="21"/>
          <w:szCs w:val="21"/>
        </w:rPr>
      </w:pPr>
    </w:p>
    <w:p w14:paraId="7DE31E63" w14:textId="02551A45" w:rsidR="007A1CFD" w:rsidRPr="003E30D0" w:rsidRDefault="00887338">
      <w:pPr>
        <w:pStyle w:val="Heading4"/>
        <w:spacing w:before="200" w:after="100"/>
        <w:rPr>
          <w:sz w:val="28"/>
          <w:szCs w:val="28"/>
        </w:rPr>
      </w:pPr>
      <w:r w:rsidRPr="003E30D0">
        <w:rPr>
          <w:b/>
          <w:bCs/>
          <w:color w:val="1F3864"/>
          <w:sz w:val="28"/>
          <w:szCs w:val="28"/>
        </w:rPr>
        <w:t xml:space="preserve">Page 2: </w:t>
      </w:r>
      <w:r w:rsidR="006528AB" w:rsidRPr="003E30D0">
        <w:rPr>
          <w:b/>
          <w:bCs/>
          <w:color w:val="1F3864"/>
          <w:sz w:val="28"/>
          <w:szCs w:val="28"/>
        </w:rPr>
        <w:t>Architecture: Sectoral Transmission (Food vs. Economy)</w:t>
      </w:r>
    </w:p>
    <w:p w14:paraId="48E68377" w14:textId="77777777" w:rsidR="006528AB" w:rsidRPr="006528AB" w:rsidRDefault="006528AB" w:rsidP="006528AB">
      <w:pPr>
        <w:pStyle w:val="ListParagraph"/>
        <w:spacing w:after="100"/>
        <w:ind w:left="504"/>
        <w:rPr>
          <w:sz w:val="22"/>
          <w:szCs w:val="22"/>
        </w:rPr>
      </w:pPr>
      <w:r w:rsidRPr="006528AB">
        <w:rPr>
          <w:sz w:val="22"/>
          <w:szCs w:val="22"/>
        </w:rPr>
        <w:t>This segment drills down into specific food commodities to identify the primary drivers of market instability and isolate which items destroyed household budgets.</w:t>
      </w:r>
    </w:p>
    <w:p w14:paraId="4E4E58CD" w14:textId="77777777" w:rsidR="006528AB" w:rsidRPr="006528AB" w:rsidRDefault="006528AB" w:rsidP="006528AB">
      <w:pPr>
        <w:pStyle w:val="ListParagraph"/>
        <w:spacing w:after="100"/>
        <w:ind w:left="504"/>
        <w:rPr>
          <w:sz w:val="24"/>
          <w:szCs w:val="24"/>
        </w:rPr>
      </w:pPr>
      <w:r w:rsidRPr="006528AB">
        <w:rPr>
          <w:b/>
          <w:bCs/>
          <w:sz w:val="24"/>
          <w:szCs w:val="24"/>
        </w:rPr>
        <w:t>Core KPIs &amp; The Risk Ledger</w:t>
      </w:r>
    </w:p>
    <w:p w14:paraId="2EB191E1" w14:textId="77777777" w:rsidR="006528AB" w:rsidRPr="006528AB" w:rsidRDefault="006528AB" w:rsidP="006528AB">
      <w:pPr>
        <w:pStyle w:val="ListParagraph"/>
        <w:numPr>
          <w:ilvl w:val="0"/>
          <w:numId w:val="9"/>
        </w:numPr>
        <w:rPr>
          <w:sz w:val="22"/>
          <w:szCs w:val="22"/>
        </w:rPr>
      </w:pPr>
      <w:r w:rsidRPr="006528AB">
        <w:rPr>
          <w:b/>
          <w:bCs/>
          <w:sz w:val="24"/>
          <w:szCs w:val="24"/>
        </w:rPr>
        <w:t>Survival Basket Price Growth:</w:t>
      </w:r>
      <w:r w:rsidRPr="006528AB">
        <w:rPr>
          <w:sz w:val="22"/>
          <w:szCs w:val="22"/>
        </w:rPr>
        <w:t xml:space="preserve"> Monitors a custom index of five critical survival items (Rice, Sugar, Wheat flour, Vegetable oil, Poultry). This basket saw massive inflationary growth, peaking at </w:t>
      </w:r>
      <w:r w:rsidRPr="006528AB">
        <w:rPr>
          <w:b/>
          <w:bCs/>
          <w:sz w:val="22"/>
          <w:szCs w:val="22"/>
        </w:rPr>
        <w:t>86.29%</w:t>
      </w:r>
      <w:r w:rsidRPr="006528AB">
        <w:rPr>
          <w:sz w:val="22"/>
          <w:szCs w:val="22"/>
        </w:rPr>
        <w:t xml:space="preserve"> in 2023.</w:t>
      </w:r>
    </w:p>
    <w:p w14:paraId="6D3643AC" w14:textId="77777777" w:rsidR="006528AB" w:rsidRPr="006528AB" w:rsidRDefault="006528AB" w:rsidP="006528AB">
      <w:pPr>
        <w:pStyle w:val="ListParagraph"/>
        <w:numPr>
          <w:ilvl w:val="0"/>
          <w:numId w:val="9"/>
        </w:numPr>
        <w:rPr>
          <w:sz w:val="22"/>
          <w:szCs w:val="22"/>
        </w:rPr>
      </w:pPr>
      <w:r w:rsidRPr="006528AB">
        <w:rPr>
          <w:b/>
          <w:bCs/>
          <w:sz w:val="24"/>
          <w:szCs w:val="24"/>
        </w:rPr>
        <w:t>Critical Commodities Count:</w:t>
      </w:r>
      <w:r w:rsidRPr="006528AB">
        <w:rPr>
          <w:sz w:val="22"/>
          <w:szCs w:val="22"/>
        </w:rPr>
        <w:t xml:space="preserve"> Tracks the expansion of high-risk items (defined as having a &gt;20% loss in affordability). This metric shows a systemic failure, jumping from just 1 critical item in 2022 to </w:t>
      </w:r>
      <w:r w:rsidRPr="006528AB">
        <w:rPr>
          <w:b/>
          <w:bCs/>
          <w:sz w:val="22"/>
          <w:szCs w:val="22"/>
        </w:rPr>
        <w:t>9 critical items</w:t>
      </w:r>
      <w:r w:rsidRPr="006528AB">
        <w:rPr>
          <w:sz w:val="22"/>
          <w:szCs w:val="22"/>
        </w:rPr>
        <w:t xml:space="preserve"> within a single year (2023).</w:t>
      </w:r>
    </w:p>
    <w:p w14:paraId="55CEFCA4" w14:textId="77777777" w:rsidR="006528AB" w:rsidRPr="006528AB" w:rsidRDefault="006528AB" w:rsidP="006528AB">
      <w:pPr>
        <w:pStyle w:val="ListParagraph"/>
        <w:numPr>
          <w:ilvl w:val="0"/>
          <w:numId w:val="9"/>
        </w:numPr>
        <w:rPr>
          <w:sz w:val="22"/>
          <w:szCs w:val="22"/>
        </w:rPr>
      </w:pPr>
      <w:r w:rsidRPr="006528AB">
        <w:rPr>
          <w:b/>
          <w:bCs/>
          <w:sz w:val="24"/>
          <w:szCs w:val="24"/>
        </w:rPr>
        <w:t>Max Category Spike &amp; Volatility Shift:</w:t>
      </w:r>
      <w:r w:rsidRPr="006528AB">
        <w:rPr>
          <w:sz w:val="22"/>
          <w:szCs w:val="22"/>
        </w:rPr>
        <w:t xml:space="preserve"> Highlights extreme isolated shocks, such as Sugar reaching an unprecedented </w:t>
      </w:r>
      <w:r w:rsidRPr="006528AB">
        <w:rPr>
          <w:b/>
          <w:bCs/>
          <w:sz w:val="22"/>
          <w:szCs w:val="22"/>
        </w:rPr>
        <w:t>96.60%</w:t>
      </w:r>
      <w:r w:rsidRPr="006528AB">
        <w:rPr>
          <w:sz w:val="22"/>
          <w:szCs w:val="22"/>
        </w:rPr>
        <w:t xml:space="preserve"> YoY price spike in 2023. It also reveals that the "Most Volatile Category" shifted from </w:t>
      </w:r>
      <w:r w:rsidRPr="006528AB">
        <w:rPr>
          <w:i/>
          <w:iCs/>
          <w:sz w:val="22"/>
          <w:szCs w:val="22"/>
        </w:rPr>
        <w:t>Vegetables and fruits</w:t>
      </w:r>
      <w:r w:rsidRPr="006528AB">
        <w:rPr>
          <w:sz w:val="22"/>
          <w:szCs w:val="22"/>
        </w:rPr>
        <w:t xml:space="preserve"> (2022) to </w:t>
      </w:r>
      <w:r w:rsidRPr="006528AB">
        <w:rPr>
          <w:i/>
          <w:iCs/>
          <w:sz w:val="22"/>
          <w:szCs w:val="22"/>
        </w:rPr>
        <w:t>Miscellaneous food</w:t>
      </w:r>
      <w:r w:rsidRPr="006528AB">
        <w:rPr>
          <w:sz w:val="22"/>
          <w:szCs w:val="22"/>
        </w:rPr>
        <w:t xml:space="preserve"> (2023/2024).</w:t>
      </w:r>
    </w:p>
    <w:p w14:paraId="00BF13CC" w14:textId="77777777" w:rsidR="006528AB" w:rsidRPr="006528AB" w:rsidRDefault="006528AB" w:rsidP="006528AB">
      <w:pPr>
        <w:pStyle w:val="ListParagraph"/>
        <w:spacing w:after="100"/>
        <w:ind w:left="504"/>
        <w:rPr>
          <w:sz w:val="24"/>
          <w:szCs w:val="24"/>
        </w:rPr>
      </w:pPr>
      <w:r w:rsidRPr="006528AB">
        <w:rPr>
          <w:b/>
          <w:bCs/>
          <w:sz w:val="24"/>
          <w:szCs w:val="24"/>
        </w:rPr>
        <w:t>Visualizations &amp; DAX-Driven UI</w:t>
      </w:r>
    </w:p>
    <w:p w14:paraId="3D672205" w14:textId="77777777" w:rsidR="006528AB" w:rsidRPr="006528AB" w:rsidRDefault="006528AB" w:rsidP="006528AB">
      <w:pPr>
        <w:pStyle w:val="ListParagraph"/>
        <w:numPr>
          <w:ilvl w:val="0"/>
          <w:numId w:val="10"/>
        </w:numPr>
        <w:rPr>
          <w:sz w:val="22"/>
          <w:szCs w:val="22"/>
        </w:rPr>
      </w:pPr>
      <w:r w:rsidRPr="006528AB">
        <w:rPr>
          <w:b/>
          <w:bCs/>
          <w:sz w:val="24"/>
          <w:szCs w:val="24"/>
        </w:rPr>
        <w:t>Risk Ledger Matrix:</w:t>
      </w:r>
      <w:r w:rsidRPr="006528AB">
        <w:rPr>
          <w:sz w:val="22"/>
          <w:szCs w:val="22"/>
        </w:rPr>
        <w:t xml:space="preserve"> Tracks detailed price growth and DAX-assigned status labels. Items like Farm Chicken (94.03% spike) and Eggs (87.85% spike) dynamically trigger a </w:t>
      </w:r>
      <w:r w:rsidRPr="006528AB">
        <w:rPr>
          <w:b/>
          <w:bCs/>
          <w:sz w:val="22"/>
          <w:szCs w:val="22"/>
        </w:rPr>
        <w:t>"CRITICAL (Severe Purchasing Power Loss)"</w:t>
      </w:r>
      <w:r w:rsidRPr="006528AB">
        <w:rPr>
          <w:sz w:val="22"/>
          <w:szCs w:val="22"/>
        </w:rPr>
        <w:t xml:space="preserve"> status, while domestic stabilizers like Fava Beans and Potatoes maintained a "STABLE" or "WARNING" status in earlier years.</w:t>
      </w:r>
    </w:p>
    <w:p w14:paraId="3890FA67" w14:textId="77777777" w:rsidR="006528AB" w:rsidRDefault="006528AB" w:rsidP="006528AB">
      <w:pPr>
        <w:pStyle w:val="ListParagraph"/>
        <w:numPr>
          <w:ilvl w:val="0"/>
          <w:numId w:val="10"/>
        </w:numPr>
        <w:rPr>
          <w:sz w:val="22"/>
          <w:szCs w:val="22"/>
        </w:rPr>
      </w:pPr>
      <w:r w:rsidRPr="006528AB">
        <w:rPr>
          <w:b/>
          <w:bCs/>
          <w:sz w:val="24"/>
          <w:szCs w:val="24"/>
        </w:rPr>
        <w:t>Quadrant-Based Scatter Plot:</w:t>
      </w:r>
      <w:r w:rsidRPr="006528AB">
        <w:rPr>
          <w:sz w:val="22"/>
          <w:szCs w:val="22"/>
        </w:rPr>
        <w:t xml:space="preserve"> Maps Price YoY % against Price Volatility using dynamic, DAX-driven conditional formatting. Items in the hyper-toxic top-right quadrant flash </w:t>
      </w:r>
      <w:r w:rsidRPr="006528AB">
        <w:rPr>
          <w:b/>
          <w:bCs/>
          <w:sz w:val="22"/>
          <w:szCs w:val="22"/>
        </w:rPr>
        <w:t>Crimson Red</w:t>
      </w:r>
      <w:r w:rsidRPr="006528AB">
        <w:rPr>
          <w:sz w:val="22"/>
          <w:szCs w:val="22"/>
        </w:rPr>
        <w:t xml:space="preserve">, stable items in the bottom-left appear in </w:t>
      </w:r>
      <w:r w:rsidRPr="006528AB">
        <w:rPr>
          <w:b/>
          <w:bCs/>
          <w:sz w:val="22"/>
          <w:szCs w:val="22"/>
        </w:rPr>
        <w:t>Teal</w:t>
      </w:r>
      <w:r w:rsidRPr="006528AB">
        <w:rPr>
          <w:sz w:val="22"/>
          <w:szCs w:val="22"/>
        </w:rPr>
        <w:t xml:space="preserve">, and intermediary quadrants display as </w:t>
      </w:r>
      <w:r w:rsidRPr="006528AB">
        <w:rPr>
          <w:b/>
          <w:bCs/>
          <w:sz w:val="22"/>
          <w:szCs w:val="22"/>
        </w:rPr>
        <w:t>Warning Gray</w:t>
      </w:r>
      <w:r w:rsidRPr="006528AB">
        <w:rPr>
          <w:sz w:val="22"/>
          <w:szCs w:val="22"/>
        </w:rPr>
        <w:t>.</w:t>
      </w:r>
    </w:p>
    <w:p w14:paraId="0628B2D5" w14:textId="77777777" w:rsidR="006528AB" w:rsidRPr="006528AB" w:rsidRDefault="006528AB" w:rsidP="006528AB">
      <w:pPr>
        <w:pStyle w:val="ListParagraph"/>
        <w:ind w:left="720"/>
        <w:rPr>
          <w:sz w:val="22"/>
          <w:szCs w:val="22"/>
        </w:rPr>
      </w:pPr>
    </w:p>
    <w:p w14:paraId="3F93386B" w14:textId="5D8DDABD" w:rsidR="00BB2F6D" w:rsidRDefault="00BB2F6D" w:rsidP="00BB2F6D">
      <w:pPr>
        <w:pStyle w:val="ListParagraph"/>
        <w:spacing w:after="100"/>
        <w:ind w:left="504"/>
      </w:pPr>
      <w:r w:rsidRPr="00BB2F6D">
        <w:rPr>
          <w:noProof/>
        </w:rPr>
        <w:drawing>
          <wp:inline distT="0" distB="0" distL="0" distR="0" wp14:anchorId="260D62FF" wp14:editId="7AC500DC">
            <wp:extent cx="6188710" cy="3468370"/>
            <wp:effectExtent l="0" t="0" r="2540" b="0"/>
            <wp:docPr id="76475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4357" name=""/>
                    <pic:cNvPicPr/>
                  </pic:nvPicPr>
                  <pic:blipFill>
                    <a:blip r:embed="rId10"/>
                    <a:stretch>
                      <a:fillRect/>
                    </a:stretch>
                  </pic:blipFill>
                  <pic:spPr>
                    <a:xfrm>
                      <a:off x="0" y="0"/>
                      <a:ext cx="6188710" cy="3468370"/>
                    </a:xfrm>
                    <a:prstGeom prst="rect">
                      <a:avLst/>
                    </a:prstGeom>
                  </pic:spPr>
                </pic:pic>
              </a:graphicData>
            </a:graphic>
          </wp:inline>
        </w:drawing>
      </w:r>
    </w:p>
    <w:p w14:paraId="337ACE4C" w14:textId="77777777" w:rsidR="006528AB" w:rsidRDefault="006528AB" w:rsidP="00361AA3">
      <w:pPr>
        <w:pStyle w:val="Heading4"/>
        <w:spacing w:before="200" w:after="100"/>
        <w:rPr>
          <w:b/>
          <w:bCs/>
          <w:color w:val="1F3864"/>
          <w:sz w:val="21"/>
          <w:szCs w:val="21"/>
        </w:rPr>
      </w:pPr>
    </w:p>
    <w:p w14:paraId="4F7F825C" w14:textId="77777777" w:rsidR="006528AB" w:rsidRDefault="006528AB" w:rsidP="00361AA3">
      <w:pPr>
        <w:pStyle w:val="Heading4"/>
        <w:spacing w:before="200" w:after="100"/>
        <w:rPr>
          <w:b/>
          <w:bCs/>
          <w:color w:val="1F3864"/>
          <w:sz w:val="21"/>
          <w:szCs w:val="21"/>
        </w:rPr>
      </w:pPr>
    </w:p>
    <w:p w14:paraId="74C23CDC" w14:textId="77777777" w:rsidR="006528AB" w:rsidRDefault="006528AB" w:rsidP="00361AA3">
      <w:pPr>
        <w:pStyle w:val="Heading4"/>
        <w:spacing w:before="200" w:after="100"/>
        <w:rPr>
          <w:b/>
          <w:bCs/>
          <w:color w:val="1F3864"/>
          <w:sz w:val="21"/>
          <w:szCs w:val="21"/>
        </w:rPr>
      </w:pPr>
    </w:p>
    <w:p w14:paraId="25A6A2AF" w14:textId="77777777" w:rsidR="006528AB" w:rsidRDefault="006528AB" w:rsidP="00361AA3">
      <w:pPr>
        <w:pStyle w:val="Heading4"/>
        <w:spacing w:before="200" w:after="100"/>
        <w:rPr>
          <w:b/>
          <w:bCs/>
          <w:color w:val="1F3864"/>
          <w:sz w:val="21"/>
          <w:szCs w:val="21"/>
        </w:rPr>
      </w:pPr>
    </w:p>
    <w:p w14:paraId="37B27723" w14:textId="77777777" w:rsidR="006528AB" w:rsidRDefault="006528AB" w:rsidP="00361AA3">
      <w:pPr>
        <w:pStyle w:val="Heading4"/>
        <w:spacing w:before="200" w:after="100"/>
        <w:rPr>
          <w:b/>
          <w:bCs/>
          <w:color w:val="1F3864"/>
          <w:sz w:val="21"/>
          <w:szCs w:val="21"/>
        </w:rPr>
      </w:pPr>
    </w:p>
    <w:p w14:paraId="67BD8F0E" w14:textId="77777777" w:rsidR="006528AB" w:rsidRDefault="006528AB" w:rsidP="00361AA3">
      <w:pPr>
        <w:pStyle w:val="Heading4"/>
        <w:spacing w:before="200" w:after="100"/>
        <w:rPr>
          <w:b/>
          <w:bCs/>
          <w:color w:val="1F3864"/>
          <w:sz w:val="21"/>
          <w:szCs w:val="21"/>
        </w:rPr>
      </w:pPr>
    </w:p>
    <w:p w14:paraId="42FA7857" w14:textId="77777777" w:rsidR="006528AB" w:rsidRDefault="006528AB" w:rsidP="00361AA3">
      <w:pPr>
        <w:pStyle w:val="Heading4"/>
        <w:spacing w:before="200" w:after="100"/>
        <w:rPr>
          <w:b/>
          <w:bCs/>
          <w:color w:val="1F3864"/>
          <w:sz w:val="21"/>
          <w:szCs w:val="21"/>
        </w:rPr>
      </w:pPr>
    </w:p>
    <w:p w14:paraId="4E5DBC42" w14:textId="5C366028" w:rsidR="00361AA3" w:rsidRPr="003E30D0" w:rsidRDefault="00361AA3" w:rsidP="00361AA3">
      <w:pPr>
        <w:pStyle w:val="Heading4"/>
        <w:spacing w:before="200" w:after="100"/>
        <w:rPr>
          <w:b/>
          <w:bCs/>
          <w:color w:val="1F3864"/>
          <w:sz w:val="28"/>
          <w:szCs w:val="28"/>
        </w:rPr>
      </w:pPr>
      <w:r w:rsidRPr="003E30D0">
        <w:rPr>
          <w:b/>
          <w:bCs/>
          <w:color w:val="1F3864"/>
          <w:sz w:val="28"/>
          <w:szCs w:val="28"/>
        </w:rPr>
        <w:t xml:space="preserve">Page 3: </w:t>
      </w:r>
      <w:r w:rsidR="00D356AB">
        <w:rPr>
          <w:b/>
          <w:bCs/>
          <w:color w:val="1F3864"/>
          <w:sz w:val="28"/>
          <w:szCs w:val="28"/>
        </w:rPr>
        <w:t>Household Reality (Wages vs. Real Erosion)</w:t>
      </w:r>
    </w:p>
    <w:p w14:paraId="4CE10CFB" w14:textId="1DE78BC8" w:rsidR="006528AB" w:rsidRPr="006528AB" w:rsidRDefault="00361AA3" w:rsidP="006528AB">
      <w:pPr>
        <w:rPr>
          <w:sz w:val="22"/>
          <w:szCs w:val="22"/>
        </w:rPr>
      </w:pPr>
      <w:r w:rsidRPr="00361AA3">
        <w:rPr>
          <w:sz w:val="22"/>
          <w:szCs w:val="22"/>
        </w:rPr>
        <w:t xml:space="preserve">This tier connects macroeconomic data to the tangible financial realities of the Egyptian labor force, empirically proving the </w:t>
      </w:r>
      <w:r w:rsidRPr="00361AA3">
        <w:rPr>
          <w:b/>
          <w:bCs/>
          <w:sz w:val="22"/>
          <w:szCs w:val="22"/>
        </w:rPr>
        <w:t>"Illusion of Wealth"</w:t>
      </w:r>
      <w:r w:rsidRPr="00361AA3">
        <w:rPr>
          <w:sz w:val="22"/>
          <w:szCs w:val="22"/>
        </w:rPr>
        <w:t>. It demonstrates that raising nominal wages without curbing imported, foreign-exchange-driven inflation creates a fiscal trap where citizens work harder but afford significantly less.</w:t>
      </w:r>
    </w:p>
    <w:p w14:paraId="6FEC06BD" w14:textId="77777777" w:rsidR="006528AB" w:rsidRDefault="006528AB" w:rsidP="00361AA3">
      <w:pPr>
        <w:rPr>
          <w:b/>
          <w:bCs/>
          <w:sz w:val="24"/>
          <w:szCs w:val="24"/>
        </w:rPr>
      </w:pPr>
    </w:p>
    <w:p w14:paraId="518E0C59" w14:textId="70BBCE73" w:rsidR="00361AA3" w:rsidRPr="00361AA3" w:rsidRDefault="00361AA3" w:rsidP="00361AA3">
      <w:pPr>
        <w:rPr>
          <w:sz w:val="24"/>
          <w:szCs w:val="24"/>
        </w:rPr>
      </w:pPr>
      <w:r w:rsidRPr="00361AA3">
        <w:rPr>
          <w:b/>
          <w:bCs/>
          <w:sz w:val="24"/>
          <w:szCs w:val="24"/>
        </w:rPr>
        <w:t>Core KPIs &amp; The "Illusion of Wealth"</w:t>
      </w:r>
    </w:p>
    <w:p w14:paraId="517C9037" w14:textId="77777777" w:rsidR="00361AA3" w:rsidRPr="00361AA3" w:rsidRDefault="00361AA3" w:rsidP="00361AA3">
      <w:pPr>
        <w:numPr>
          <w:ilvl w:val="0"/>
          <w:numId w:val="4"/>
        </w:numPr>
        <w:spacing w:before="100" w:beforeAutospacing="1" w:after="100" w:afterAutospacing="1"/>
        <w:rPr>
          <w:sz w:val="24"/>
          <w:szCs w:val="24"/>
        </w:rPr>
      </w:pPr>
      <w:r w:rsidRPr="00361AA3">
        <w:rPr>
          <w:b/>
          <w:bCs/>
          <w:sz w:val="24"/>
          <w:szCs w:val="24"/>
        </w:rPr>
        <w:t>Wages vs. Physical Capacity:</w:t>
      </w:r>
      <w:r w:rsidRPr="00361AA3">
        <w:rPr>
          <w:sz w:val="24"/>
          <w:szCs w:val="24"/>
        </w:rPr>
        <w:t xml:space="preserve"> </w:t>
      </w:r>
      <w:r w:rsidRPr="00361AA3">
        <w:rPr>
          <w:sz w:val="22"/>
          <w:szCs w:val="22"/>
        </w:rPr>
        <w:t>Compares nominal minimum wage increases against real purchasing power metrics. Despite the government aggressively tripling the minimum wage from 2,000 EGP in 2020 to 6,000 EGP in 2024, the "Units Affordable" capacity dropped from 303 units in 2021 to just 258 units in 2024.</w:t>
      </w:r>
    </w:p>
    <w:p w14:paraId="32B57EAC" w14:textId="77777777" w:rsidR="00361AA3" w:rsidRPr="00361AA3" w:rsidRDefault="00361AA3" w:rsidP="00361AA3">
      <w:pPr>
        <w:numPr>
          <w:ilvl w:val="0"/>
          <w:numId w:val="4"/>
        </w:numPr>
        <w:spacing w:before="100" w:beforeAutospacing="1" w:after="100" w:afterAutospacing="1"/>
        <w:rPr>
          <w:sz w:val="22"/>
          <w:szCs w:val="22"/>
        </w:rPr>
      </w:pPr>
      <w:r w:rsidRPr="00361AA3">
        <w:rPr>
          <w:b/>
          <w:bCs/>
          <w:sz w:val="24"/>
          <w:szCs w:val="24"/>
        </w:rPr>
        <w:t>Average Income Erosion:</w:t>
      </w:r>
      <w:r w:rsidRPr="00361AA3">
        <w:rPr>
          <w:sz w:val="24"/>
          <w:szCs w:val="24"/>
        </w:rPr>
        <w:t xml:space="preserve"> </w:t>
      </w:r>
      <w:r w:rsidRPr="00361AA3">
        <w:rPr>
          <w:sz w:val="22"/>
          <w:szCs w:val="22"/>
        </w:rPr>
        <w:t>Tracks the average percentage of income consumed by food. The baseline in 2021 was 20.5%, which collapsed to an average erosion of 34.2% in 2023. Even with the 2024 wage hike to 6,000 EGP, average erosion still sits at a dangerous 22.5%.</w:t>
      </w:r>
    </w:p>
    <w:p w14:paraId="77C96D83" w14:textId="77777777" w:rsidR="00361AA3" w:rsidRPr="00361AA3" w:rsidRDefault="00361AA3" w:rsidP="00361AA3">
      <w:pPr>
        <w:numPr>
          <w:ilvl w:val="0"/>
          <w:numId w:val="4"/>
        </w:numPr>
        <w:spacing w:before="100" w:beforeAutospacing="1" w:after="100" w:afterAutospacing="1"/>
        <w:rPr>
          <w:sz w:val="24"/>
          <w:szCs w:val="24"/>
        </w:rPr>
      </w:pPr>
      <w:r w:rsidRPr="00361AA3">
        <w:rPr>
          <w:b/>
          <w:bCs/>
          <w:sz w:val="24"/>
          <w:szCs w:val="24"/>
        </w:rPr>
        <w:t>The 2023 Affordability Crash:</w:t>
      </w:r>
      <w:r w:rsidRPr="00361AA3">
        <w:rPr>
          <w:sz w:val="24"/>
          <w:szCs w:val="24"/>
        </w:rPr>
        <w:t xml:space="preserve"> </w:t>
      </w:r>
      <w:r w:rsidRPr="00361AA3">
        <w:rPr>
          <w:sz w:val="22"/>
          <w:szCs w:val="22"/>
        </w:rPr>
        <w:t>Identifies 2023 as the worst year for purchasing power, where average affordability collapsed by a staggering -34.6% across all commodities.</w:t>
      </w:r>
    </w:p>
    <w:p w14:paraId="057B436A" w14:textId="77777777" w:rsidR="00361AA3" w:rsidRPr="00361AA3" w:rsidRDefault="00361AA3" w:rsidP="00361AA3">
      <w:pPr>
        <w:rPr>
          <w:sz w:val="22"/>
          <w:szCs w:val="22"/>
        </w:rPr>
      </w:pPr>
      <w:r w:rsidRPr="00361AA3">
        <w:rPr>
          <w:b/>
          <w:bCs/>
          <w:sz w:val="24"/>
          <w:szCs w:val="24"/>
        </w:rPr>
        <w:t>Commodity-Specific Insights (The Budget Destroyers)</w:t>
      </w:r>
      <w:r w:rsidRPr="00361AA3">
        <w:rPr>
          <w:sz w:val="24"/>
          <w:szCs w:val="24"/>
        </w:rPr>
        <w:t xml:space="preserve"> </w:t>
      </w:r>
      <w:r w:rsidRPr="00361AA3">
        <w:rPr>
          <w:sz w:val="22"/>
          <w:szCs w:val="22"/>
        </w:rPr>
        <w:t>The dashboard drills down into how specific essential items destroyed household budgets, particularly during the 2023 macroeconomic shock:</w:t>
      </w:r>
    </w:p>
    <w:p w14:paraId="64D5E0B2" w14:textId="77777777" w:rsidR="00361AA3" w:rsidRPr="00361AA3" w:rsidRDefault="00361AA3" w:rsidP="00361AA3">
      <w:pPr>
        <w:numPr>
          <w:ilvl w:val="0"/>
          <w:numId w:val="5"/>
        </w:numPr>
        <w:spacing w:before="100" w:beforeAutospacing="1" w:after="100" w:afterAutospacing="1"/>
        <w:rPr>
          <w:sz w:val="24"/>
          <w:szCs w:val="24"/>
        </w:rPr>
      </w:pPr>
      <w:r w:rsidRPr="00361AA3">
        <w:rPr>
          <w:b/>
          <w:bCs/>
          <w:sz w:val="24"/>
          <w:szCs w:val="24"/>
        </w:rPr>
        <w:t>Farm Chicken:</w:t>
      </w:r>
      <w:r w:rsidRPr="00361AA3">
        <w:rPr>
          <w:sz w:val="24"/>
          <w:szCs w:val="24"/>
        </w:rPr>
        <w:t xml:space="preserve"> </w:t>
      </w:r>
      <w:r w:rsidRPr="00361AA3">
        <w:rPr>
          <w:sz w:val="22"/>
          <w:szCs w:val="22"/>
        </w:rPr>
        <w:t xml:space="preserve">Reached an unprecedented Income Erosion Index peak of </w:t>
      </w:r>
      <w:r w:rsidRPr="00361AA3">
        <w:rPr>
          <w:b/>
          <w:bCs/>
          <w:sz w:val="22"/>
          <w:szCs w:val="22"/>
        </w:rPr>
        <w:t>76.08%</w:t>
      </w:r>
      <w:r w:rsidRPr="00361AA3">
        <w:rPr>
          <w:sz w:val="22"/>
          <w:szCs w:val="22"/>
        </w:rPr>
        <w:t xml:space="preserve"> in 2023, leaving a minimum-wage citizen with only 23.92% of their income for all other living expenses. Overall affordability for poultry dropped -43% in 2023 alone.</w:t>
      </w:r>
    </w:p>
    <w:p w14:paraId="7C19E66D" w14:textId="77777777" w:rsidR="00361AA3" w:rsidRPr="00361AA3" w:rsidRDefault="00361AA3" w:rsidP="00361AA3">
      <w:pPr>
        <w:numPr>
          <w:ilvl w:val="0"/>
          <w:numId w:val="5"/>
        </w:numPr>
        <w:spacing w:before="100" w:beforeAutospacing="1" w:after="100" w:afterAutospacing="1"/>
        <w:rPr>
          <w:sz w:val="22"/>
          <w:szCs w:val="22"/>
        </w:rPr>
      </w:pPr>
      <w:r w:rsidRPr="00361AA3">
        <w:rPr>
          <w:b/>
          <w:bCs/>
          <w:sz w:val="24"/>
          <w:szCs w:val="24"/>
        </w:rPr>
        <w:t>Cooking Oils (Maize &amp; Sunflower):</w:t>
      </w:r>
      <w:r w:rsidRPr="00361AA3">
        <w:rPr>
          <w:sz w:val="24"/>
          <w:szCs w:val="24"/>
        </w:rPr>
        <w:t xml:space="preserve"> </w:t>
      </w:r>
      <w:r w:rsidRPr="00361AA3">
        <w:rPr>
          <w:sz w:val="22"/>
          <w:szCs w:val="22"/>
        </w:rPr>
        <w:t xml:space="preserve">In 2023, a month's supply of Maize Oil consumed </w:t>
      </w:r>
      <w:r w:rsidRPr="00361AA3">
        <w:rPr>
          <w:b/>
          <w:bCs/>
          <w:sz w:val="22"/>
          <w:szCs w:val="22"/>
        </w:rPr>
        <w:t>69.93%</w:t>
      </w:r>
      <w:r w:rsidRPr="00361AA3">
        <w:rPr>
          <w:sz w:val="22"/>
          <w:szCs w:val="22"/>
        </w:rPr>
        <w:t xml:space="preserve"> of the minimum wage, while Sunflower Oil consumed </w:t>
      </w:r>
      <w:r w:rsidRPr="00361AA3">
        <w:rPr>
          <w:b/>
          <w:bCs/>
          <w:sz w:val="22"/>
          <w:szCs w:val="22"/>
        </w:rPr>
        <w:t>61.37%</w:t>
      </w:r>
      <w:r w:rsidRPr="00361AA3">
        <w:rPr>
          <w:sz w:val="22"/>
          <w:szCs w:val="22"/>
        </w:rPr>
        <w:t xml:space="preserve">. Shockingly, despite the 2024 wage hikes, Sunflower Oil now eats up 6.01% </w:t>
      </w:r>
      <w:r w:rsidRPr="00361AA3">
        <w:rPr>
          <w:i/>
          <w:iCs/>
          <w:sz w:val="22"/>
          <w:szCs w:val="22"/>
        </w:rPr>
        <w:t>more</w:t>
      </w:r>
      <w:r w:rsidRPr="00361AA3">
        <w:rPr>
          <w:sz w:val="22"/>
          <w:szCs w:val="22"/>
        </w:rPr>
        <w:t xml:space="preserve"> of a citizen's salary (41.31%) than it did in 2020 (35.30%).</w:t>
      </w:r>
    </w:p>
    <w:p w14:paraId="08A9D4AB" w14:textId="77777777" w:rsidR="00361AA3" w:rsidRPr="00361AA3" w:rsidRDefault="00361AA3" w:rsidP="00361AA3">
      <w:pPr>
        <w:numPr>
          <w:ilvl w:val="0"/>
          <w:numId w:val="5"/>
        </w:numPr>
        <w:spacing w:before="100" w:beforeAutospacing="1" w:after="100" w:afterAutospacing="1"/>
        <w:rPr>
          <w:sz w:val="22"/>
          <w:szCs w:val="22"/>
        </w:rPr>
      </w:pPr>
      <w:r w:rsidRPr="00361AA3">
        <w:rPr>
          <w:b/>
          <w:bCs/>
          <w:sz w:val="24"/>
          <w:szCs w:val="24"/>
        </w:rPr>
        <w:t>Wheat Flour:</w:t>
      </w:r>
      <w:r w:rsidRPr="00361AA3">
        <w:rPr>
          <w:sz w:val="24"/>
          <w:szCs w:val="24"/>
        </w:rPr>
        <w:t xml:space="preserve"> </w:t>
      </w:r>
      <w:r w:rsidRPr="00361AA3">
        <w:rPr>
          <w:sz w:val="22"/>
          <w:szCs w:val="22"/>
        </w:rPr>
        <w:t xml:space="preserve">Consumed </w:t>
      </w:r>
      <w:r w:rsidRPr="00361AA3">
        <w:rPr>
          <w:b/>
          <w:bCs/>
          <w:sz w:val="22"/>
          <w:szCs w:val="22"/>
        </w:rPr>
        <w:t>19.79%</w:t>
      </w:r>
      <w:r w:rsidRPr="00361AA3">
        <w:rPr>
          <w:sz w:val="22"/>
          <w:szCs w:val="22"/>
        </w:rPr>
        <w:t xml:space="preserve"> of a minimum wage earner's monthly income in 2024, leaving an 80.21% retained margin. By 2024, citizens could afford -12.6% fewer units of wheat flour than they could in 2020.</w:t>
      </w:r>
    </w:p>
    <w:p w14:paraId="5B896ADD" w14:textId="21F1F403" w:rsidR="00361AA3" w:rsidRPr="006528AB" w:rsidRDefault="00361AA3" w:rsidP="006528AB">
      <w:pPr>
        <w:numPr>
          <w:ilvl w:val="0"/>
          <w:numId w:val="5"/>
        </w:numPr>
        <w:spacing w:before="100" w:beforeAutospacing="1" w:after="100" w:afterAutospacing="1"/>
        <w:rPr>
          <w:sz w:val="24"/>
          <w:szCs w:val="24"/>
        </w:rPr>
      </w:pPr>
      <w:r w:rsidRPr="00361AA3">
        <w:rPr>
          <w:b/>
          <w:bCs/>
          <w:sz w:val="24"/>
          <w:szCs w:val="24"/>
        </w:rPr>
        <w:t>Other Critical Staples:</w:t>
      </w:r>
      <w:r w:rsidRPr="00361AA3">
        <w:rPr>
          <w:sz w:val="24"/>
          <w:szCs w:val="24"/>
        </w:rPr>
        <w:t xml:space="preserve"> </w:t>
      </w:r>
      <w:r w:rsidRPr="00361AA3">
        <w:rPr>
          <w:sz w:val="22"/>
          <w:szCs w:val="22"/>
        </w:rPr>
        <w:t>In 2023, purchasing power violently contracted for Sugar (-43%), Eggs (-41%), Rice (-40%), and Lentils (-38%).</w:t>
      </w:r>
    </w:p>
    <w:p w14:paraId="03CD13CB" w14:textId="053EF6A9" w:rsidR="00361AA3" w:rsidRPr="00361AA3" w:rsidRDefault="00361AA3" w:rsidP="00361AA3">
      <w:pPr>
        <w:numPr>
          <w:ilvl w:val="0"/>
          <w:numId w:val="5"/>
        </w:numPr>
        <w:spacing w:before="100" w:beforeAutospacing="1" w:after="100" w:afterAutospacing="1"/>
        <w:rPr>
          <w:sz w:val="24"/>
          <w:szCs w:val="24"/>
        </w:rPr>
      </w:pPr>
      <w:r w:rsidRPr="00361AA3">
        <w:rPr>
          <w:b/>
          <w:bCs/>
          <w:sz w:val="24"/>
          <w:szCs w:val="24"/>
        </w:rPr>
        <w:t>Domestic Stabilizers:</w:t>
      </w:r>
      <w:r w:rsidRPr="00361AA3">
        <w:rPr>
          <w:sz w:val="24"/>
          <w:szCs w:val="24"/>
        </w:rPr>
        <w:t xml:space="preserve"> </w:t>
      </w:r>
      <w:r w:rsidRPr="00361AA3">
        <w:rPr>
          <w:sz w:val="22"/>
          <w:szCs w:val="22"/>
        </w:rPr>
        <w:t>The data proves a stark contrast between imported goods and pure domestic crops. Locally sourced items like Tomatoes, Potatoes, and Fresh Fava Beans actually stabilized the market, seeing slight increases in affordability because their localized inflation was outpaced by wage hikes.</w:t>
      </w:r>
    </w:p>
    <w:p w14:paraId="00541BE7" w14:textId="77777777" w:rsidR="008E54A2" w:rsidRDefault="008E54A2" w:rsidP="00361AA3">
      <w:pPr>
        <w:rPr>
          <w:b/>
          <w:bCs/>
          <w:sz w:val="24"/>
          <w:szCs w:val="24"/>
        </w:rPr>
      </w:pPr>
    </w:p>
    <w:p w14:paraId="017E2688" w14:textId="77777777" w:rsidR="008E54A2" w:rsidRDefault="008E54A2" w:rsidP="00361AA3">
      <w:pPr>
        <w:rPr>
          <w:b/>
          <w:bCs/>
          <w:sz w:val="24"/>
          <w:szCs w:val="24"/>
        </w:rPr>
      </w:pPr>
    </w:p>
    <w:p w14:paraId="06843271" w14:textId="77777777" w:rsidR="008E54A2" w:rsidRDefault="008E54A2" w:rsidP="00361AA3">
      <w:pPr>
        <w:rPr>
          <w:b/>
          <w:bCs/>
          <w:sz w:val="24"/>
          <w:szCs w:val="24"/>
        </w:rPr>
      </w:pPr>
    </w:p>
    <w:p w14:paraId="626F08A4" w14:textId="77777777" w:rsidR="008E54A2" w:rsidRDefault="008E54A2" w:rsidP="00361AA3">
      <w:pPr>
        <w:rPr>
          <w:b/>
          <w:bCs/>
          <w:sz w:val="24"/>
          <w:szCs w:val="24"/>
        </w:rPr>
      </w:pPr>
    </w:p>
    <w:p w14:paraId="41F86486" w14:textId="77777777" w:rsidR="008E54A2" w:rsidRDefault="008E54A2" w:rsidP="00361AA3">
      <w:pPr>
        <w:rPr>
          <w:b/>
          <w:bCs/>
          <w:sz w:val="24"/>
          <w:szCs w:val="24"/>
        </w:rPr>
      </w:pPr>
    </w:p>
    <w:p w14:paraId="228242C9" w14:textId="77777777" w:rsidR="008E54A2" w:rsidRDefault="008E54A2" w:rsidP="00361AA3">
      <w:pPr>
        <w:rPr>
          <w:b/>
          <w:bCs/>
          <w:sz w:val="24"/>
          <w:szCs w:val="24"/>
        </w:rPr>
      </w:pPr>
    </w:p>
    <w:p w14:paraId="578EE226" w14:textId="77777777" w:rsidR="008E54A2" w:rsidRDefault="008E54A2" w:rsidP="00361AA3">
      <w:pPr>
        <w:rPr>
          <w:b/>
          <w:bCs/>
          <w:sz w:val="24"/>
          <w:szCs w:val="24"/>
        </w:rPr>
      </w:pPr>
    </w:p>
    <w:p w14:paraId="0F5ED0A5" w14:textId="77777777" w:rsidR="008E54A2" w:rsidRDefault="008E54A2" w:rsidP="00361AA3">
      <w:pPr>
        <w:rPr>
          <w:b/>
          <w:bCs/>
          <w:sz w:val="24"/>
          <w:szCs w:val="24"/>
        </w:rPr>
      </w:pPr>
    </w:p>
    <w:p w14:paraId="4990E4C3" w14:textId="77777777" w:rsidR="008E54A2" w:rsidRDefault="008E54A2" w:rsidP="00361AA3">
      <w:pPr>
        <w:rPr>
          <w:b/>
          <w:bCs/>
          <w:sz w:val="24"/>
          <w:szCs w:val="24"/>
        </w:rPr>
      </w:pPr>
    </w:p>
    <w:p w14:paraId="119F56F4" w14:textId="77777777" w:rsidR="008E54A2" w:rsidRDefault="008E54A2" w:rsidP="00361AA3">
      <w:pPr>
        <w:rPr>
          <w:b/>
          <w:bCs/>
          <w:sz w:val="24"/>
          <w:szCs w:val="24"/>
        </w:rPr>
      </w:pPr>
    </w:p>
    <w:p w14:paraId="6D6B58CB" w14:textId="77777777" w:rsidR="008E54A2" w:rsidRDefault="008E54A2" w:rsidP="00361AA3">
      <w:pPr>
        <w:rPr>
          <w:b/>
          <w:bCs/>
          <w:sz w:val="24"/>
          <w:szCs w:val="24"/>
        </w:rPr>
      </w:pPr>
    </w:p>
    <w:p w14:paraId="3BF9BFF5" w14:textId="77777777" w:rsidR="008E54A2" w:rsidRDefault="008E54A2" w:rsidP="00361AA3">
      <w:pPr>
        <w:rPr>
          <w:b/>
          <w:bCs/>
          <w:sz w:val="24"/>
          <w:szCs w:val="24"/>
        </w:rPr>
      </w:pPr>
    </w:p>
    <w:p w14:paraId="51271CF6" w14:textId="77777777" w:rsidR="008E54A2" w:rsidRDefault="008E54A2" w:rsidP="00361AA3">
      <w:pPr>
        <w:rPr>
          <w:b/>
          <w:bCs/>
          <w:sz w:val="24"/>
          <w:szCs w:val="24"/>
        </w:rPr>
      </w:pPr>
    </w:p>
    <w:p w14:paraId="57AC8590" w14:textId="77777777" w:rsidR="008E54A2" w:rsidRDefault="008E54A2" w:rsidP="00361AA3">
      <w:pPr>
        <w:rPr>
          <w:b/>
          <w:bCs/>
          <w:sz w:val="24"/>
          <w:szCs w:val="24"/>
        </w:rPr>
      </w:pPr>
    </w:p>
    <w:p w14:paraId="0653E164" w14:textId="77777777" w:rsidR="008E54A2" w:rsidRDefault="008E54A2" w:rsidP="00361AA3">
      <w:pPr>
        <w:rPr>
          <w:b/>
          <w:bCs/>
          <w:sz w:val="24"/>
          <w:szCs w:val="24"/>
        </w:rPr>
      </w:pPr>
    </w:p>
    <w:p w14:paraId="5391B37E" w14:textId="77777777" w:rsidR="008E54A2" w:rsidRDefault="008E54A2" w:rsidP="00361AA3">
      <w:pPr>
        <w:rPr>
          <w:b/>
          <w:bCs/>
          <w:sz w:val="24"/>
          <w:szCs w:val="24"/>
        </w:rPr>
      </w:pPr>
    </w:p>
    <w:p w14:paraId="6D7CF789" w14:textId="5AFA68C2" w:rsidR="00361AA3" w:rsidRPr="00361AA3" w:rsidRDefault="00361AA3" w:rsidP="00361AA3">
      <w:pPr>
        <w:rPr>
          <w:sz w:val="24"/>
          <w:szCs w:val="24"/>
        </w:rPr>
      </w:pPr>
      <w:r w:rsidRPr="00361AA3">
        <w:rPr>
          <w:b/>
          <w:bCs/>
          <w:sz w:val="24"/>
          <w:szCs w:val="24"/>
        </w:rPr>
        <w:t>Visualizations &amp; Interactive Features</w:t>
      </w:r>
    </w:p>
    <w:p w14:paraId="6E3123B9" w14:textId="77777777" w:rsidR="00361AA3" w:rsidRPr="00361AA3" w:rsidRDefault="00361AA3" w:rsidP="00361AA3">
      <w:pPr>
        <w:numPr>
          <w:ilvl w:val="0"/>
          <w:numId w:val="6"/>
        </w:numPr>
        <w:spacing w:before="100" w:beforeAutospacing="1" w:after="100" w:afterAutospacing="1"/>
        <w:rPr>
          <w:sz w:val="24"/>
          <w:szCs w:val="24"/>
        </w:rPr>
      </w:pPr>
      <w:r w:rsidRPr="00361AA3">
        <w:rPr>
          <w:b/>
          <w:bCs/>
          <w:sz w:val="24"/>
          <w:szCs w:val="24"/>
        </w:rPr>
        <w:t>100% Stacked Bar Chart (Income Erosion vs. Retained Income):</w:t>
      </w:r>
      <w:r w:rsidRPr="00361AA3">
        <w:rPr>
          <w:sz w:val="24"/>
          <w:szCs w:val="24"/>
        </w:rPr>
        <w:t xml:space="preserve"> </w:t>
      </w:r>
      <w:r w:rsidRPr="00361AA3">
        <w:rPr>
          <w:sz w:val="22"/>
          <w:szCs w:val="22"/>
        </w:rPr>
        <w:t>Visually highlights the severe human cost of inflation by displaying the exact percentage of income consumed by a selected food item versus the retained income left for housing, healthcare, and education.</w:t>
      </w:r>
    </w:p>
    <w:p w14:paraId="6E347235" w14:textId="77777777" w:rsidR="00361AA3" w:rsidRPr="00361AA3" w:rsidRDefault="00361AA3" w:rsidP="00361AA3">
      <w:pPr>
        <w:numPr>
          <w:ilvl w:val="0"/>
          <w:numId w:val="6"/>
        </w:numPr>
        <w:spacing w:before="100" w:beforeAutospacing="1" w:after="100" w:afterAutospacing="1"/>
        <w:rPr>
          <w:sz w:val="24"/>
          <w:szCs w:val="24"/>
        </w:rPr>
      </w:pPr>
      <w:r w:rsidRPr="00361AA3">
        <w:rPr>
          <w:b/>
          <w:bCs/>
          <w:sz w:val="24"/>
          <w:szCs w:val="24"/>
        </w:rPr>
        <w:t>Waterfall Chart (Affordability YoY %):</w:t>
      </w:r>
      <w:r w:rsidRPr="00361AA3">
        <w:rPr>
          <w:sz w:val="24"/>
          <w:szCs w:val="24"/>
        </w:rPr>
        <w:t xml:space="preserve"> </w:t>
      </w:r>
      <w:r w:rsidRPr="00361AA3">
        <w:rPr>
          <w:sz w:val="22"/>
          <w:szCs w:val="22"/>
        </w:rPr>
        <w:t>Tracks the sharp annual decline in real-world physical affordability, clearly illustrating the compounding collapse: a -22% drop in 2022, followed by a massive -31% drop in 2023.</w:t>
      </w:r>
    </w:p>
    <w:p w14:paraId="486B1347" w14:textId="38976948" w:rsidR="007A1CFD" w:rsidRPr="006528AB" w:rsidRDefault="00361AA3" w:rsidP="006528AB">
      <w:pPr>
        <w:numPr>
          <w:ilvl w:val="0"/>
          <w:numId w:val="6"/>
        </w:numPr>
        <w:spacing w:before="100" w:beforeAutospacing="1" w:after="100" w:afterAutospacing="1"/>
        <w:rPr>
          <w:sz w:val="24"/>
          <w:szCs w:val="24"/>
        </w:rPr>
      </w:pPr>
      <w:r w:rsidRPr="00361AA3">
        <w:rPr>
          <w:b/>
          <w:bCs/>
          <w:sz w:val="24"/>
          <w:szCs w:val="24"/>
        </w:rPr>
        <w:t>Combo Line and Clustered Column Chart (Wage vs. Units Affordable):</w:t>
      </w:r>
      <w:r w:rsidRPr="00361AA3">
        <w:rPr>
          <w:sz w:val="24"/>
          <w:szCs w:val="24"/>
        </w:rPr>
        <w:t xml:space="preserve"> </w:t>
      </w:r>
      <w:r w:rsidRPr="00361AA3">
        <w:rPr>
          <w:sz w:val="22"/>
          <w:szCs w:val="22"/>
        </w:rPr>
        <w:t>A critical visual proving the wage-inflation disconnect. It shows the nominal wage bars climbing upward over time, while the line representing real physical units affordable violently trends downward.</w:t>
      </w:r>
    </w:p>
    <w:p w14:paraId="1FD4FCE5" w14:textId="0A9B27F4" w:rsidR="00BB2F6D" w:rsidRDefault="008D7300" w:rsidP="00BB2F6D">
      <w:pPr>
        <w:pStyle w:val="ListParagraph"/>
        <w:spacing w:after="100"/>
        <w:ind w:left="504"/>
      </w:pPr>
      <w:r w:rsidRPr="008D7300">
        <w:rPr>
          <w:noProof/>
        </w:rPr>
        <w:drawing>
          <wp:inline distT="0" distB="0" distL="0" distR="0" wp14:anchorId="7D58690B" wp14:editId="6B3EFEDC">
            <wp:extent cx="6188710" cy="3458845"/>
            <wp:effectExtent l="0" t="0" r="2540" b="8255"/>
            <wp:docPr id="28637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72342" name=""/>
                    <pic:cNvPicPr/>
                  </pic:nvPicPr>
                  <pic:blipFill>
                    <a:blip r:embed="rId11"/>
                    <a:stretch>
                      <a:fillRect/>
                    </a:stretch>
                  </pic:blipFill>
                  <pic:spPr>
                    <a:xfrm>
                      <a:off x="0" y="0"/>
                      <a:ext cx="6188710" cy="3458845"/>
                    </a:xfrm>
                    <a:prstGeom prst="rect">
                      <a:avLst/>
                    </a:prstGeom>
                  </pic:spPr>
                </pic:pic>
              </a:graphicData>
            </a:graphic>
          </wp:inline>
        </w:drawing>
      </w:r>
    </w:p>
    <w:p w14:paraId="39B61B49" w14:textId="77777777" w:rsidR="00F12FA5" w:rsidRDefault="00F12FA5">
      <w:pPr>
        <w:pStyle w:val="Heading4"/>
        <w:spacing w:before="200" w:after="100"/>
        <w:rPr>
          <w:b/>
          <w:bCs/>
          <w:color w:val="1F3864"/>
          <w:sz w:val="21"/>
          <w:szCs w:val="21"/>
        </w:rPr>
      </w:pPr>
    </w:p>
    <w:p w14:paraId="5F550ABC" w14:textId="77777777" w:rsidR="00F12FA5" w:rsidRDefault="00F12FA5">
      <w:pPr>
        <w:pStyle w:val="Heading4"/>
        <w:spacing w:before="200" w:after="100"/>
        <w:rPr>
          <w:b/>
          <w:bCs/>
          <w:color w:val="1F3864"/>
          <w:sz w:val="21"/>
          <w:szCs w:val="21"/>
        </w:rPr>
      </w:pPr>
    </w:p>
    <w:p w14:paraId="02FEBED7" w14:textId="77777777" w:rsidR="003E30D0" w:rsidRDefault="003E30D0" w:rsidP="003E30D0">
      <w:pPr>
        <w:pStyle w:val="Heading4"/>
        <w:spacing w:before="200" w:after="100"/>
        <w:rPr>
          <w:b/>
          <w:bCs/>
          <w:color w:val="1F3864"/>
          <w:sz w:val="28"/>
          <w:szCs w:val="28"/>
        </w:rPr>
      </w:pPr>
    </w:p>
    <w:p w14:paraId="50D6D2E0" w14:textId="77777777" w:rsidR="003E30D0" w:rsidRDefault="003E30D0" w:rsidP="003E30D0">
      <w:pPr>
        <w:pStyle w:val="Heading4"/>
        <w:spacing w:before="200" w:after="100"/>
        <w:rPr>
          <w:b/>
          <w:bCs/>
          <w:color w:val="1F3864"/>
          <w:sz w:val="28"/>
          <w:szCs w:val="28"/>
        </w:rPr>
      </w:pPr>
    </w:p>
    <w:p w14:paraId="1FD8F384" w14:textId="77777777" w:rsidR="003E30D0" w:rsidRDefault="003E30D0" w:rsidP="003E30D0">
      <w:pPr>
        <w:pStyle w:val="Heading4"/>
        <w:spacing w:before="200" w:after="100"/>
        <w:rPr>
          <w:b/>
          <w:bCs/>
          <w:color w:val="1F3864"/>
          <w:sz w:val="28"/>
          <w:szCs w:val="28"/>
        </w:rPr>
      </w:pPr>
    </w:p>
    <w:p w14:paraId="470B6C88" w14:textId="77777777" w:rsidR="003E30D0" w:rsidRDefault="003E30D0" w:rsidP="003E30D0">
      <w:pPr>
        <w:pStyle w:val="Heading4"/>
        <w:spacing w:before="200" w:after="100"/>
        <w:rPr>
          <w:b/>
          <w:bCs/>
          <w:color w:val="1F3864"/>
          <w:sz w:val="28"/>
          <w:szCs w:val="28"/>
        </w:rPr>
      </w:pPr>
    </w:p>
    <w:p w14:paraId="2F06246A" w14:textId="77777777" w:rsidR="003E30D0" w:rsidRDefault="003E30D0" w:rsidP="003E30D0">
      <w:pPr>
        <w:pStyle w:val="Heading4"/>
        <w:spacing w:before="200" w:after="100"/>
        <w:rPr>
          <w:b/>
          <w:bCs/>
          <w:color w:val="1F3864"/>
          <w:sz w:val="28"/>
          <w:szCs w:val="28"/>
        </w:rPr>
      </w:pPr>
    </w:p>
    <w:p w14:paraId="07042D16" w14:textId="77777777" w:rsidR="003E30D0" w:rsidRDefault="003E30D0" w:rsidP="003E30D0">
      <w:pPr>
        <w:pStyle w:val="Heading4"/>
        <w:spacing w:before="200" w:after="100"/>
        <w:rPr>
          <w:b/>
          <w:bCs/>
          <w:color w:val="1F3864"/>
          <w:sz w:val="28"/>
          <w:szCs w:val="28"/>
        </w:rPr>
      </w:pPr>
    </w:p>
    <w:p w14:paraId="7D25C449" w14:textId="77777777" w:rsidR="003E30D0" w:rsidRDefault="003E30D0" w:rsidP="003E30D0">
      <w:pPr>
        <w:pStyle w:val="Heading4"/>
        <w:spacing w:before="200" w:after="100"/>
        <w:rPr>
          <w:b/>
          <w:bCs/>
          <w:color w:val="1F3864"/>
          <w:sz w:val="28"/>
          <w:szCs w:val="28"/>
        </w:rPr>
      </w:pPr>
    </w:p>
    <w:p w14:paraId="5E8299A6" w14:textId="77777777" w:rsidR="003E30D0" w:rsidRDefault="003E30D0" w:rsidP="003E30D0">
      <w:pPr>
        <w:pStyle w:val="Heading4"/>
        <w:spacing w:before="200" w:after="100"/>
        <w:rPr>
          <w:b/>
          <w:bCs/>
          <w:color w:val="1F3864"/>
          <w:sz w:val="28"/>
          <w:szCs w:val="28"/>
        </w:rPr>
      </w:pPr>
    </w:p>
    <w:p w14:paraId="139CF882" w14:textId="2CE81537" w:rsidR="003E30D0" w:rsidRPr="003E30D0" w:rsidRDefault="003E30D0" w:rsidP="003E30D0">
      <w:pPr>
        <w:pStyle w:val="Heading4"/>
        <w:spacing w:before="200" w:after="100"/>
        <w:rPr>
          <w:b/>
          <w:bCs/>
          <w:color w:val="1F3864"/>
          <w:sz w:val="28"/>
          <w:szCs w:val="28"/>
        </w:rPr>
      </w:pPr>
      <w:r w:rsidRPr="003E30D0">
        <w:rPr>
          <w:b/>
          <w:bCs/>
          <w:color w:val="1F3864"/>
          <w:sz w:val="28"/>
          <w:szCs w:val="28"/>
        </w:rPr>
        <w:lastRenderedPageBreak/>
        <w:t>Page 4: Sovereign Trade Vulnerabilities</w:t>
      </w:r>
    </w:p>
    <w:p w14:paraId="07F648A7" w14:textId="77777777" w:rsidR="003E30D0" w:rsidRPr="003E30D0" w:rsidRDefault="003E30D0" w:rsidP="003E30D0">
      <w:pPr>
        <w:rPr>
          <w:sz w:val="22"/>
          <w:szCs w:val="22"/>
        </w:rPr>
      </w:pPr>
      <w:r w:rsidRPr="003E30D0">
        <w:rPr>
          <w:sz w:val="22"/>
          <w:szCs w:val="22"/>
        </w:rPr>
        <w:t>The final analytical layer examines the macroeconomic paradox of the crisis by mapping supply chain vulnerabilities, foreign trade dependencies, and predictive pricing.</w:t>
      </w:r>
    </w:p>
    <w:p w14:paraId="0E4DF5B4" w14:textId="77777777" w:rsidR="003E30D0" w:rsidRPr="003E30D0" w:rsidRDefault="003E30D0" w:rsidP="003E30D0">
      <w:pPr>
        <w:rPr>
          <w:sz w:val="24"/>
          <w:szCs w:val="24"/>
        </w:rPr>
      </w:pPr>
      <w:r w:rsidRPr="003E30D0">
        <w:rPr>
          <w:b/>
          <w:bCs/>
          <w:sz w:val="24"/>
          <w:szCs w:val="24"/>
        </w:rPr>
        <w:t>Core KPIs &amp; The Import Paradox</w:t>
      </w:r>
    </w:p>
    <w:p w14:paraId="5FD7B55C" w14:textId="77777777" w:rsidR="003E30D0" w:rsidRPr="003E30D0" w:rsidRDefault="003E30D0" w:rsidP="003E30D0">
      <w:pPr>
        <w:numPr>
          <w:ilvl w:val="0"/>
          <w:numId w:val="11"/>
        </w:numPr>
        <w:spacing w:before="100" w:beforeAutospacing="1" w:after="100" w:afterAutospacing="1"/>
        <w:rPr>
          <w:sz w:val="24"/>
          <w:szCs w:val="24"/>
        </w:rPr>
      </w:pPr>
      <w:r w:rsidRPr="003E30D0">
        <w:rPr>
          <w:b/>
          <w:bCs/>
          <w:sz w:val="24"/>
          <w:szCs w:val="24"/>
        </w:rPr>
        <w:t>Stable Global USD vs. Exploding EGP Costs:</w:t>
      </w:r>
      <w:r w:rsidRPr="003E30D0">
        <w:rPr>
          <w:sz w:val="24"/>
          <w:szCs w:val="24"/>
        </w:rPr>
        <w:t xml:space="preserve"> </w:t>
      </w:r>
      <w:r w:rsidRPr="003E30D0">
        <w:rPr>
          <w:sz w:val="22"/>
          <w:szCs w:val="22"/>
        </w:rPr>
        <w:t xml:space="preserve">Benchmarks the root paradox of the crisis. The data proves global commodity prices actually </w:t>
      </w:r>
      <w:r w:rsidRPr="003E30D0">
        <w:rPr>
          <w:i/>
          <w:iCs/>
          <w:sz w:val="22"/>
          <w:szCs w:val="22"/>
        </w:rPr>
        <w:t>dropped</w:t>
      </w:r>
      <w:r w:rsidRPr="003E30D0">
        <w:rPr>
          <w:sz w:val="22"/>
          <w:szCs w:val="22"/>
        </w:rPr>
        <w:t xml:space="preserve"> from </w:t>
      </w:r>
      <w:r w:rsidRPr="003E30D0">
        <w:rPr>
          <w:b/>
          <w:bCs/>
          <w:sz w:val="22"/>
          <w:szCs w:val="22"/>
        </w:rPr>
        <w:t>0.98/ton (2024)</w:t>
      </w:r>
      <w:r w:rsidRPr="003E30D0">
        <w:rPr>
          <w:sz w:val="22"/>
          <w:szCs w:val="22"/>
        </w:rPr>
        <w:t xml:space="preserve">. However, due to the currency collapse, the total local import bill exploded from </w:t>
      </w:r>
      <w:r w:rsidRPr="003E30D0">
        <w:rPr>
          <w:b/>
          <w:bCs/>
          <w:sz w:val="22"/>
          <w:szCs w:val="22"/>
        </w:rPr>
        <w:t>16.2 Billion EGP</w:t>
      </w:r>
      <w:r w:rsidRPr="003E30D0">
        <w:rPr>
          <w:sz w:val="22"/>
          <w:szCs w:val="22"/>
        </w:rPr>
        <w:t xml:space="preserve"> to an unsustainable </w:t>
      </w:r>
      <w:r w:rsidRPr="003E30D0">
        <w:rPr>
          <w:b/>
          <w:bCs/>
          <w:sz w:val="22"/>
          <w:szCs w:val="22"/>
        </w:rPr>
        <w:t>119.2 Billion EGP</w:t>
      </w:r>
      <w:r w:rsidRPr="003E30D0">
        <w:rPr>
          <w:sz w:val="22"/>
          <w:szCs w:val="22"/>
        </w:rPr>
        <w:t xml:space="preserve"> (a +635% spike).</w:t>
      </w:r>
    </w:p>
    <w:p w14:paraId="789E4B44" w14:textId="47F61B12" w:rsidR="003E30D0" w:rsidRPr="003E30D0" w:rsidRDefault="003E30D0" w:rsidP="003E30D0">
      <w:pPr>
        <w:numPr>
          <w:ilvl w:val="0"/>
          <w:numId w:val="11"/>
        </w:numPr>
        <w:spacing w:before="100" w:beforeAutospacing="1" w:after="100" w:afterAutospacing="1"/>
        <w:rPr>
          <w:b/>
          <w:bCs/>
          <w:sz w:val="24"/>
          <w:szCs w:val="24"/>
        </w:rPr>
      </w:pPr>
      <w:r w:rsidRPr="003E30D0">
        <w:rPr>
          <w:b/>
          <w:bCs/>
          <w:sz w:val="24"/>
          <w:szCs w:val="24"/>
        </w:rPr>
        <w:t>Highest Risk Partner:</w:t>
      </w:r>
      <w:r w:rsidRPr="003E30D0">
        <w:rPr>
          <w:sz w:val="24"/>
          <w:szCs w:val="24"/>
        </w:rPr>
        <w:t xml:space="preserve"> </w:t>
      </w:r>
      <w:r w:rsidRPr="003E30D0">
        <w:rPr>
          <w:sz w:val="22"/>
          <w:szCs w:val="22"/>
        </w:rPr>
        <w:t xml:space="preserve">Identifies the extreme sovereign concentration risk. </w:t>
      </w:r>
      <w:r w:rsidRPr="003E30D0">
        <w:rPr>
          <w:b/>
          <w:bCs/>
          <w:sz w:val="22"/>
          <w:szCs w:val="22"/>
        </w:rPr>
        <w:t>Brazil</w:t>
      </w:r>
      <w:r w:rsidRPr="003E30D0">
        <w:rPr>
          <w:sz w:val="22"/>
          <w:szCs w:val="22"/>
        </w:rPr>
        <w:t xml:space="preserve"> dominated the supply chain, supplying a massive </w:t>
      </w:r>
      <w:r w:rsidRPr="003E30D0">
        <w:rPr>
          <w:b/>
          <w:bCs/>
          <w:sz w:val="22"/>
          <w:szCs w:val="22"/>
        </w:rPr>
        <w:t>2.25 Billion MT</w:t>
      </w:r>
      <w:r w:rsidRPr="003E30D0">
        <w:rPr>
          <w:sz w:val="22"/>
          <w:szCs w:val="22"/>
        </w:rPr>
        <w:t xml:space="preserve"> of Egypt's agricultural import volume.</w:t>
      </w:r>
    </w:p>
    <w:p w14:paraId="73AC533E" w14:textId="1B9685F8" w:rsidR="003E30D0" w:rsidRPr="003E30D0" w:rsidRDefault="003E30D0" w:rsidP="003E30D0">
      <w:pPr>
        <w:rPr>
          <w:sz w:val="24"/>
          <w:szCs w:val="24"/>
        </w:rPr>
      </w:pPr>
      <w:r w:rsidRPr="003E30D0">
        <w:rPr>
          <w:b/>
          <w:bCs/>
          <w:sz w:val="24"/>
          <w:szCs w:val="24"/>
        </w:rPr>
        <w:t>Visualizations &amp; Predictive Modeling</w:t>
      </w:r>
    </w:p>
    <w:p w14:paraId="3502654A" w14:textId="77777777" w:rsidR="003E30D0" w:rsidRPr="003E30D0" w:rsidRDefault="003E30D0" w:rsidP="003E30D0">
      <w:pPr>
        <w:numPr>
          <w:ilvl w:val="0"/>
          <w:numId w:val="12"/>
        </w:numPr>
        <w:spacing w:before="100" w:beforeAutospacing="1" w:after="100" w:afterAutospacing="1"/>
        <w:rPr>
          <w:sz w:val="24"/>
          <w:szCs w:val="24"/>
        </w:rPr>
      </w:pPr>
      <w:r w:rsidRPr="003E30D0">
        <w:rPr>
          <w:b/>
          <w:bCs/>
          <w:sz w:val="24"/>
          <w:szCs w:val="24"/>
        </w:rPr>
        <w:t>Azure Geospatial Maps:</w:t>
      </w:r>
      <w:r w:rsidRPr="003E30D0">
        <w:rPr>
          <w:sz w:val="24"/>
          <w:szCs w:val="24"/>
        </w:rPr>
        <w:t xml:space="preserve"> </w:t>
      </w:r>
      <w:r w:rsidRPr="003E30D0">
        <w:rPr>
          <w:sz w:val="22"/>
          <w:szCs w:val="22"/>
        </w:rPr>
        <w:t>Visually plots trade volumes across the globe, exposing the severe supply chain centralization on key partners like Brazil, Australia (1.41 Billion MT), and the Russian Federation (1.38 Billion MT).</w:t>
      </w:r>
    </w:p>
    <w:p w14:paraId="37F493C9" w14:textId="77777777" w:rsidR="003E30D0" w:rsidRPr="003E30D0" w:rsidRDefault="003E30D0" w:rsidP="003E30D0">
      <w:pPr>
        <w:numPr>
          <w:ilvl w:val="0"/>
          <w:numId w:val="12"/>
        </w:numPr>
        <w:spacing w:before="100" w:beforeAutospacing="1" w:after="100" w:afterAutospacing="1"/>
        <w:rPr>
          <w:sz w:val="24"/>
          <w:szCs w:val="24"/>
        </w:rPr>
      </w:pPr>
      <w:r w:rsidRPr="003E30D0">
        <w:rPr>
          <w:b/>
          <w:bCs/>
          <w:sz w:val="24"/>
          <w:szCs w:val="24"/>
        </w:rPr>
        <w:t>Clustered Bar Charts (Value Exposures):</w:t>
      </w:r>
      <w:r w:rsidRPr="003E30D0">
        <w:rPr>
          <w:sz w:val="24"/>
          <w:szCs w:val="24"/>
        </w:rPr>
        <w:t xml:space="preserve"> </w:t>
      </w:r>
      <w:r w:rsidRPr="003E30D0">
        <w:rPr>
          <w:sz w:val="22"/>
          <w:szCs w:val="22"/>
        </w:rPr>
        <w:t xml:space="preserve">Identifies the highest-value USD drain on the economy, specifically flagging </w:t>
      </w:r>
      <w:r w:rsidRPr="003E30D0">
        <w:rPr>
          <w:b/>
          <w:bCs/>
          <w:sz w:val="22"/>
          <w:szCs w:val="22"/>
        </w:rPr>
        <w:t>Sunflower Oil (1.87 Billion)</w:t>
      </w:r>
      <w:r w:rsidRPr="003E30D0">
        <w:rPr>
          <w:sz w:val="22"/>
          <w:szCs w:val="22"/>
        </w:rPr>
        <w:t xml:space="preserve">, and </w:t>
      </w:r>
      <w:r w:rsidRPr="003E30D0">
        <w:rPr>
          <w:b/>
          <w:bCs/>
          <w:sz w:val="22"/>
          <w:szCs w:val="22"/>
        </w:rPr>
        <w:t>Dry Fava Beans ($1.48 Billion)</w:t>
      </w:r>
      <w:r w:rsidRPr="003E30D0">
        <w:rPr>
          <w:sz w:val="22"/>
          <w:szCs w:val="22"/>
        </w:rPr>
        <w:t xml:space="preserve"> as the primary strategic targets for sovereign hedging.</w:t>
      </w:r>
    </w:p>
    <w:p w14:paraId="3CD65FEF" w14:textId="77777777" w:rsidR="003E30D0" w:rsidRPr="003E30D0" w:rsidRDefault="003E30D0" w:rsidP="003E30D0">
      <w:pPr>
        <w:numPr>
          <w:ilvl w:val="0"/>
          <w:numId w:val="12"/>
        </w:numPr>
        <w:spacing w:before="100" w:beforeAutospacing="1" w:after="100" w:afterAutospacing="1"/>
        <w:rPr>
          <w:sz w:val="24"/>
          <w:szCs w:val="24"/>
        </w:rPr>
      </w:pPr>
      <w:r w:rsidRPr="003E30D0">
        <w:rPr>
          <w:b/>
          <w:bCs/>
          <w:sz w:val="24"/>
          <w:szCs w:val="24"/>
        </w:rPr>
        <w:t>Predictive Analytics (ERPT Simulation Line Chart):</w:t>
      </w:r>
      <w:r w:rsidRPr="003E30D0">
        <w:rPr>
          <w:sz w:val="24"/>
          <w:szCs w:val="24"/>
        </w:rPr>
        <w:t xml:space="preserve"> </w:t>
      </w:r>
      <w:r w:rsidRPr="003E30D0">
        <w:rPr>
          <w:sz w:val="22"/>
          <w:szCs w:val="22"/>
        </w:rPr>
        <w:t>A highly advanced "What-If" parameter utilizing a 0.50 Exchange Rate Pass-Through (ERPT) multiplier. It visually proves that average local prices perfectly mirrored the currency shock (rising from 16.13 EGP to 45.14 EGP) and enables policymakers to preemptively simulate local market food prices up to 6 months in advance based on forecasted Central Bank currency adjustments.</w:t>
      </w:r>
    </w:p>
    <w:p w14:paraId="55CC3B89" w14:textId="790667A9" w:rsidR="00BB2F6D" w:rsidRDefault="00BB2F6D" w:rsidP="00BB2F6D">
      <w:pPr>
        <w:pStyle w:val="ListParagraph"/>
        <w:spacing w:after="100"/>
        <w:ind w:left="504"/>
      </w:pPr>
      <w:r w:rsidRPr="00BB2F6D">
        <w:rPr>
          <w:noProof/>
        </w:rPr>
        <w:drawing>
          <wp:inline distT="0" distB="0" distL="0" distR="0" wp14:anchorId="05C3BF03" wp14:editId="21D03F62">
            <wp:extent cx="6188710" cy="3477895"/>
            <wp:effectExtent l="0" t="0" r="2540" b="8255"/>
            <wp:docPr id="118887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78608" name=""/>
                    <pic:cNvPicPr/>
                  </pic:nvPicPr>
                  <pic:blipFill>
                    <a:blip r:embed="rId12"/>
                    <a:stretch>
                      <a:fillRect/>
                    </a:stretch>
                  </pic:blipFill>
                  <pic:spPr>
                    <a:xfrm>
                      <a:off x="0" y="0"/>
                      <a:ext cx="6188710" cy="3477895"/>
                    </a:xfrm>
                    <a:prstGeom prst="rect">
                      <a:avLst/>
                    </a:prstGeom>
                  </pic:spPr>
                </pic:pic>
              </a:graphicData>
            </a:graphic>
          </wp:inline>
        </w:drawing>
      </w:r>
    </w:p>
    <w:p w14:paraId="7751A648" w14:textId="77777777" w:rsidR="007A1CFD" w:rsidRDefault="00887338">
      <w:pPr>
        <w:pStyle w:val="Heading1"/>
        <w:pageBreakBefore/>
        <w:pBdr>
          <w:bottom w:val="single" w:sz="12" w:space="8" w:color="B8860B"/>
        </w:pBdr>
        <w:spacing w:before="200" w:after="240"/>
      </w:pPr>
      <w:bookmarkStart w:id="44" w:name="_Toc234072284"/>
      <w:bookmarkStart w:id="45" w:name="_Toc234429723"/>
      <w:r>
        <w:rPr>
          <w:b/>
          <w:bCs/>
          <w:color w:val="1F3864"/>
          <w:sz w:val="34"/>
          <w:szCs w:val="34"/>
        </w:rPr>
        <w:lastRenderedPageBreak/>
        <w:t>Chapter 3: Analysis &amp; Insights</w:t>
      </w:r>
      <w:bookmarkEnd w:id="44"/>
      <w:bookmarkEnd w:id="45"/>
    </w:p>
    <w:p w14:paraId="1265027C" w14:textId="77777777" w:rsidR="007A1CFD" w:rsidRDefault="00887338">
      <w:pPr>
        <w:spacing w:after="160" w:line="300" w:lineRule="auto"/>
        <w:jc w:val="both"/>
      </w:pPr>
      <w:r>
        <w:rPr>
          <w:sz w:val="22"/>
          <w:szCs w:val="22"/>
        </w:rPr>
        <w:t>This chapter synthesizes the granular data compiled between 2020 and 2024 to diagnose the structural failures in Egypt's food security framework. By isolating the correlation between currency volatility and market price transmission, we can move from observation to actionable strategic intervention.</w:t>
      </w:r>
    </w:p>
    <w:p w14:paraId="481CF8EE" w14:textId="77777777" w:rsidR="007A1CFD" w:rsidRDefault="00887338">
      <w:pPr>
        <w:pStyle w:val="Heading2"/>
        <w:spacing w:before="320" w:after="160"/>
      </w:pPr>
      <w:bookmarkStart w:id="46" w:name="_Toc234072285"/>
      <w:bookmarkStart w:id="47" w:name="_Toc234429724"/>
      <w:r>
        <w:rPr>
          <w:b/>
          <w:bCs/>
          <w:color w:val="1F3864"/>
        </w:rPr>
        <w:t>3.1 Page 1: Macroeconomic Overview Analysis</w:t>
      </w:r>
      <w:bookmarkEnd w:id="46"/>
      <w:bookmarkEnd w:id="47"/>
    </w:p>
    <w:p w14:paraId="1A86B0E8" w14:textId="77777777" w:rsidR="007A1CFD" w:rsidRDefault="00887338">
      <w:pPr>
        <w:pStyle w:val="Heading3"/>
        <w:spacing w:before="240" w:after="120"/>
      </w:pPr>
      <w:bookmarkStart w:id="48" w:name="_Toc234072286"/>
      <w:bookmarkStart w:id="49" w:name="_Toc234429725"/>
      <w:r>
        <w:rPr>
          <w:b/>
          <w:bCs/>
          <w:color w:val="B8860B"/>
          <w:sz w:val="22"/>
          <w:szCs w:val="22"/>
        </w:rPr>
        <w:t>A. Core KPIs (Headline CPI, Avg Exchange Rate, Max FX Devaluation, Avg Food Inflation)</w:t>
      </w:r>
      <w:bookmarkEnd w:id="48"/>
      <w:bookmarkEnd w:id="49"/>
    </w:p>
    <w:p w14:paraId="3C3D8415" w14:textId="77777777" w:rsidR="007A1CFD" w:rsidRDefault="00887338">
      <w:pPr>
        <w:shd w:val="clear" w:color="auto" w:fill="1F3864"/>
        <w:spacing w:before="240" w:after="140"/>
      </w:pPr>
      <w:r>
        <w:rPr>
          <w:b/>
          <w:bCs/>
          <w:color w:val="FFFFFF"/>
          <w:sz w:val="23"/>
          <w:szCs w:val="23"/>
        </w:rPr>
        <w:t>📌 Core KPI Snapshot — Page 1</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
        <w:gridCol w:w="2942"/>
        <w:gridCol w:w="3196"/>
      </w:tblGrid>
      <w:tr w:rsidR="007A1CFD" w14:paraId="55F313B6" w14:textId="77777777">
        <w:tc>
          <w:tcPr>
            <w:tcW w:w="8" w:type="auto"/>
            <w:tcBorders>
              <w:top w:val="none" w:sz="0" w:space="0" w:color="FFFFFF"/>
              <w:left w:val="none" w:sz="0" w:space="0" w:color="FFFFFF"/>
              <w:bottom w:val="none" w:sz="0" w:space="0" w:color="FFFFFF"/>
              <w:right w:val="none" w:sz="0" w:space="0" w:color="FFFFFF"/>
            </w:tcBorders>
            <w:vAlign w:val="center"/>
          </w:tcPr>
          <w:p w14:paraId="1F00DE44"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7F5B98DC" w14:textId="77777777" w:rsidR="007A1CFD" w:rsidRDefault="00887338">
            <w:r>
              <w:rPr>
                <w:color w:val="595959"/>
                <w:sz w:val="21"/>
                <w:szCs w:val="21"/>
              </w:rPr>
              <w:t>Max FX Devaluation</w:t>
            </w:r>
          </w:p>
        </w:tc>
        <w:tc>
          <w:tcPr>
            <w:tcW w:w="40" w:type="auto"/>
            <w:tcBorders>
              <w:top w:val="none" w:sz="0" w:space="0" w:color="FFFFFF"/>
              <w:left w:val="none" w:sz="0" w:space="0" w:color="FFFFFF"/>
              <w:bottom w:val="none" w:sz="0" w:space="0" w:color="FFFFFF"/>
              <w:right w:val="none" w:sz="0" w:space="0" w:color="FFFFFF"/>
            </w:tcBorders>
            <w:vAlign w:val="center"/>
          </w:tcPr>
          <w:p w14:paraId="78043F08" w14:textId="77777777" w:rsidR="007A1CFD" w:rsidRDefault="00887338">
            <w:pPr>
              <w:jc w:val="right"/>
            </w:pPr>
            <w:r>
              <w:rPr>
                <w:b/>
                <w:bCs/>
                <w:color w:val="C0392B"/>
                <w:sz w:val="30"/>
                <w:szCs w:val="30"/>
              </w:rPr>
              <w:t>59.84%</w:t>
            </w:r>
          </w:p>
        </w:tc>
      </w:tr>
      <w:tr w:rsidR="007A1CFD" w14:paraId="3A6003F4" w14:textId="77777777">
        <w:tc>
          <w:tcPr>
            <w:tcW w:w="8" w:type="auto"/>
            <w:tcBorders>
              <w:top w:val="none" w:sz="0" w:space="0" w:color="FFFFFF"/>
              <w:left w:val="none" w:sz="0" w:space="0" w:color="FFFFFF"/>
              <w:bottom w:val="none" w:sz="0" w:space="0" w:color="FFFFFF"/>
              <w:right w:val="none" w:sz="0" w:space="0" w:color="FFFFFF"/>
            </w:tcBorders>
            <w:vAlign w:val="center"/>
          </w:tcPr>
          <w:p w14:paraId="6948060E"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0B1D383B" w14:textId="77777777" w:rsidR="007A1CFD" w:rsidRDefault="00887338">
            <w:r>
              <w:rPr>
                <w:color w:val="595959"/>
                <w:sz w:val="21"/>
                <w:szCs w:val="21"/>
              </w:rPr>
              <w:t>Avg Exchange Rate (2020→2024)</w:t>
            </w:r>
          </w:p>
        </w:tc>
        <w:tc>
          <w:tcPr>
            <w:tcW w:w="40" w:type="auto"/>
            <w:tcBorders>
              <w:top w:val="none" w:sz="0" w:space="0" w:color="FFFFFF"/>
              <w:left w:val="none" w:sz="0" w:space="0" w:color="FFFFFF"/>
              <w:bottom w:val="none" w:sz="0" w:space="0" w:color="FFFFFF"/>
              <w:right w:val="none" w:sz="0" w:space="0" w:color="FFFFFF"/>
            </w:tcBorders>
            <w:vAlign w:val="center"/>
          </w:tcPr>
          <w:p w14:paraId="7B02ED8C" w14:textId="77777777" w:rsidR="007A1CFD" w:rsidRDefault="00887338">
            <w:pPr>
              <w:jc w:val="right"/>
            </w:pPr>
            <w:r>
              <w:rPr>
                <w:b/>
                <w:bCs/>
                <w:color w:val="1F3864"/>
                <w:sz w:val="30"/>
                <w:szCs w:val="30"/>
              </w:rPr>
              <w:t>15.75 → 45.29 EGP/USD</w:t>
            </w:r>
          </w:p>
        </w:tc>
      </w:tr>
      <w:tr w:rsidR="007A1CFD" w14:paraId="69C23F6D" w14:textId="77777777">
        <w:tc>
          <w:tcPr>
            <w:tcW w:w="8" w:type="auto"/>
            <w:tcBorders>
              <w:top w:val="none" w:sz="0" w:space="0" w:color="FFFFFF"/>
              <w:left w:val="none" w:sz="0" w:space="0" w:color="FFFFFF"/>
              <w:bottom w:val="none" w:sz="0" w:space="0" w:color="FFFFFF"/>
              <w:right w:val="none" w:sz="0" w:space="0" w:color="FFFFFF"/>
            </w:tcBorders>
            <w:vAlign w:val="center"/>
          </w:tcPr>
          <w:p w14:paraId="1084774B"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44E12EF2" w14:textId="77777777" w:rsidR="007A1CFD" w:rsidRDefault="00887338">
            <w:r>
              <w:rPr>
                <w:color w:val="595959"/>
                <w:sz w:val="21"/>
                <w:szCs w:val="21"/>
              </w:rPr>
              <w:t>Headline CPI (2023 peak)</w:t>
            </w:r>
          </w:p>
        </w:tc>
        <w:tc>
          <w:tcPr>
            <w:tcW w:w="40" w:type="auto"/>
            <w:tcBorders>
              <w:top w:val="none" w:sz="0" w:space="0" w:color="FFFFFF"/>
              <w:left w:val="none" w:sz="0" w:space="0" w:color="FFFFFF"/>
              <w:bottom w:val="none" w:sz="0" w:space="0" w:color="FFFFFF"/>
              <w:right w:val="none" w:sz="0" w:space="0" w:color="FFFFFF"/>
            </w:tcBorders>
            <w:vAlign w:val="center"/>
          </w:tcPr>
          <w:p w14:paraId="0DD2C452" w14:textId="77777777" w:rsidR="007A1CFD" w:rsidRDefault="00887338">
            <w:pPr>
              <w:jc w:val="right"/>
            </w:pPr>
            <w:r>
              <w:rPr>
                <w:b/>
                <w:bCs/>
                <w:color w:val="B8860B"/>
                <w:sz w:val="30"/>
                <w:szCs w:val="30"/>
              </w:rPr>
              <w:t>33.88%</w:t>
            </w:r>
          </w:p>
        </w:tc>
      </w:tr>
      <w:tr w:rsidR="007A1CFD" w14:paraId="28EFE3F5" w14:textId="77777777">
        <w:tc>
          <w:tcPr>
            <w:tcW w:w="8" w:type="auto"/>
            <w:tcBorders>
              <w:top w:val="none" w:sz="0" w:space="0" w:color="FFFFFF"/>
              <w:left w:val="none" w:sz="0" w:space="0" w:color="FFFFFF"/>
              <w:bottom w:val="none" w:sz="0" w:space="0" w:color="FFFFFF"/>
              <w:right w:val="none" w:sz="0" w:space="0" w:color="FFFFFF"/>
            </w:tcBorders>
            <w:vAlign w:val="center"/>
          </w:tcPr>
          <w:p w14:paraId="5C0816EE"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3D649C9A" w14:textId="77777777" w:rsidR="007A1CFD" w:rsidRDefault="00887338">
            <w:r>
              <w:rPr>
                <w:color w:val="595959"/>
                <w:sz w:val="21"/>
                <w:szCs w:val="21"/>
              </w:rPr>
              <w:t>Avg Food Inflation (peak)</w:t>
            </w:r>
          </w:p>
        </w:tc>
        <w:tc>
          <w:tcPr>
            <w:tcW w:w="40" w:type="auto"/>
            <w:tcBorders>
              <w:top w:val="none" w:sz="0" w:space="0" w:color="FFFFFF"/>
              <w:left w:val="none" w:sz="0" w:space="0" w:color="FFFFFF"/>
              <w:bottom w:val="none" w:sz="0" w:space="0" w:color="FFFFFF"/>
              <w:right w:val="none" w:sz="0" w:space="0" w:color="FFFFFF"/>
            </w:tcBorders>
            <w:vAlign w:val="center"/>
          </w:tcPr>
          <w:p w14:paraId="57D88840" w14:textId="77777777" w:rsidR="007A1CFD" w:rsidRDefault="00887338">
            <w:pPr>
              <w:jc w:val="right"/>
            </w:pPr>
            <w:r>
              <w:rPr>
                <w:b/>
                <w:bCs/>
                <w:color w:val="C0392B"/>
                <w:sz w:val="30"/>
                <w:szCs w:val="30"/>
              </w:rPr>
              <w:t>63.57%</w:t>
            </w:r>
          </w:p>
        </w:tc>
      </w:tr>
    </w:tbl>
    <w:p w14:paraId="1608E647" w14:textId="77777777" w:rsidR="007A1CFD" w:rsidRDefault="00887338">
      <w:pPr>
        <w:pBdr>
          <w:left w:val="single" w:sz="24" w:space="8" w:color="1F3864"/>
        </w:pBdr>
        <w:shd w:val="clear" w:color="auto" w:fill="EEF2F8"/>
        <w:spacing w:before="120" w:after="60"/>
        <w:ind w:left="200"/>
      </w:pPr>
      <w:r>
        <w:rPr>
          <w:b/>
          <w:bCs/>
          <w:color w:val="1F3864"/>
          <w:sz w:val="22"/>
          <w:szCs w:val="22"/>
        </w:rPr>
        <w:t xml:space="preserve">🔎 Insight: </w:t>
      </w:r>
      <w:r>
        <w:rPr>
          <w:sz w:val="22"/>
          <w:szCs w:val="22"/>
        </w:rPr>
        <w:t>The macroeconomic data reveals a massive financial shock centered in 2023. The Max FX Devaluation hit 59.84%, driving the Average Exchange Rate from 15.75 EGP/USD in 2020 to a peak of 45.29 EGP/USD in 2024. This currency collapse forced Headline CPI up to 33.88% in 2023, but more dangerously, Average Food Inflation violently outpaced general inflation, hitting 63.57%.</w:t>
      </w:r>
    </w:p>
    <w:p w14:paraId="6E76F513" w14:textId="77777777" w:rsidR="007A1CFD" w:rsidRDefault="00887338">
      <w:pPr>
        <w:pBdr>
          <w:left w:val="single" w:sz="24" w:space="8" w:color="B8860B"/>
        </w:pBdr>
        <w:shd w:val="clear" w:color="auto" w:fill="FBF3E1"/>
        <w:spacing w:before="40" w:after="200"/>
        <w:ind w:left="200"/>
      </w:pPr>
      <w:r>
        <w:rPr>
          <w:b/>
          <w:bCs/>
          <w:color w:val="B8860B"/>
          <w:sz w:val="22"/>
          <w:szCs w:val="22"/>
        </w:rPr>
        <w:t xml:space="preserve">✅ Recommended Action: </w:t>
      </w:r>
      <w:r>
        <w:rPr>
          <w:i/>
          <w:iCs/>
          <w:sz w:val="22"/>
          <w:szCs w:val="22"/>
        </w:rPr>
        <w:t>The Ministry of Finance must separate Food Inflation targeting from general CPI targeting. Standard monetary policy (like raising interest rates) will not fix food inflation driven by currency devaluation.</w:t>
      </w:r>
    </w:p>
    <w:p w14:paraId="64A4DE73" w14:textId="77777777" w:rsidR="007A1CFD" w:rsidRDefault="00887338">
      <w:pPr>
        <w:pStyle w:val="Heading3"/>
        <w:spacing w:before="240" w:after="120"/>
      </w:pPr>
      <w:bookmarkStart w:id="50" w:name="_Toc234072287"/>
      <w:bookmarkStart w:id="51" w:name="_Toc234429726"/>
      <w:r>
        <w:rPr>
          <w:b/>
          <w:bCs/>
          <w:color w:val="B8860B"/>
          <w:sz w:val="22"/>
          <w:szCs w:val="22"/>
        </w:rPr>
        <w:t>B. Visual 1 &amp; 2 (Line/Clustered Chart for CPI vs FX &amp; Waterfall Chart for Devaluation)</w:t>
      </w:r>
      <w:bookmarkEnd w:id="50"/>
      <w:bookmarkEnd w:id="51"/>
    </w:p>
    <w:p w14:paraId="23F6C80E" w14:textId="77777777" w:rsidR="007A1CFD" w:rsidRDefault="00887338">
      <w:pPr>
        <w:pBdr>
          <w:left w:val="single" w:sz="24" w:space="8" w:color="1F3864"/>
        </w:pBdr>
        <w:shd w:val="clear" w:color="auto" w:fill="EEF2F8"/>
        <w:spacing w:before="120" w:after="60"/>
        <w:ind w:left="200"/>
      </w:pPr>
      <w:r>
        <w:rPr>
          <w:b/>
          <w:bCs/>
          <w:color w:val="1F3864"/>
          <w:sz w:val="22"/>
          <w:szCs w:val="22"/>
        </w:rPr>
        <w:t xml:space="preserve">🔎 Insight: </w:t>
      </w:r>
      <w:r>
        <w:rPr>
          <w:sz w:val="22"/>
          <w:szCs w:val="22"/>
        </w:rPr>
        <w:t>The waterfall chart proves the currency crisis was compounding, with a 22.47% devaluation in 2022 followed by the 59.84% crash in 2023. The clustered chart shows a near 1:1 correlation between the exchange rate spikes and headline CPI growth.</w:t>
      </w:r>
    </w:p>
    <w:p w14:paraId="4D65989A" w14:textId="77777777" w:rsidR="007A1CFD" w:rsidRDefault="00887338">
      <w:pPr>
        <w:pBdr>
          <w:left w:val="single" w:sz="24" w:space="8" w:color="B8860B"/>
        </w:pBdr>
        <w:shd w:val="clear" w:color="auto" w:fill="FBF3E1"/>
        <w:spacing w:before="40" w:after="200"/>
        <w:ind w:left="200"/>
      </w:pPr>
      <w:r>
        <w:rPr>
          <w:b/>
          <w:bCs/>
          <w:color w:val="B8860B"/>
          <w:sz w:val="22"/>
          <w:szCs w:val="22"/>
        </w:rPr>
        <w:t xml:space="preserve">✅ Recommended Action: </w:t>
      </w:r>
      <w:r>
        <w:rPr>
          <w:i/>
          <w:iCs/>
          <w:sz w:val="22"/>
          <w:szCs w:val="22"/>
        </w:rPr>
        <w:t>Implement automated financial triggers that temporarily suspend import tariffs on essential food goods whenever the FX Devaluation YoY% crosses a 15% threshold.</w:t>
      </w:r>
    </w:p>
    <w:p w14:paraId="4D9C2BC7" w14:textId="77777777" w:rsidR="007A1CFD" w:rsidRDefault="00887338">
      <w:pPr>
        <w:pStyle w:val="Heading3"/>
        <w:spacing w:before="240" w:after="120"/>
      </w:pPr>
      <w:bookmarkStart w:id="52" w:name="_Toc234072288"/>
      <w:bookmarkStart w:id="53" w:name="_Toc234429727"/>
      <w:r>
        <w:rPr>
          <w:b/>
          <w:bCs/>
          <w:color w:val="B8860B"/>
          <w:sz w:val="22"/>
          <w:szCs w:val="22"/>
        </w:rPr>
        <w:t>C. Visual 3 (Line Chart: Food Inflation vs. Headline CPI)</w:t>
      </w:r>
      <w:bookmarkEnd w:id="52"/>
      <w:bookmarkEnd w:id="53"/>
    </w:p>
    <w:p w14:paraId="7B485758" w14:textId="77777777" w:rsidR="007A1CFD" w:rsidRDefault="00887338">
      <w:pPr>
        <w:pBdr>
          <w:left w:val="single" w:sz="24" w:space="8" w:color="1F3864"/>
        </w:pBdr>
        <w:shd w:val="clear" w:color="auto" w:fill="EEF2F8"/>
        <w:spacing w:before="120" w:after="60"/>
        <w:ind w:left="200"/>
      </w:pPr>
      <w:r>
        <w:rPr>
          <w:b/>
          <w:bCs/>
          <w:color w:val="1F3864"/>
          <w:sz w:val="22"/>
          <w:szCs w:val="22"/>
        </w:rPr>
        <w:t xml:space="preserve">🔎 Insight: </w:t>
      </w:r>
      <w:r>
        <w:rPr>
          <w:sz w:val="22"/>
          <w:szCs w:val="22"/>
        </w:rPr>
        <w:t>The visual explicitly proves the "Food Crisis Premium." In 2023, Food Inflation (63.57%) was nearly double the Headline CPI (33.88%). Food costs are acting as the primary anchor dragging down the Egyptian economy.</w:t>
      </w:r>
    </w:p>
    <w:p w14:paraId="214BB3F2" w14:textId="77777777" w:rsidR="007A1CFD" w:rsidRDefault="00887338">
      <w:pPr>
        <w:pBdr>
          <w:left w:val="single" w:sz="24" w:space="8" w:color="B8860B"/>
        </w:pBdr>
        <w:shd w:val="clear" w:color="auto" w:fill="FBF3E1"/>
        <w:spacing w:before="40" w:after="200"/>
        <w:ind w:left="200"/>
      </w:pPr>
      <w:r>
        <w:rPr>
          <w:b/>
          <w:bCs/>
          <w:color w:val="B8860B"/>
          <w:sz w:val="22"/>
          <w:szCs w:val="22"/>
        </w:rPr>
        <w:t xml:space="preserve">✅ Recommended Action: </w:t>
      </w:r>
      <w:r>
        <w:rPr>
          <w:i/>
          <w:iCs/>
          <w:sz w:val="22"/>
          <w:szCs w:val="22"/>
        </w:rPr>
        <w:t>Subsidies must be dynamically linked to the "Food Crisis Premium" rather than general inflation metrics to ensure social safety nets retain actual purchasing power.</w:t>
      </w:r>
    </w:p>
    <w:p w14:paraId="704310D2" w14:textId="77777777" w:rsidR="007A1CFD" w:rsidRDefault="00887338">
      <w:pPr>
        <w:pStyle w:val="Heading2"/>
        <w:spacing w:before="320" w:after="160"/>
      </w:pPr>
      <w:bookmarkStart w:id="54" w:name="_Toc234072289"/>
      <w:bookmarkStart w:id="55" w:name="_Toc234429728"/>
      <w:r>
        <w:rPr>
          <w:b/>
          <w:bCs/>
          <w:color w:val="1F3864"/>
        </w:rPr>
        <w:t>3.2 Page 2: Commodity Volatility &amp; Risk Analysis</w:t>
      </w:r>
      <w:bookmarkEnd w:id="54"/>
      <w:bookmarkEnd w:id="55"/>
    </w:p>
    <w:p w14:paraId="57E9342F" w14:textId="77777777" w:rsidR="007A1CFD" w:rsidRDefault="00887338">
      <w:pPr>
        <w:pStyle w:val="Heading3"/>
        <w:spacing w:before="240" w:after="120"/>
      </w:pPr>
      <w:bookmarkStart w:id="56" w:name="_Toc234072290"/>
      <w:bookmarkStart w:id="57" w:name="_Toc234429729"/>
      <w:r>
        <w:rPr>
          <w:b/>
          <w:bCs/>
          <w:color w:val="B8860B"/>
          <w:sz w:val="22"/>
          <w:szCs w:val="22"/>
        </w:rPr>
        <w:t>A. Core KPIs (Survival Basket Growth, Max Category Spike, Volatile Category, Critical Commodities)</w:t>
      </w:r>
      <w:bookmarkEnd w:id="56"/>
      <w:bookmarkEnd w:id="57"/>
    </w:p>
    <w:p w14:paraId="2883DE7F" w14:textId="77777777" w:rsidR="007A1CFD" w:rsidRDefault="00887338">
      <w:pPr>
        <w:shd w:val="clear" w:color="auto" w:fill="1F3864"/>
        <w:spacing w:before="240" w:after="140"/>
      </w:pPr>
      <w:r>
        <w:rPr>
          <w:b/>
          <w:bCs/>
          <w:color w:val="FFFFFF"/>
          <w:sz w:val="23"/>
          <w:szCs w:val="23"/>
        </w:rPr>
        <w:t>📌 Core KPI Snapshot — Page 2</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
        <w:gridCol w:w="3643"/>
        <w:gridCol w:w="2545"/>
      </w:tblGrid>
      <w:tr w:rsidR="007A1CFD" w14:paraId="30F3C602" w14:textId="77777777">
        <w:tc>
          <w:tcPr>
            <w:tcW w:w="8" w:type="auto"/>
            <w:tcBorders>
              <w:top w:val="none" w:sz="0" w:space="0" w:color="FFFFFF"/>
              <w:left w:val="none" w:sz="0" w:space="0" w:color="FFFFFF"/>
              <w:bottom w:val="none" w:sz="0" w:space="0" w:color="FFFFFF"/>
              <w:right w:val="none" w:sz="0" w:space="0" w:color="FFFFFF"/>
            </w:tcBorders>
            <w:vAlign w:val="center"/>
          </w:tcPr>
          <w:p w14:paraId="65FB656F"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786F2F1C" w14:textId="77777777" w:rsidR="007A1CFD" w:rsidRDefault="00887338">
            <w:r>
              <w:rPr>
                <w:color w:val="595959"/>
                <w:sz w:val="21"/>
                <w:szCs w:val="21"/>
              </w:rPr>
              <w:t>Survival Basket Price Growth (2023)</w:t>
            </w:r>
          </w:p>
        </w:tc>
        <w:tc>
          <w:tcPr>
            <w:tcW w:w="40" w:type="auto"/>
            <w:tcBorders>
              <w:top w:val="none" w:sz="0" w:space="0" w:color="FFFFFF"/>
              <w:left w:val="none" w:sz="0" w:space="0" w:color="FFFFFF"/>
              <w:bottom w:val="none" w:sz="0" w:space="0" w:color="FFFFFF"/>
              <w:right w:val="none" w:sz="0" w:space="0" w:color="FFFFFF"/>
            </w:tcBorders>
            <w:vAlign w:val="center"/>
          </w:tcPr>
          <w:p w14:paraId="5C6F3291" w14:textId="77777777" w:rsidR="007A1CFD" w:rsidRDefault="00887338">
            <w:pPr>
              <w:jc w:val="right"/>
            </w:pPr>
            <w:r>
              <w:rPr>
                <w:b/>
                <w:bCs/>
                <w:color w:val="C0392B"/>
                <w:sz w:val="30"/>
                <w:szCs w:val="30"/>
              </w:rPr>
              <w:t>86.29%</w:t>
            </w:r>
          </w:p>
        </w:tc>
      </w:tr>
      <w:tr w:rsidR="007A1CFD" w14:paraId="324E155D" w14:textId="77777777">
        <w:tc>
          <w:tcPr>
            <w:tcW w:w="8" w:type="auto"/>
            <w:tcBorders>
              <w:top w:val="none" w:sz="0" w:space="0" w:color="FFFFFF"/>
              <w:left w:val="none" w:sz="0" w:space="0" w:color="FFFFFF"/>
              <w:bottom w:val="none" w:sz="0" w:space="0" w:color="FFFFFF"/>
              <w:right w:val="none" w:sz="0" w:space="0" w:color="FFFFFF"/>
            </w:tcBorders>
            <w:vAlign w:val="center"/>
          </w:tcPr>
          <w:p w14:paraId="130012B2"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04D9F396" w14:textId="77777777" w:rsidR="007A1CFD" w:rsidRDefault="00887338">
            <w:r>
              <w:rPr>
                <w:color w:val="595959"/>
                <w:sz w:val="21"/>
                <w:szCs w:val="21"/>
              </w:rPr>
              <w:t>Most Volatile Category</w:t>
            </w:r>
          </w:p>
        </w:tc>
        <w:tc>
          <w:tcPr>
            <w:tcW w:w="40" w:type="auto"/>
            <w:tcBorders>
              <w:top w:val="none" w:sz="0" w:space="0" w:color="FFFFFF"/>
              <w:left w:val="none" w:sz="0" w:space="0" w:color="FFFFFF"/>
              <w:bottom w:val="none" w:sz="0" w:space="0" w:color="FFFFFF"/>
              <w:right w:val="none" w:sz="0" w:space="0" w:color="FFFFFF"/>
            </w:tcBorders>
            <w:vAlign w:val="center"/>
          </w:tcPr>
          <w:p w14:paraId="38626875" w14:textId="77777777" w:rsidR="007A1CFD" w:rsidRDefault="00887338">
            <w:pPr>
              <w:jc w:val="right"/>
            </w:pPr>
            <w:r>
              <w:rPr>
                <w:b/>
                <w:bCs/>
                <w:color w:val="B8860B"/>
                <w:sz w:val="30"/>
                <w:szCs w:val="30"/>
              </w:rPr>
              <w:t>Miscellaneous Food</w:t>
            </w:r>
          </w:p>
        </w:tc>
      </w:tr>
      <w:tr w:rsidR="007A1CFD" w14:paraId="1C459919" w14:textId="77777777">
        <w:tc>
          <w:tcPr>
            <w:tcW w:w="8" w:type="auto"/>
            <w:tcBorders>
              <w:top w:val="none" w:sz="0" w:space="0" w:color="FFFFFF"/>
              <w:left w:val="none" w:sz="0" w:space="0" w:color="FFFFFF"/>
              <w:bottom w:val="none" w:sz="0" w:space="0" w:color="FFFFFF"/>
              <w:right w:val="none" w:sz="0" w:space="0" w:color="FFFFFF"/>
            </w:tcBorders>
            <w:vAlign w:val="center"/>
          </w:tcPr>
          <w:p w14:paraId="789667D9"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3D1AF295" w14:textId="77777777" w:rsidR="007A1CFD" w:rsidRDefault="00887338">
            <w:r>
              <w:rPr>
                <w:color w:val="595959"/>
                <w:sz w:val="21"/>
                <w:szCs w:val="21"/>
              </w:rPr>
              <w:t>Critical Commodities Count (2022→2023)</w:t>
            </w:r>
          </w:p>
        </w:tc>
        <w:tc>
          <w:tcPr>
            <w:tcW w:w="40" w:type="auto"/>
            <w:tcBorders>
              <w:top w:val="none" w:sz="0" w:space="0" w:color="FFFFFF"/>
              <w:left w:val="none" w:sz="0" w:space="0" w:color="FFFFFF"/>
              <w:bottom w:val="none" w:sz="0" w:space="0" w:color="FFFFFF"/>
              <w:right w:val="none" w:sz="0" w:space="0" w:color="FFFFFF"/>
            </w:tcBorders>
            <w:vAlign w:val="center"/>
          </w:tcPr>
          <w:p w14:paraId="4DD9169E" w14:textId="77777777" w:rsidR="007A1CFD" w:rsidRDefault="00887338">
            <w:pPr>
              <w:jc w:val="right"/>
            </w:pPr>
            <w:r>
              <w:rPr>
                <w:b/>
                <w:bCs/>
                <w:color w:val="C0392B"/>
                <w:sz w:val="30"/>
                <w:szCs w:val="30"/>
              </w:rPr>
              <w:t>1 → 9</w:t>
            </w:r>
          </w:p>
        </w:tc>
      </w:tr>
      <w:tr w:rsidR="007A1CFD" w14:paraId="08509149" w14:textId="77777777">
        <w:tc>
          <w:tcPr>
            <w:tcW w:w="8" w:type="auto"/>
            <w:tcBorders>
              <w:top w:val="none" w:sz="0" w:space="0" w:color="FFFFFF"/>
              <w:left w:val="none" w:sz="0" w:space="0" w:color="FFFFFF"/>
              <w:bottom w:val="none" w:sz="0" w:space="0" w:color="FFFFFF"/>
              <w:right w:val="none" w:sz="0" w:space="0" w:color="FFFFFF"/>
            </w:tcBorders>
            <w:vAlign w:val="center"/>
          </w:tcPr>
          <w:p w14:paraId="350F0490"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1C2ECFCC" w14:textId="77777777" w:rsidR="007A1CFD" w:rsidRDefault="00887338">
            <w:r>
              <w:rPr>
                <w:color w:val="595959"/>
                <w:sz w:val="21"/>
                <w:szCs w:val="21"/>
              </w:rPr>
              <w:t>Max Category Spike (Sugar, 2023)</w:t>
            </w:r>
          </w:p>
        </w:tc>
        <w:tc>
          <w:tcPr>
            <w:tcW w:w="40" w:type="auto"/>
            <w:tcBorders>
              <w:top w:val="none" w:sz="0" w:space="0" w:color="FFFFFF"/>
              <w:left w:val="none" w:sz="0" w:space="0" w:color="FFFFFF"/>
              <w:bottom w:val="none" w:sz="0" w:space="0" w:color="FFFFFF"/>
              <w:right w:val="none" w:sz="0" w:space="0" w:color="FFFFFF"/>
            </w:tcBorders>
            <w:vAlign w:val="center"/>
          </w:tcPr>
          <w:p w14:paraId="4AE68386" w14:textId="77777777" w:rsidR="007A1CFD" w:rsidRDefault="00887338">
            <w:pPr>
              <w:jc w:val="right"/>
            </w:pPr>
            <w:r>
              <w:rPr>
                <w:b/>
                <w:bCs/>
                <w:color w:val="C0392B"/>
                <w:sz w:val="30"/>
                <w:szCs w:val="30"/>
              </w:rPr>
              <w:t>96.60%</w:t>
            </w:r>
          </w:p>
        </w:tc>
      </w:tr>
    </w:tbl>
    <w:p w14:paraId="15E25CB0" w14:textId="77777777" w:rsidR="007A1CFD" w:rsidRDefault="00887338">
      <w:pPr>
        <w:pBdr>
          <w:left w:val="single" w:sz="24" w:space="8" w:color="1F3864"/>
        </w:pBdr>
        <w:shd w:val="clear" w:color="auto" w:fill="EEF2F8"/>
        <w:spacing w:before="120" w:after="60"/>
        <w:ind w:left="200"/>
      </w:pPr>
      <w:r>
        <w:rPr>
          <w:b/>
          <w:bCs/>
          <w:color w:val="1F3864"/>
          <w:sz w:val="22"/>
          <w:szCs w:val="22"/>
        </w:rPr>
        <w:lastRenderedPageBreak/>
        <w:t xml:space="preserve">🔎 Insight: </w:t>
      </w:r>
      <w:r>
        <w:rPr>
          <w:sz w:val="22"/>
          <w:szCs w:val="22"/>
        </w:rPr>
        <w:t>The Survival Basket Price Growth hit a devastating 86.29% in 2023. The Most Volatile Category shifted from "vegetables and fruits" in 2022 to "miscellaneous food" in 2023/2024. This systemic shock resulted in the "Critical Commodities Count" jumping from just 1 item in 2022 to 9 items in 2023.</w:t>
      </w:r>
    </w:p>
    <w:p w14:paraId="280A8423" w14:textId="77777777" w:rsidR="007A1CFD" w:rsidRDefault="00887338">
      <w:pPr>
        <w:pBdr>
          <w:left w:val="single" w:sz="24" w:space="8" w:color="B8860B"/>
        </w:pBdr>
        <w:shd w:val="clear" w:color="auto" w:fill="FBF3E1"/>
        <w:spacing w:before="40" w:after="200"/>
        <w:ind w:left="200"/>
      </w:pPr>
      <w:r>
        <w:rPr>
          <w:b/>
          <w:bCs/>
          <w:color w:val="B8860B"/>
          <w:sz w:val="22"/>
          <w:szCs w:val="22"/>
        </w:rPr>
        <w:t xml:space="preserve">✅ Recommended Action: </w:t>
      </w:r>
      <w:r>
        <w:rPr>
          <w:i/>
          <w:iCs/>
          <w:sz w:val="22"/>
          <w:szCs w:val="22"/>
        </w:rPr>
        <w:t>The government must expand emergency rationing beyond traditional grains to include the newly identified volatile "miscellaneous food" categories to protect basic caloric intake.</w:t>
      </w:r>
    </w:p>
    <w:p w14:paraId="367BEF08" w14:textId="77777777" w:rsidR="007A1CFD" w:rsidRDefault="00887338">
      <w:pPr>
        <w:pStyle w:val="Heading3"/>
        <w:spacing w:before="240" w:after="120"/>
      </w:pPr>
      <w:bookmarkStart w:id="58" w:name="_Toc234072291"/>
      <w:bookmarkStart w:id="59" w:name="_Toc234429730"/>
      <w:r>
        <w:rPr>
          <w:b/>
          <w:bCs/>
          <w:color w:val="B8860B"/>
          <w:sz w:val="22"/>
          <w:szCs w:val="22"/>
        </w:rPr>
        <w:t>B. Visual 1, 2 &amp; 4 (YoY Bar Chart, Risk Matrix &amp; Ribbon Chart)</w:t>
      </w:r>
      <w:bookmarkEnd w:id="58"/>
      <w:bookmarkEnd w:id="59"/>
    </w:p>
    <w:p w14:paraId="4B8DE836" w14:textId="042618CF" w:rsidR="007A1CFD" w:rsidRDefault="00887338" w:rsidP="00636C84">
      <w:pPr>
        <w:pBdr>
          <w:left w:val="single" w:sz="24" w:space="8" w:color="1F3864"/>
        </w:pBdr>
        <w:shd w:val="clear" w:color="auto" w:fill="EEF2F8"/>
        <w:spacing w:before="120" w:after="60"/>
        <w:ind w:left="200"/>
      </w:pPr>
      <w:r>
        <w:rPr>
          <w:b/>
          <w:bCs/>
          <w:color w:val="1F3864"/>
          <w:sz w:val="22"/>
          <w:szCs w:val="22"/>
        </w:rPr>
        <w:t xml:space="preserve">🔎 Insight: </w:t>
      </w:r>
      <w:r w:rsidR="00636C84" w:rsidRPr="00636C84">
        <w:rPr>
          <w:sz w:val="22"/>
          <w:szCs w:val="22"/>
        </w:rPr>
        <w:t xml:space="preserve">The visuals identify the exact products failing the market during the "Great Affordability Crash" of 2023, where average affordability collapsed by a staggering </w:t>
      </w:r>
      <w:r w:rsidR="00636C84" w:rsidRPr="00636C84">
        <w:rPr>
          <w:b/>
          <w:bCs/>
          <w:sz w:val="22"/>
          <w:szCs w:val="22"/>
        </w:rPr>
        <w:t>-34.6%</w:t>
      </w:r>
      <w:r w:rsidR="00636C84" w:rsidRPr="00636C84">
        <w:rPr>
          <w:sz w:val="22"/>
          <w:szCs w:val="22"/>
        </w:rPr>
        <w:t xml:space="preserve"> across all commodities. The Risk Matrix must flash "CRITICAL" for the top 5 budget-destroying commodities that wiped out purchasing power: </w:t>
      </w:r>
      <w:r w:rsidR="00636C84" w:rsidRPr="00636C84">
        <w:rPr>
          <w:b/>
          <w:bCs/>
          <w:sz w:val="22"/>
          <w:szCs w:val="22"/>
        </w:rPr>
        <w:t>Sugar (-43%), Farm Chicken (-43%), Eggs (-41%), Rice (-40%), and Lentils (-38%)</w:t>
      </w:r>
      <w:r w:rsidR="00636C84" w:rsidRPr="00636C84">
        <w:rPr>
          <w:sz w:val="22"/>
          <w:szCs w:val="22"/>
        </w:rPr>
        <w:t>. Furthermore, the data reveals a stark contrast between imported shocks and domestic resilience. Import-dependent items like Sunflower Oil and Wheat Flour saw net purchasing power losses of -14.5% and -12.6% respectively between 2020 and 2024, whereas pure domestic crops like Tomatoes, Potatoes, and Fresh Fava Beans stabilized the market.</w:t>
      </w:r>
    </w:p>
    <w:p w14:paraId="1E124572" w14:textId="7B7765C4" w:rsidR="007A1CFD" w:rsidRPr="00636C84" w:rsidRDefault="00887338" w:rsidP="00636C84">
      <w:pPr>
        <w:pBdr>
          <w:left w:val="single" w:sz="24" w:space="8" w:color="B8860B"/>
        </w:pBdr>
        <w:shd w:val="clear" w:color="auto" w:fill="FBF3E1"/>
        <w:spacing w:before="40" w:after="200"/>
        <w:ind w:left="200"/>
        <w:rPr>
          <w:i/>
          <w:iCs/>
          <w:sz w:val="22"/>
          <w:szCs w:val="22"/>
        </w:rPr>
      </w:pPr>
      <w:r>
        <w:rPr>
          <w:b/>
          <w:bCs/>
          <w:color w:val="B8860B"/>
          <w:sz w:val="22"/>
          <w:szCs w:val="22"/>
        </w:rPr>
        <w:t xml:space="preserve">✅ Recommended Action: </w:t>
      </w:r>
      <w:r w:rsidR="00636C84" w:rsidRPr="00636C84">
        <w:rPr>
          <w:i/>
          <w:iCs/>
          <w:sz w:val="22"/>
          <w:szCs w:val="22"/>
        </w:rPr>
        <w:t>Initiate immediate, heavy domestic production subsidies specifically targeting the poultry supply chain (Farm Chicken and Eggs) and domestic Sugar refining to artificially force local market prices down.</w:t>
      </w:r>
    </w:p>
    <w:p w14:paraId="3DFEFA7C" w14:textId="77777777" w:rsidR="007A1CFD" w:rsidRDefault="00887338">
      <w:pPr>
        <w:pStyle w:val="Heading3"/>
        <w:spacing w:before="240" w:after="120"/>
      </w:pPr>
      <w:bookmarkStart w:id="60" w:name="_Toc234072292"/>
      <w:bookmarkStart w:id="61" w:name="_Toc234429731"/>
      <w:r>
        <w:rPr>
          <w:b/>
          <w:bCs/>
          <w:color w:val="B8860B"/>
          <w:sz w:val="22"/>
          <w:szCs w:val="22"/>
        </w:rPr>
        <w:t>C. Visual 3 (Scatter Chart: Price YoY vs. Volatility)</w:t>
      </w:r>
      <w:bookmarkEnd w:id="60"/>
      <w:bookmarkEnd w:id="61"/>
    </w:p>
    <w:p w14:paraId="79DC393D" w14:textId="77777777" w:rsidR="007A1CFD" w:rsidRDefault="00887338">
      <w:pPr>
        <w:pBdr>
          <w:left w:val="single" w:sz="24" w:space="8" w:color="1F3864"/>
        </w:pBdr>
        <w:shd w:val="clear" w:color="auto" w:fill="EEF2F8"/>
        <w:spacing w:before="120" w:after="60"/>
        <w:ind w:left="200"/>
      </w:pPr>
      <w:r>
        <w:rPr>
          <w:b/>
          <w:bCs/>
          <w:color w:val="1F3864"/>
          <w:sz w:val="22"/>
          <w:szCs w:val="22"/>
        </w:rPr>
        <w:t xml:space="preserve">🔎 Insight: </w:t>
      </w:r>
      <w:r>
        <w:rPr>
          <w:sz w:val="22"/>
          <w:szCs w:val="22"/>
        </w:rPr>
        <w:t>The scatter logic identifies that items like Lentils (79.76% spike) and Sunflower Oil (71.33% spike) are sitting in high-risk, high-volatility quadrants.</w:t>
      </w:r>
    </w:p>
    <w:p w14:paraId="108CE355" w14:textId="77777777" w:rsidR="007A1CFD" w:rsidRDefault="00887338">
      <w:pPr>
        <w:pBdr>
          <w:left w:val="single" w:sz="24" w:space="8" w:color="B8860B"/>
        </w:pBdr>
        <w:shd w:val="clear" w:color="auto" w:fill="FBF3E1"/>
        <w:spacing w:before="40" w:after="200"/>
        <w:ind w:left="200"/>
      </w:pPr>
      <w:r>
        <w:rPr>
          <w:b/>
          <w:bCs/>
          <w:color w:val="B8860B"/>
          <w:sz w:val="22"/>
          <w:szCs w:val="22"/>
        </w:rPr>
        <w:t xml:space="preserve">✅ Recommended Action: </w:t>
      </w:r>
      <w:r>
        <w:rPr>
          <w:i/>
          <w:iCs/>
          <w:sz w:val="22"/>
          <w:szCs w:val="22"/>
        </w:rPr>
        <w:t>Utilize this scatter model as an early-warning system. Any commodity crossing into the "Hyper-Toxic" top-right quadrant should trigger an automatic emergency import tender by the Ministry of Supply.</w:t>
      </w:r>
    </w:p>
    <w:p w14:paraId="07F9E543" w14:textId="77777777" w:rsidR="007A1CFD" w:rsidRDefault="00887338">
      <w:pPr>
        <w:pStyle w:val="Heading2"/>
        <w:spacing w:before="320" w:after="160"/>
      </w:pPr>
      <w:bookmarkStart w:id="62" w:name="_Toc234072293"/>
      <w:bookmarkStart w:id="63" w:name="_Toc234429732"/>
      <w:r>
        <w:rPr>
          <w:b/>
          <w:bCs/>
          <w:color w:val="1F3864"/>
        </w:rPr>
        <w:t>3.3 Page 3: The Affordability Nexus</w:t>
      </w:r>
      <w:bookmarkEnd w:id="62"/>
      <w:bookmarkEnd w:id="63"/>
    </w:p>
    <w:p w14:paraId="18DCE35B" w14:textId="77777777" w:rsidR="007A1CFD" w:rsidRDefault="00887338">
      <w:pPr>
        <w:pStyle w:val="Heading3"/>
        <w:spacing w:before="240" w:after="120"/>
      </w:pPr>
      <w:bookmarkStart w:id="64" w:name="_Toc234072294"/>
      <w:bookmarkStart w:id="65" w:name="_Toc234429733"/>
      <w:r>
        <w:rPr>
          <w:b/>
          <w:bCs/>
          <w:color w:val="B8860B"/>
          <w:sz w:val="22"/>
          <w:szCs w:val="22"/>
        </w:rPr>
        <w:t>A. Core KPIs (Avg Minimum Wage, Monthly Income, Physical Units Lost, Units Affordable)</w:t>
      </w:r>
      <w:bookmarkEnd w:id="64"/>
      <w:bookmarkEnd w:id="65"/>
    </w:p>
    <w:p w14:paraId="6D0ACD62" w14:textId="77777777" w:rsidR="007A1CFD" w:rsidRDefault="00887338">
      <w:pPr>
        <w:shd w:val="clear" w:color="auto" w:fill="1F3864"/>
        <w:spacing w:before="240" w:after="140"/>
      </w:pPr>
      <w:r>
        <w:rPr>
          <w:b/>
          <w:bCs/>
          <w:color w:val="FFFFFF"/>
          <w:sz w:val="23"/>
          <w:szCs w:val="23"/>
        </w:rPr>
        <w:t>📌 Core KPI Snapshot — Page 3</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
        <w:gridCol w:w="3059"/>
        <w:gridCol w:w="2512"/>
      </w:tblGrid>
      <w:tr w:rsidR="007A1CFD" w14:paraId="3F368BCF" w14:textId="77777777">
        <w:tc>
          <w:tcPr>
            <w:tcW w:w="8" w:type="auto"/>
            <w:tcBorders>
              <w:top w:val="none" w:sz="0" w:space="0" w:color="FFFFFF"/>
              <w:left w:val="none" w:sz="0" w:space="0" w:color="FFFFFF"/>
              <w:bottom w:val="none" w:sz="0" w:space="0" w:color="FFFFFF"/>
              <w:right w:val="none" w:sz="0" w:space="0" w:color="FFFFFF"/>
            </w:tcBorders>
            <w:vAlign w:val="center"/>
          </w:tcPr>
          <w:p w14:paraId="527612B3"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16B83EA9" w14:textId="77777777" w:rsidR="007A1CFD" w:rsidRDefault="00887338">
            <w:r>
              <w:rPr>
                <w:color w:val="595959"/>
                <w:sz w:val="21"/>
                <w:szCs w:val="21"/>
              </w:rPr>
              <w:t>Avg Minimum Wage (2020→2024)</w:t>
            </w:r>
          </w:p>
        </w:tc>
        <w:tc>
          <w:tcPr>
            <w:tcW w:w="40" w:type="auto"/>
            <w:tcBorders>
              <w:top w:val="none" w:sz="0" w:space="0" w:color="FFFFFF"/>
              <w:left w:val="none" w:sz="0" w:space="0" w:color="FFFFFF"/>
              <w:bottom w:val="none" w:sz="0" w:space="0" w:color="FFFFFF"/>
              <w:right w:val="none" w:sz="0" w:space="0" w:color="FFFFFF"/>
            </w:tcBorders>
            <w:vAlign w:val="center"/>
          </w:tcPr>
          <w:p w14:paraId="3548A6DF" w14:textId="77777777" w:rsidR="007A1CFD" w:rsidRDefault="00887338">
            <w:pPr>
              <w:jc w:val="right"/>
            </w:pPr>
            <w:r>
              <w:rPr>
                <w:b/>
                <w:bCs/>
                <w:color w:val="2E7D32"/>
                <w:sz w:val="30"/>
                <w:szCs w:val="30"/>
              </w:rPr>
              <w:t>2,000 → 6,000 EGP</w:t>
            </w:r>
          </w:p>
        </w:tc>
      </w:tr>
      <w:tr w:rsidR="007A1CFD" w14:paraId="7A28D3FC" w14:textId="77777777">
        <w:tc>
          <w:tcPr>
            <w:tcW w:w="8" w:type="auto"/>
            <w:tcBorders>
              <w:top w:val="none" w:sz="0" w:space="0" w:color="FFFFFF"/>
              <w:left w:val="none" w:sz="0" w:space="0" w:color="FFFFFF"/>
              <w:bottom w:val="none" w:sz="0" w:space="0" w:color="FFFFFF"/>
              <w:right w:val="none" w:sz="0" w:space="0" w:color="FFFFFF"/>
            </w:tcBorders>
            <w:vAlign w:val="center"/>
          </w:tcPr>
          <w:p w14:paraId="2A9E5307"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16E3EA52" w14:textId="77777777" w:rsidR="007A1CFD" w:rsidRDefault="00887338">
            <w:r>
              <w:rPr>
                <w:color w:val="595959"/>
                <w:sz w:val="21"/>
                <w:szCs w:val="21"/>
              </w:rPr>
              <w:t>Nominal Monthly Income (2024)</w:t>
            </w:r>
          </w:p>
        </w:tc>
        <w:tc>
          <w:tcPr>
            <w:tcW w:w="40" w:type="auto"/>
            <w:tcBorders>
              <w:top w:val="none" w:sz="0" w:space="0" w:color="FFFFFF"/>
              <w:left w:val="none" w:sz="0" w:space="0" w:color="FFFFFF"/>
              <w:bottom w:val="none" w:sz="0" w:space="0" w:color="FFFFFF"/>
              <w:right w:val="none" w:sz="0" w:space="0" w:color="FFFFFF"/>
            </w:tcBorders>
            <w:vAlign w:val="center"/>
          </w:tcPr>
          <w:p w14:paraId="40A0F6CC" w14:textId="77777777" w:rsidR="007A1CFD" w:rsidRDefault="00887338">
            <w:pPr>
              <w:jc w:val="right"/>
            </w:pPr>
            <w:r>
              <w:rPr>
                <w:b/>
                <w:bCs/>
                <w:color w:val="1F3864"/>
                <w:sz w:val="30"/>
                <w:szCs w:val="30"/>
              </w:rPr>
              <w:t>9,941 EGP</w:t>
            </w:r>
          </w:p>
        </w:tc>
      </w:tr>
      <w:tr w:rsidR="007A1CFD" w14:paraId="3CF2AE88" w14:textId="77777777">
        <w:tc>
          <w:tcPr>
            <w:tcW w:w="8" w:type="auto"/>
            <w:tcBorders>
              <w:top w:val="none" w:sz="0" w:space="0" w:color="FFFFFF"/>
              <w:left w:val="none" w:sz="0" w:space="0" w:color="FFFFFF"/>
              <w:bottom w:val="none" w:sz="0" w:space="0" w:color="FFFFFF"/>
              <w:right w:val="none" w:sz="0" w:space="0" w:color="FFFFFF"/>
            </w:tcBorders>
            <w:vAlign w:val="center"/>
          </w:tcPr>
          <w:p w14:paraId="0B596FA0"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011BF105" w14:textId="6C2A3126" w:rsidR="007A1CFD" w:rsidRDefault="00887338">
            <w:r>
              <w:rPr>
                <w:color w:val="595959"/>
                <w:sz w:val="21"/>
                <w:szCs w:val="21"/>
              </w:rPr>
              <w:t>Units Affordable (2021→202</w:t>
            </w:r>
            <w:r w:rsidR="0013052B">
              <w:rPr>
                <w:color w:val="595959"/>
                <w:sz w:val="21"/>
                <w:szCs w:val="21"/>
              </w:rPr>
              <w:t>4</w:t>
            </w:r>
            <w:r>
              <w:rPr>
                <w:color w:val="595959"/>
                <w:sz w:val="21"/>
                <w:szCs w:val="21"/>
              </w:rPr>
              <w:t>)</w:t>
            </w:r>
          </w:p>
        </w:tc>
        <w:tc>
          <w:tcPr>
            <w:tcW w:w="40" w:type="auto"/>
            <w:tcBorders>
              <w:top w:val="none" w:sz="0" w:space="0" w:color="FFFFFF"/>
              <w:left w:val="none" w:sz="0" w:space="0" w:color="FFFFFF"/>
              <w:bottom w:val="none" w:sz="0" w:space="0" w:color="FFFFFF"/>
              <w:right w:val="none" w:sz="0" w:space="0" w:color="FFFFFF"/>
            </w:tcBorders>
            <w:vAlign w:val="center"/>
          </w:tcPr>
          <w:p w14:paraId="27FA0085" w14:textId="66993256" w:rsidR="007A1CFD" w:rsidRDefault="00636C84">
            <w:pPr>
              <w:jc w:val="right"/>
            </w:pPr>
            <w:r>
              <w:rPr>
                <w:b/>
                <w:bCs/>
                <w:color w:val="C0392B"/>
                <w:sz w:val="30"/>
                <w:szCs w:val="30"/>
              </w:rPr>
              <w:t>303</w:t>
            </w:r>
            <w:r w:rsidR="00887338">
              <w:rPr>
                <w:b/>
                <w:bCs/>
                <w:color w:val="C0392B"/>
                <w:sz w:val="30"/>
                <w:szCs w:val="30"/>
              </w:rPr>
              <w:t xml:space="preserve"> → 2</w:t>
            </w:r>
            <w:r>
              <w:rPr>
                <w:b/>
                <w:bCs/>
                <w:color w:val="C0392B"/>
                <w:sz w:val="30"/>
                <w:szCs w:val="30"/>
              </w:rPr>
              <w:t>58</w:t>
            </w:r>
          </w:p>
        </w:tc>
      </w:tr>
      <w:tr w:rsidR="007A1CFD" w14:paraId="1250F957" w14:textId="77777777">
        <w:tc>
          <w:tcPr>
            <w:tcW w:w="8" w:type="auto"/>
            <w:tcBorders>
              <w:top w:val="none" w:sz="0" w:space="0" w:color="FFFFFF"/>
              <w:left w:val="none" w:sz="0" w:space="0" w:color="FFFFFF"/>
              <w:bottom w:val="none" w:sz="0" w:space="0" w:color="FFFFFF"/>
              <w:right w:val="none" w:sz="0" w:space="0" w:color="FFFFFF"/>
            </w:tcBorders>
            <w:vAlign w:val="center"/>
          </w:tcPr>
          <w:p w14:paraId="451E6FEF"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3BB901C9" w14:textId="77777777" w:rsidR="007A1CFD" w:rsidRDefault="00887338">
            <w:r>
              <w:rPr>
                <w:color w:val="595959"/>
                <w:sz w:val="21"/>
                <w:szCs w:val="21"/>
              </w:rPr>
              <w:t>Risk Status</w:t>
            </w:r>
          </w:p>
        </w:tc>
        <w:tc>
          <w:tcPr>
            <w:tcW w:w="40" w:type="auto"/>
            <w:tcBorders>
              <w:top w:val="none" w:sz="0" w:space="0" w:color="FFFFFF"/>
              <w:left w:val="none" w:sz="0" w:space="0" w:color="FFFFFF"/>
              <w:bottom w:val="none" w:sz="0" w:space="0" w:color="FFFFFF"/>
              <w:right w:val="none" w:sz="0" w:space="0" w:color="FFFFFF"/>
            </w:tcBorders>
            <w:vAlign w:val="center"/>
          </w:tcPr>
          <w:p w14:paraId="43864D51" w14:textId="77777777" w:rsidR="007A1CFD" w:rsidRDefault="00887338">
            <w:pPr>
              <w:jc w:val="right"/>
            </w:pPr>
            <w:r>
              <w:rPr>
                <w:b/>
                <w:bCs/>
                <w:color w:val="C0392B"/>
                <w:sz w:val="30"/>
                <w:szCs w:val="30"/>
              </w:rPr>
              <w:t>CRITICAL</w:t>
            </w:r>
          </w:p>
        </w:tc>
      </w:tr>
    </w:tbl>
    <w:p w14:paraId="477A3B13" w14:textId="13BC8F0F" w:rsidR="007A1CFD" w:rsidRDefault="00887338" w:rsidP="00636C84">
      <w:pPr>
        <w:pBdr>
          <w:left w:val="single" w:sz="24" w:space="8" w:color="1F3864"/>
        </w:pBdr>
        <w:shd w:val="clear" w:color="auto" w:fill="EEF2F8"/>
        <w:spacing w:before="120" w:after="60"/>
        <w:ind w:left="200"/>
      </w:pPr>
      <w:r>
        <w:rPr>
          <w:b/>
          <w:bCs/>
          <w:color w:val="1F3864"/>
          <w:sz w:val="22"/>
          <w:szCs w:val="22"/>
        </w:rPr>
        <w:t xml:space="preserve">🔎 Insight: </w:t>
      </w:r>
      <w:r w:rsidR="00636C84" w:rsidRPr="00636C84">
        <w:rPr>
          <w:sz w:val="22"/>
          <w:szCs w:val="22"/>
        </w:rPr>
        <w:t xml:space="preserve">The data proves the </w:t>
      </w:r>
      <w:r w:rsidR="00636C84" w:rsidRPr="00636C84">
        <w:rPr>
          <w:b/>
          <w:bCs/>
          <w:sz w:val="22"/>
          <w:szCs w:val="22"/>
        </w:rPr>
        <w:t>"Illusion of Wealth."</w:t>
      </w:r>
      <w:r w:rsidR="00636C84" w:rsidRPr="00636C84">
        <w:rPr>
          <w:sz w:val="22"/>
          <w:szCs w:val="22"/>
        </w:rPr>
        <w:t xml:space="preserve"> Despite the government aggressively tripling the minimum wage from 2,000 EGP in 2020 to 6,000 EGP in 2024, real purchasing power crashed. In 2021 (wage 2,400 EGP), a citizen could buy an average of </w:t>
      </w:r>
      <w:r w:rsidR="00636C84" w:rsidRPr="00636C84">
        <w:rPr>
          <w:b/>
          <w:bCs/>
          <w:sz w:val="22"/>
          <w:szCs w:val="22"/>
        </w:rPr>
        <w:t>303 units</w:t>
      </w:r>
      <w:r w:rsidR="00636C84" w:rsidRPr="00636C84">
        <w:rPr>
          <w:sz w:val="22"/>
          <w:szCs w:val="22"/>
        </w:rPr>
        <w:t xml:space="preserve"> of food. In 2024 (wage 6,000 EGP), they can only afford </w:t>
      </w:r>
      <w:r w:rsidR="00636C84" w:rsidRPr="00636C84">
        <w:rPr>
          <w:b/>
          <w:bCs/>
          <w:sz w:val="22"/>
          <w:szCs w:val="22"/>
        </w:rPr>
        <w:t>258 units</w:t>
      </w:r>
      <w:r w:rsidR="00636C84" w:rsidRPr="00636C84">
        <w:rPr>
          <w:sz w:val="22"/>
          <w:szCs w:val="22"/>
        </w:rPr>
        <w:t xml:space="preserve">. The Income Erosion Index reveals an even darker reality: in 2023, the cost of Farm Chicken alone consumed an unbelievable </w:t>
      </w:r>
      <w:r w:rsidR="00636C84" w:rsidRPr="00636C84">
        <w:rPr>
          <w:b/>
          <w:bCs/>
          <w:sz w:val="22"/>
          <w:szCs w:val="22"/>
        </w:rPr>
        <w:t>76% of a minimum wage earner's monthly income</w:t>
      </w:r>
      <w:r w:rsidR="00636C84" w:rsidRPr="00636C84">
        <w:rPr>
          <w:sz w:val="22"/>
          <w:szCs w:val="22"/>
        </w:rPr>
        <w:t>, leaving them with just 24% for housing, utilities, and education. Furthermore, a basic staple like Sunflower Oil eats up 6.01% MORE of a citizen's salary today (41.31%) than it did in 2020 (35.3%). The citizen is working harder for 6,000 EGP, only to surrender a larger percentage of it to buy the exact same food.</w:t>
      </w:r>
    </w:p>
    <w:p w14:paraId="373911C8" w14:textId="363863D5" w:rsidR="007A1CFD" w:rsidRDefault="00887338" w:rsidP="007743D7">
      <w:pPr>
        <w:pBdr>
          <w:left w:val="single" w:sz="24" w:space="8" w:color="B8860B"/>
        </w:pBdr>
        <w:shd w:val="clear" w:color="auto" w:fill="FBF3E1"/>
        <w:spacing w:before="40" w:after="200"/>
        <w:ind w:left="200"/>
      </w:pPr>
      <w:r>
        <w:rPr>
          <w:b/>
          <w:bCs/>
          <w:color w:val="B8860B"/>
          <w:sz w:val="22"/>
          <w:szCs w:val="22"/>
        </w:rPr>
        <w:t xml:space="preserve">✅ Recommended Action: </w:t>
      </w:r>
      <w:r w:rsidR="007743D7" w:rsidRPr="007743D7">
        <w:rPr>
          <w:i/>
          <w:iCs/>
          <w:sz w:val="22"/>
          <w:szCs w:val="22"/>
        </w:rPr>
        <w:t>Introduce a "Food Inflation Rebate" program directly crediting the bank accounts of minimum-wage citizens whenever the Income Erosion Index exceeds 15%.</w:t>
      </w:r>
    </w:p>
    <w:p w14:paraId="236C033E" w14:textId="77777777" w:rsidR="007A1CFD" w:rsidRDefault="00887338">
      <w:pPr>
        <w:pStyle w:val="Heading3"/>
        <w:spacing w:before="240" w:after="120"/>
      </w:pPr>
      <w:bookmarkStart w:id="66" w:name="_Toc234072295"/>
      <w:bookmarkStart w:id="67" w:name="_Toc234429734"/>
      <w:r>
        <w:rPr>
          <w:b/>
          <w:bCs/>
          <w:color w:val="B8860B"/>
          <w:sz w:val="22"/>
          <w:szCs w:val="22"/>
        </w:rPr>
        <w:t>B. Visual 1 &amp; 2 (Waterfall Affordability Drop &amp; Wage vs. Units Chart)</w:t>
      </w:r>
      <w:bookmarkEnd w:id="66"/>
      <w:bookmarkEnd w:id="67"/>
    </w:p>
    <w:p w14:paraId="01C53659" w14:textId="77777777" w:rsidR="007A1CFD" w:rsidRDefault="00887338">
      <w:pPr>
        <w:pBdr>
          <w:left w:val="single" w:sz="24" w:space="8" w:color="1F3864"/>
        </w:pBdr>
        <w:shd w:val="clear" w:color="auto" w:fill="EEF2F8"/>
        <w:spacing w:before="120" w:after="60"/>
        <w:ind w:left="200"/>
      </w:pPr>
      <w:r>
        <w:rPr>
          <w:b/>
          <w:bCs/>
          <w:color w:val="1F3864"/>
          <w:sz w:val="22"/>
          <w:szCs w:val="22"/>
        </w:rPr>
        <w:t xml:space="preserve">🔎 Insight: </w:t>
      </w:r>
      <w:r>
        <w:rPr>
          <w:sz w:val="22"/>
          <w:szCs w:val="22"/>
        </w:rPr>
        <w:t>The Affordability Waterfall visually represents the collapse, showing a 22% drop in 2022 and a 31% drop in 2023. The Wage vs. Units clustered chart shows that while the wage bar goes up, the units line violently trends down, proving nominal wage hikes are failing.</w:t>
      </w:r>
    </w:p>
    <w:p w14:paraId="05C29920" w14:textId="77777777" w:rsidR="007A1CFD" w:rsidRDefault="00887338">
      <w:pPr>
        <w:pBdr>
          <w:left w:val="single" w:sz="24" w:space="8" w:color="B8860B"/>
        </w:pBdr>
        <w:shd w:val="clear" w:color="auto" w:fill="FBF3E1"/>
        <w:spacing w:before="40" w:after="200"/>
        <w:ind w:left="200"/>
      </w:pPr>
      <w:r>
        <w:rPr>
          <w:b/>
          <w:bCs/>
          <w:color w:val="B8860B"/>
          <w:sz w:val="22"/>
          <w:szCs w:val="22"/>
        </w:rPr>
        <w:lastRenderedPageBreak/>
        <w:t xml:space="preserve">✅ Recommended Action: </w:t>
      </w:r>
      <w:r>
        <w:rPr>
          <w:i/>
          <w:iCs/>
          <w:sz w:val="22"/>
          <w:szCs w:val="22"/>
        </w:rPr>
        <w:t>Freeze utility and non-food government taxation for minimum wage earners during years where the Affordability YoY% drops below -10%.</w:t>
      </w:r>
    </w:p>
    <w:p w14:paraId="15791B39" w14:textId="77777777" w:rsidR="007A1CFD" w:rsidRDefault="00887338">
      <w:pPr>
        <w:pStyle w:val="Heading3"/>
        <w:spacing w:before="240" w:after="120"/>
      </w:pPr>
      <w:bookmarkStart w:id="68" w:name="_Toc234072296"/>
      <w:bookmarkStart w:id="69" w:name="_Toc234429735"/>
      <w:r>
        <w:rPr>
          <w:b/>
          <w:bCs/>
          <w:color w:val="B8860B"/>
          <w:sz w:val="22"/>
          <w:szCs w:val="22"/>
        </w:rPr>
        <w:t>C. Visual 3 (100% Stacked Bar: Income Erosion vs. Retained Income)</w:t>
      </w:r>
      <w:bookmarkEnd w:id="68"/>
      <w:bookmarkEnd w:id="69"/>
    </w:p>
    <w:p w14:paraId="621625D3" w14:textId="574EFFF1" w:rsidR="007A1CFD" w:rsidRDefault="00887338" w:rsidP="00C437D2">
      <w:pPr>
        <w:pBdr>
          <w:left w:val="single" w:sz="24" w:space="8" w:color="1F3864"/>
        </w:pBdr>
        <w:shd w:val="clear" w:color="auto" w:fill="EEF2F8"/>
        <w:spacing w:before="120" w:after="60"/>
        <w:ind w:left="200"/>
      </w:pPr>
      <w:r>
        <w:rPr>
          <w:b/>
          <w:bCs/>
          <w:color w:val="1F3864"/>
          <w:sz w:val="22"/>
          <w:szCs w:val="22"/>
        </w:rPr>
        <w:t xml:space="preserve">🔎 Insight: </w:t>
      </w:r>
      <w:r w:rsidR="00C437D2" w:rsidRPr="00C437D2">
        <w:rPr>
          <w:sz w:val="22"/>
          <w:szCs w:val="22"/>
        </w:rPr>
        <w:t xml:space="preserve">This visual highlights the true human cost. The Income Erosion Index reveals an unprecedented shock: in 2023, the cost of Farm Chicken alone consumed an unbelievable </w:t>
      </w:r>
      <w:r w:rsidR="00C437D2" w:rsidRPr="00C437D2">
        <w:rPr>
          <w:b/>
          <w:bCs/>
          <w:sz w:val="22"/>
          <w:szCs w:val="22"/>
        </w:rPr>
        <w:t>76.08%</w:t>
      </w:r>
      <w:r w:rsidR="00C437D2" w:rsidRPr="00C437D2">
        <w:rPr>
          <w:sz w:val="22"/>
          <w:szCs w:val="22"/>
        </w:rPr>
        <w:t xml:space="preserve"> of a minimum wage earner's monthly income. This means over three-quarters of a citizen's salary was eaten up by a single survival food item, leaving just </w:t>
      </w:r>
      <w:r w:rsidR="00C437D2" w:rsidRPr="00C437D2">
        <w:rPr>
          <w:b/>
          <w:bCs/>
          <w:sz w:val="22"/>
          <w:szCs w:val="22"/>
        </w:rPr>
        <w:t>23.92%</w:t>
      </w:r>
      <w:r w:rsidR="00C437D2" w:rsidRPr="00C437D2">
        <w:rPr>
          <w:sz w:val="22"/>
          <w:szCs w:val="22"/>
        </w:rPr>
        <w:t xml:space="preserve"> for housing, healthcare, utilities, and education.</w:t>
      </w:r>
    </w:p>
    <w:p w14:paraId="06B5EF3A" w14:textId="1EC6AFF0" w:rsidR="007A1CFD" w:rsidRDefault="00887338" w:rsidP="00C437D2">
      <w:pPr>
        <w:pBdr>
          <w:left w:val="single" w:sz="24" w:space="8" w:color="B8860B"/>
        </w:pBdr>
        <w:shd w:val="clear" w:color="auto" w:fill="FBF3E1"/>
        <w:spacing w:before="40" w:after="200"/>
        <w:ind w:left="200"/>
      </w:pPr>
      <w:r>
        <w:rPr>
          <w:b/>
          <w:bCs/>
          <w:color w:val="B8860B"/>
          <w:sz w:val="22"/>
          <w:szCs w:val="22"/>
        </w:rPr>
        <w:t xml:space="preserve">✅ Recommended Action: </w:t>
      </w:r>
      <w:r w:rsidR="00C437D2" w:rsidRPr="00C437D2">
        <w:rPr>
          <w:i/>
          <w:iCs/>
          <w:sz w:val="22"/>
          <w:szCs w:val="22"/>
        </w:rPr>
        <w:t>Introduce a "Food Inflation Rebate" program directly crediting the bank accounts of minimum-wage citizens whenever the individual product Income Erosion Index exceeds 15%.</w:t>
      </w:r>
    </w:p>
    <w:p w14:paraId="0CA73E85" w14:textId="77777777" w:rsidR="007A1CFD" w:rsidRDefault="00887338">
      <w:pPr>
        <w:pStyle w:val="Heading2"/>
        <w:spacing w:before="320" w:after="160"/>
      </w:pPr>
      <w:bookmarkStart w:id="70" w:name="_Toc234072297"/>
      <w:bookmarkStart w:id="71" w:name="_Toc234429736"/>
      <w:r>
        <w:rPr>
          <w:b/>
          <w:bCs/>
          <w:color w:val="1F3864"/>
        </w:rPr>
        <w:t>3.4 Page 4: Macro Trade Reality &amp; Import Exposure</w:t>
      </w:r>
      <w:bookmarkEnd w:id="70"/>
      <w:bookmarkEnd w:id="71"/>
    </w:p>
    <w:p w14:paraId="07161B82" w14:textId="77777777" w:rsidR="007A1CFD" w:rsidRDefault="00887338">
      <w:pPr>
        <w:pStyle w:val="Heading3"/>
        <w:spacing w:before="240" w:after="120"/>
      </w:pPr>
      <w:bookmarkStart w:id="72" w:name="_Toc234072298"/>
      <w:bookmarkStart w:id="73" w:name="_Toc234429737"/>
      <w:r>
        <w:rPr>
          <w:b/>
          <w:bCs/>
          <w:color w:val="B8860B"/>
          <w:sz w:val="22"/>
          <w:szCs w:val="22"/>
        </w:rPr>
        <w:t>A. Core KPIs (Import Value USD, Total Import EGP, Global Cost/Ton, Highest Risk Partner)</w:t>
      </w:r>
      <w:bookmarkEnd w:id="72"/>
      <w:bookmarkEnd w:id="73"/>
    </w:p>
    <w:p w14:paraId="7629FDA0" w14:textId="77777777" w:rsidR="007A1CFD" w:rsidRDefault="00887338">
      <w:pPr>
        <w:shd w:val="clear" w:color="auto" w:fill="1F3864"/>
        <w:spacing w:before="240" w:after="140"/>
      </w:pPr>
      <w:r>
        <w:rPr>
          <w:b/>
          <w:bCs/>
          <w:color w:val="FFFFFF"/>
          <w:sz w:val="23"/>
          <w:szCs w:val="23"/>
        </w:rPr>
        <w:t>📌 Core KPI Snapshot — Page 4</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
        <w:gridCol w:w="2908"/>
        <w:gridCol w:w="2762"/>
      </w:tblGrid>
      <w:tr w:rsidR="007A1CFD" w14:paraId="55D56D2C" w14:textId="77777777">
        <w:tc>
          <w:tcPr>
            <w:tcW w:w="8" w:type="auto"/>
            <w:tcBorders>
              <w:top w:val="none" w:sz="0" w:space="0" w:color="FFFFFF"/>
              <w:left w:val="none" w:sz="0" w:space="0" w:color="FFFFFF"/>
              <w:bottom w:val="none" w:sz="0" w:space="0" w:color="FFFFFF"/>
              <w:right w:val="none" w:sz="0" w:space="0" w:color="FFFFFF"/>
            </w:tcBorders>
            <w:vAlign w:val="center"/>
          </w:tcPr>
          <w:p w14:paraId="43F3D431"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7C203962" w14:textId="77777777" w:rsidR="007A1CFD" w:rsidRDefault="00887338">
            <w:r>
              <w:rPr>
                <w:color w:val="595959"/>
                <w:sz w:val="21"/>
                <w:szCs w:val="21"/>
              </w:rPr>
              <w:t>Global Cost/Ton (2020→2024)</w:t>
            </w:r>
          </w:p>
        </w:tc>
        <w:tc>
          <w:tcPr>
            <w:tcW w:w="40" w:type="auto"/>
            <w:tcBorders>
              <w:top w:val="none" w:sz="0" w:space="0" w:color="FFFFFF"/>
              <w:left w:val="none" w:sz="0" w:space="0" w:color="FFFFFF"/>
              <w:bottom w:val="none" w:sz="0" w:space="0" w:color="FFFFFF"/>
              <w:right w:val="none" w:sz="0" w:space="0" w:color="FFFFFF"/>
            </w:tcBorders>
            <w:vAlign w:val="center"/>
          </w:tcPr>
          <w:p w14:paraId="7B465FC8" w14:textId="77777777" w:rsidR="007A1CFD" w:rsidRDefault="00887338">
            <w:pPr>
              <w:jc w:val="right"/>
            </w:pPr>
            <w:r>
              <w:rPr>
                <w:b/>
                <w:bCs/>
                <w:color w:val="2E7D32"/>
                <w:sz w:val="30"/>
                <w:szCs w:val="30"/>
              </w:rPr>
              <w:t>$1.05 → $0.98</w:t>
            </w:r>
          </w:p>
        </w:tc>
      </w:tr>
      <w:tr w:rsidR="007A1CFD" w14:paraId="12211CEE" w14:textId="77777777">
        <w:tc>
          <w:tcPr>
            <w:tcW w:w="8" w:type="auto"/>
            <w:tcBorders>
              <w:top w:val="none" w:sz="0" w:space="0" w:color="FFFFFF"/>
              <w:left w:val="none" w:sz="0" w:space="0" w:color="FFFFFF"/>
              <w:bottom w:val="none" w:sz="0" w:space="0" w:color="FFFFFF"/>
              <w:right w:val="none" w:sz="0" w:space="0" w:color="FFFFFF"/>
            </w:tcBorders>
            <w:vAlign w:val="center"/>
          </w:tcPr>
          <w:p w14:paraId="77CA1203"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1E2205E9" w14:textId="77777777" w:rsidR="007A1CFD" w:rsidRDefault="00887338">
            <w:r>
              <w:rPr>
                <w:color w:val="595959"/>
                <w:sz w:val="21"/>
                <w:szCs w:val="21"/>
              </w:rPr>
              <w:t>Total Import Cost (2020→2024)</w:t>
            </w:r>
          </w:p>
        </w:tc>
        <w:tc>
          <w:tcPr>
            <w:tcW w:w="40" w:type="auto"/>
            <w:tcBorders>
              <w:top w:val="none" w:sz="0" w:space="0" w:color="FFFFFF"/>
              <w:left w:val="none" w:sz="0" w:space="0" w:color="FFFFFF"/>
              <w:bottom w:val="none" w:sz="0" w:space="0" w:color="FFFFFF"/>
              <w:right w:val="none" w:sz="0" w:space="0" w:color="FFFFFF"/>
            </w:tcBorders>
            <w:vAlign w:val="center"/>
          </w:tcPr>
          <w:p w14:paraId="1A498933" w14:textId="77777777" w:rsidR="007A1CFD" w:rsidRDefault="00887338">
            <w:pPr>
              <w:jc w:val="right"/>
            </w:pPr>
            <w:r>
              <w:rPr>
                <w:b/>
                <w:bCs/>
                <w:color w:val="C0392B"/>
                <w:sz w:val="30"/>
                <w:szCs w:val="30"/>
              </w:rPr>
              <w:t>16.2B → 119.2B EGP</w:t>
            </w:r>
          </w:p>
        </w:tc>
      </w:tr>
      <w:tr w:rsidR="007A1CFD" w14:paraId="72078C24" w14:textId="77777777">
        <w:tc>
          <w:tcPr>
            <w:tcW w:w="8" w:type="auto"/>
            <w:tcBorders>
              <w:top w:val="none" w:sz="0" w:space="0" w:color="FFFFFF"/>
              <w:left w:val="none" w:sz="0" w:space="0" w:color="FFFFFF"/>
              <w:bottom w:val="none" w:sz="0" w:space="0" w:color="FFFFFF"/>
              <w:right w:val="none" w:sz="0" w:space="0" w:color="FFFFFF"/>
            </w:tcBorders>
            <w:vAlign w:val="center"/>
          </w:tcPr>
          <w:p w14:paraId="1B5FA12B"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3EB6A5C5" w14:textId="77777777" w:rsidR="007A1CFD" w:rsidRDefault="00887338">
            <w:r>
              <w:rPr>
                <w:color w:val="595959"/>
                <w:sz w:val="21"/>
                <w:szCs w:val="21"/>
              </w:rPr>
              <w:t>Highest Risk Partner (2022–2024)</w:t>
            </w:r>
          </w:p>
        </w:tc>
        <w:tc>
          <w:tcPr>
            <w:tcW w:w="40" w:type="auto"/>
            <w:tcBorders>
              <w:top w:val="none" w:sz="0" w:space="0" w:color="FFFFFF"/>
              <w:left w:val="none" w:sz="0" w:space="0" w:color="FFFFFF"/>
              <w:bottom w:val="none" w:sz="0" w:space="0" w:color="FFFFFF"/>
              <w:right w:val="none" w:sz="0" w:space="0" w:color="FFFFFF"/>
            </w:tcBorders>
            <w:vAlign w:val="center"/>
          </w:tcPr>
          <w:p w14:paraId="0002446C" w14:textId="77777777" w:rsidR="007A1CFD" w:rsidRDefault="00887338">
            <w:pPr>
              <w:jc w:val="right"/>
            </w:pPr>
            <w:r>
              <w:rPr>
                <w:b/>
                <w:bCs/>
                <w:color w:val="B8860B"/>
                <w:sz w:val="30"/>
                <w:szCs w:val="30"/>
              </w:rPr>
              <w:t>Brazil</w:t>
            </w:r>
          </w:p>
        </w:tc>
      </w:tr>
      <w:tr w:rsidR="007A1CFD" w14:paraId="12357A08" w14:textId="77777777">
        <w:tc>
          <w:tcPr>
            <w:tcW w:w="8" w:type="auto"/>
            <w:tcBorders>
              <w:top w:val="none" w:sz="0" w:space="0" w:color="FFFFFF"/>
              <w:left w:val="none" w:sz="0" w:space="0" w:color="FFFFFF"/>
              <w:bottom w:val="none" w:sz="0" w:space="0" w:color="FFFFFF"/>
              <w:right w:val="none" w:sz="0" w:space="0" w:color="FFFFFF"/>
            </w:tcBorders>
            <w:vAlign w:val="center"/>
          </w:tcPr>
          <w:p w14:paraId="26984807" w14:textId="77777777" w:rsidR="007A1CFD" w:rsidRDefault="00887338">
            <w:pPr>
              <w:jc w:val="center"/>
            </w:pPr>
            <w:r>
              <w:rPr>
                <w:sz w:val="30"/>
                <w:szCs w:val="30"/>
              </w:rPr>
              <w:t>⚠️</w:t>
            </w:r>
          </w:p>
        </w:tc>
        <w:tc>
          <w:tcPr>
            <w:tcW w:w="52" w:type="auto"/>
            <w:tcBorders>
              <w:top w:val="none" w:sz="0" w:space="0" w:color="FFFFFF"/>
              <w:left w:val="none" w:sz="0" w:space="0" w:color="FFFFFF"/>
              <w:bottom w:val="none" w:sz="0" w:space="0" w:color="FFFFFF"/>
              <w:right w:val="none" w:sz="0" w:space="0" w:color="FFFFFF"/>
            </w:tcBorders>
            <w:vAlign w:val="center"/>
          </w:tcPr>
          <w:p w14:paraId="3B0FFB0D" w14:textId="77777777" w:rsidR="007A1CFD" w:rsidRDefault="00887338">
            <w:r>
              <w:rPr>
                <w:color w:val="595959"/>
                <w:sz w:val="21"/>
                <w:szCs w:val="21"/>
              </w:rPr>
              <w:t>Sovereign Concentration Risk</w:t>
            </w:r>
          </w:p>
        </w:tc>
        <w:tc>
          <w:tcPr>
            <w:tcW w:w="40" w:type="auto"/>
            <w:tcBorders>
              <w:top w:val="none" w:sz="0" w:space="0" w:color="FFFFFF"/>
              <w:left w:val="none" w:sz="0" w:space="0" w:color="FFFFFF"/>
              <w:bottom w:val="none" w:sz="0" w:space="0" w:color="FFFFFF"/>
              <w:right w:val="none" w:sz="0" w:space="0" w:color="FFFFFF"/>
            </w:tcBorders>
            <w:vAlign w:val="center"/>
          </w:tcPr>
          <w:p w14:paraId="6F1EF8A3" w14:textId="77777777" w:rsidR="007A1CFD" w:rsidRDefault="00887338">
            <w:pPr>
              <w:jc w:val="right"/>
            </w:pPr>
            <w:r>
              <w:rPr>
                <w:b/>
                <w:bCs/>
                <w:color w:val="C0392B"/>
                <w:sz w:val="30"/>
                <w:szCs w:val="30"/>
              </w:rPr>
              <w:t>HIGH</w:t>
            </w:r>
          </w:p>
        </w:tc>
      </w:tr>
    </w:tbl>
    <w:p w14:paraId="28973F47" w14:textId="77777777" w:rsidR="007A1CFD" w:rsidRDefault="00887338">
      <w:pPr>
        <w:pBdr>
          <w:left w:val="single" w:sz="24" w:space="8" w:color="1F3864"/>
        </w:pBdr>
        <w:shd w:val="clear" w:color="auto" w:fill="EEF2F8"/>
        <w:spacing w:before="120" w:after="60"/>
        <w:ind w:left="200"/>
      </w:pPr>
      <w:r>
        <w:rPr>
          <w:b/>
          <w:bCs/>
          <w:color w:val="1F3864"/>
          <w:sz w:val="22"/>
          <w:szCs w:val="22"/>
        </w:rPr>
        <w:t xml:space="preserve">🔎 Insight: </w:t>
      </w:r>
      <w:r>
        <w:rPr>
          <w:sz w:val="22"/>
          <w:szCs w:val="22"/>
        </w:rPr>
        <w:t>Global Cost Per Ton actually dropped from $1.05 in 2020 to $0.98 in 2024. However, the Total Import Cost exploded from 16.2 Billion EGP to 119.2 Billion EGP. This proves Egypt is importing a currency crisis, not a food shortage. Furthermore, the Highest Risk Partner shifted entirely to Brazil from 2022 to 2024.</w:t>
      </w:r>
    </w:p>
    <w:p w14:paraId="4D634D60" w14:textId="77777777" w:rsidR="007A1CFD" w:rsidRDefault="00887338">
      <w:pPr>
        <w:pBdr>
          <w:left w:val="single" w:sz="24" w:space="8" w:color="B8860B"/>
        </w:pBdr>
        <w:shd w:val="clear" w:color="auto" w:fill="FBF3E1"/>
        <w:spacing w:before="40" w:after="200"/>
        <w:ind w:left="200"/>
      </w:pPr>
      <w:r>
        <w:rPr>
          <w:b/>
          <w:bCs/>
          <w:color w:val="B8860B"/>
          <w:sz w:val="22"/>
          <w:szCs w:val="22"/>
        </w:rPr>
        <w:t xml:space="preserve">✅ Recommended Action: </w:t>
      </w:r>
      <w:r>
        <w:rPr>
          <w:i/>
          <w:iCs/>
          <w:sz w:val="22"/>
          <w:szCs w:val="22"/>
        </w:rPr>
        <w:t>Aggressively pursue "Local Currency Settlement" trade agreements with Brazil to bypass the US Dollar, entirely nullifying the EGP-to-USD conversion penalty.</w:t>
      </w:r>
    </w:p>
    <w:p w14:paraId="759C39C2" w14:textId="77777777" w:rsidR="007A1CFD" w:rsidRDefault="00887338">
      <w:pPr>
        <w:pStyle w:val="Heading3"/>
        <w:spacing w:before="240" w:after="120"/>
      </w:pPr>
      <w:bookmarkStart w:id="74" w:name="_Toc234072299"/>
      <w:bookmarkStart w:id="75" w:name="_Toc234429738"/>
      <w:r>
        <w:rPr>
          <w:b/>
          <w:bCs/>
          <w:color w:val="B8860B"/>
          <w:sz w:val="22"/>
          <w:szCs w:val="22"/>
        </w:rPr>
        <w:t>B. Visual 1 (Azure Maps: Import Volume Geographic Plot)</w:t>
      </w:r>
      <w:bookmarkEnd w:id="74"/>
      <w:bookmarkEnd w:id="75"/>
    </w:p>
    <w:p w14:paraId="0560B82C" w14:textId="77777777" w:rsidR="007A1CFD" w:rsidRDefault="00887338">
      <w:pPr>
        <w:pBdr>
          <w:left w:val="single" w:sz="24" w:space="8" w:color="1F3864"/>
        </w:pBdr>
        <w:shd w:val="clear" w:color="auto" w:fill="EEF2F8"/>
        <w:spacing w:before="120" w:after="60"/>
        <w:ind w:left="200"/>
      </w:pPr>
      <w:r>
        <w:rPr>
          <w:b/>
          <w:bCs/>
          <w:color w:val="1F3864"/>
          <w:sz w:val="22"/>
          <w:szCs w:val="22"/>
        </w:rPr>
        <w:t xml:space="preserve">🔎 Insight: </w:t>
      </w:r>
      <w:r>
        <w:rPr>
          <w:sz w:val="22"/>
          <w:szCs w:val="22"/>
        </w:rPr>
        <w:t>The map highlights extreme supply chain centralization. Brazil (2.25 Billion MT), Australia (1.41 Billion MT), and the Russian Federation (1.38 Billion MT) control the vast majority of Egypt's food lifeline.</w:t>
      </w:r>
    </w:p>
    <w:p w14:paraId="6A862AA7" w14:textId="77777777" w:rsidR="007A1CFD" w:rsidRDefault="00887338">
      <w:pPr>
        <w:pBdr>
          <w:left w:val="single" w:sz="24" w:space="8" w:color="B8860B"/>
        </w:pBdr>
        <w:shd w:val="clear" w:color="auto" w:fill="FBF3E1"/>
        <w:spacing w:before="40" w:after="200"/>
        <w:ind w:left="200"/>
      </w:pPr>
      <w:r>
        <w:rPr>
          <w:b/>
          <w:bCs/>
          <w:color w:val="B8860B"/>
          <w:sz w:val="22"/>
          <w:szCs w:val="22"/>
        </w:rPr>
        <w:t xml:space="preserve">✅ Recommended Action: </w:t>
      </w:r>
      <w:r>
        <w:rPr>
          <w:i/>
          <w:iCs/>
          <w:sz w:val="22"/>
          <w:szCs w:val="22"/>
        </w:rPr>
        <w:t>Diversify sovereign risk by mandating that no single country can account for more than 25% of Egypt's total agricultural import volume.</w:t>
      </w:r>
    </w:p>
    <w:p w14:paraId="381F2B20" w14:textId="77777777" w:rsidR="007A1CFD" w:rsidRDefault="00887338">
      <w:pPr>
        <w:pStyle w:val="Heading3"/>
        <w:spacing w:before="240" w:after="120"/>
      </w:pPr>
      <w:bookmarkStart w:id="76" w:name="_Toc234072300"/>
      <w:bookmarkStart w:id="77" w:name="_Toc234429739"/>
      <w:r>
        <w:rPr>
          <w:b/>
          <w:bCs/>
          <w:color w:val="B8860B"/>
          <w:sz w:val="22"/>
          <w:szCs w:val="22"/>
        </w:rPr>
        <w:t>C. Visual 2 &amp; 3 (Total Cost EGP vs USD Value &amp; Top Products Bar Chart)</w:t>
      </w:r>
      <w:bookmarkEnd w:id="76"/>
      <w:bookmarkEnd w:id="77"/>
    </w:p>
    <w:p w14:paraId="1EC63807" w14:textId="77777777" w:rsidR="007A1CFD" w:rsidRDefault="00887338">
      <w:pPr>
        <w:pBdr>
          <w:left w:val="single" w:sz="24" w:space="8" w:color="1F3864"/>
        </w:pBdr>
        <w:shd w:val="clear" w:color="auto" w:fill="EEF2F8"/>
        <w:spacing w:before="120" w:after="60"/>
        <w:ind w:left="200"/>
      </w:pPr>
      <w:r>
        <w:rPr>
          <w:b/>
          <w:bCs/>
          <w:color w:val="1F3864"/>
          <w:sz w:val="22"/>
          <w:szCs w:val="22"/>
        </w:rPr>
        <w:t xml:space="preserve">🔎 Insight: </w:t>
      </w:r>
      <w:r>
        <w:rPr>
          <w:sz w:val="22"/>
          <w:szCs w:val="22"/>
        </w:rPr>
        <w:t>The clustered bar chart reveals Egypt's most expensive exposures: Sunflower Oil ($2.2 Billion), Sugar ($1.87 Billion), and Dry Fava Beans ($1.48 Billion).</w:t>
      </w:r>
    </w:p>
    <w:p w14:paraId="3560305F" w14:textId="77777777" w:rsidR="007A1CFD" w:rsidRDefault="00887338">
      <w:pPr>
        <w:pBdr>
          <w:left w:val="single" w:sz="24" w:space="8" w:color="B8860B"/>
        </w:pBdr>
        <w:shd w:val="clear" w:color="auto" w:fill="FBF3E1"/>
        <w:spacing w:before="40" w:after="200"/>
        <w:ind w:left="200"/>
      </w:pPr>
      <w:r>
        <w:rPr>
          <w:b/>
          <w:bCs/>
          <w:color w:val="B8860B"/>
          <w:sz w:val="22"/>
          <w:szCs w:val="22"/>
        </w:rPr>
        <w:t xml:space="preserve">✅ Recommended Action: </w:t>
      </w:r>
      <w:r>
        <w:rPr>
          <w:i/>
          <w:iCs/>
          <w:sz w:val="22"/>
          <w:szCs w:val="22"/>
        </w:rPr>
        <w:t>Implement a Sovereign Hedging program specifically for Sunflower Oil and Sugar to lock in global prices and insulate the domestic market from further EGP collapses.</w:t>
      </w:r>
    </w:p>
    <w:p w14:paraId="462C7F75" w14:textId="77777777" w:rsidR="007A1CFD" w:rsidRDefault="00887338">
      <w:pPr>
        <w:pStyle w:val="Heading3"/>
        <w:spacing w:before="240" w:after="120"/>
      </w:pPr>
      <w:bookmarkStart w:id="78" w:name="_Toc234072301"/>
      <w:bookmarkStart w:id="79" w:name="_Toc234429740"/>
      <w:r>
        <w:rPr>
          <w:b/>
          <w:bCs/>
          <w:color w:val="B8860B"/>
          <w:sz w:val="22"/>
          <w:szCs w:val="22"/>
        </w:rPr>
        <w:t>D. Visual 4 (Line Chart: Avg Local Price vs. Simulated Price)</w:t>
      </w:r>
      <w:bookmarkEnd w:id="78"/>
      <w:bookmarkEnd w:id="79"/>
    </w:p>
    <w:p w14:paraId="34228844" w14:textId="77777777" w:rsidR="007A1CFD" w:rsidRDefault="00887338">
      <w:pPr>
        <w:pBdr>
          <w:left w:val="single" w:sz="24" w:space="8" w:color="1F3864"/>
        </w:pBdr>
        <w:shd w:val="clear" w:color="auto" w:fill="EEF2F8"/>
        <w:spacing w:before="120" w:after="60"/>
        <w:ind w:left="200"/>
      </w:pPr>
      <w:r>
        <w:rPr>
          <w:b/>
          <w:bCs/>
          <w:color w:val="1F3864"/>
          <w:sz w:val="22"/>
          <w:szCs w:val="22"/>
        </w:rPr>
        <w:t xml:space="preserve">🔎 Insight: </w:t>
      </w:r>
      <w:r>
        <w:rPr>
          <w:sz w:val="22"/>
          <w:szCs w:val="22"/>
        </w:rPr>
        <w:t>The simulation visual proves that local prices (rising from 16.13 EGP in 2020 to 45.14 EGP in 2024) perfectly mirror Exchange Rate Pass-Through (ERPT) shocks.</w:t>
      </w:r>
    </w:p>
    <w:p w14:paraId="2BD26D99" w14:textId="77777777" w:rsidR="007A1CFD" w:rsidRDefault="00887338">
      <w:pPr>
        <w:pBdr>
          <w:left w:val="single" w:sz="24" w:space="8" w:color="B8860B"/>
        </w:pBdr>
        <w:shd w:val="clear" w:color="auto" w:fill="FBF3E1"/>
        <w:spacing w:before="40" w:after="200"/>
        <w:ind w:left="200"/>
      </w:pPr>
      <w:r>
        <w:rPr>
          <w:b/>
          <w:bCs/>
          <w:color w:val="B8860B"/>
          <w:sz w:val="22"/>
          <w:szCs w:val="22"/>
        </w:rPr>
        <w:t xml:space="preserve">✅ Recommended Action: </w:t>
      </w:r>
      <w:r>
        <w:rPr>
          <w:i/>
          <w:iCs/>
          <w:sz w:val="22"/>
          <w:szCs w:val="22"/>
        </w:rPr>
        <w:t>Utilize this simulation model to predict local market prices 6 months in advance based on forecasted currency shifts, allowing preemptive rather than reactive policy-making.</w:t>
      </w:r>
    </w:p>
    <w:p w14:paraId="42C358B4" w14:textId="77777777" w:rsidR="007A1CFD" w:rsidRDefault="00887338">
      <w:pPr>
        <w:pStyle w:val="Heading1"/>
        <w:pageBreakBefore/>
        <w:pBdr>
          <w:bottom w:val="single" w:sz="12" w:space="8" w:color="B8860B"/>
        </w:pBdr>
        <w:spacing w:before="200" w:after="240"/>
      </w:pPr>
      <w:bookmarkStart w:id="80" w:name="_Toc234072302"/>
      <w:bookmarkStart w:id="81" w:name="_Toc234429741"/>
      <w:r>
        <w:rPr>
          <w:b/>
          <w:bCs/>
          <w:color w:val="1F3864"/>
          <w:sz w:val="34"/>
          <w:szCs w:val="34"/>
        </w:rPr>
        <w:lastRenderedPageBreak/>
        <w:t>Glossary &amp; Terminology</w:t>
      </w:r>
      <w:bookmarkEnd w:id="80"/>
      <w:bookmarkEnd w:id="81"/>
    </w:p>
    <w:p w14:paraId="5B2ECE3A" w14:textId="77777777" w:rsidR="007A1CFD" w:rsidRDefault="00887338">
      <w:pPr>
        <w:spacing w:after="160" w:line="300" w:lineRule="auto"/>
        <w:jc w:val="both"/>
      </w:pPr>
      <w:r>
        <w:rPr>
          <w:sz w:val="22"/>
          <w:szCs w:val="22"/>
        </w:rPr>
        <w:t>To ensure clarity for all stakeholders reading this report, the following technical and economic terms used throughout the dashboard and analysis are defined below:</w:t>
      </w:r>
    </w:p>
    <w:p w14:paraId="2DAA62EF" w14:textId="77777777" w:rsidR="007A1CFD" w:rsidRDefault="00887338">
      <w:pPr>
        <w:spacing w:after="160" w:line="300" w:lineRule="auto"/>
        <w:jc w:val="both"/>
      </w:pPr>
      <w:r>
        <w:rPr>
          <w:b/>
          <w:bCs/>
          <w:color w:val="1F3864"/>
          <w:sz w:val="22"/>
          <w:szCs w:val="22"/>
        </w:rPr>
        <w:t xml:space="preserve">DAX (Data Analysis Expressions): </w:t>
      </w:r>
      <w:r>
        <w:rPr>
          <w:sz w:val="22"/>
          <w:szCs w:val="22"/>
        </w:rPr>
        <w:t>The formula language used in Microsoft Power BI to create custom calculations, measures, and data aggregations (such as calculating the Income Erosion Index).</w:t>
      </w:r>
    </w:p>
    <w:p w14:paraId="7CA238D2" w14:textId="77777777" w:rsidR="007A1CFD" w:rsidRDefault="00887338">
      <w:pPr>
        <w:spacing w:after="160" w:line="300" w:lineRule="auto"/>
        <w:jc w:val="both"/>
      </w:pPr>
      <w:r>
        <w:rPr>
          <w:b/>
          <w:bCs/>
          <w:color w:val="1F3864"/>
          <w:sz w:val="22"/>
          <w:szCs w:val="22"/>
        </w:rPr>
        <w:t xml:space="preserve">Exchange Rate Pass-Through (ERPT): </w:t>
      </w:r>
      <w:r>
        <w:rPr>
          <w:sz w:val="22"/>
          <w:szCs w:val="22"/>
        </w:rPr>
        <w:t>An economic metric that measures how much a change in the exchange rate (currency devaluation) affects local domestic prices.</w:t>
      </w:r>
    </w:p>
    <w:p w14:paraId="766AD3DC" w14:textId="77777777" w:rsidR="007A1CFD" w:rsidRDefault="00887338">
      <w:pPr>
        <w:spacing w:after="160" w:line="300" w:lineRule="auto"/>
        <w:jc w:val="both"/>
      </w:pPr>
      <w:r>
        <w:rPr>
          <w:b/>
          <w:bCs/>
          <w:color w:val="1F3864"/>
          <w:sz w:val="22"/>
          <w:szCs w:val="22"/>
        </w:rPr>
        <w:t xml:space="preserve">FX Devaluation (Foreign Exchange Devaluation): </w:t>
      </w:r>
      <w:r>
        <w:rPr>
          <w:sz w:val="22"/>
          <w:szCs w:val="22"/>
        </w:rPr>
        <w:t>The intentional or market-driven drop in the value of a country's currency (the Egyptian Pound) relative to a foreign reference currency (the US Dollar).</w:t>
      </w:r>
    </w:p>
    <w:p w14:paraId="7B4E9D9F" w14:textId="77777777" w:rsidR="007A1CFD" w:rsidRDefault="00887338">
      <w:pPr>
        <w:spacing w:after="160" w:line="300" w:lineRule="auto"/>
        <w:jc w:val="both"/>
      </w:pPr>
      <w:r>
        <w:rPr>
          <w:b/>
          <w:bCs/>
          <w:color w:val="1F3864"/>
          <w:sz w:val="22"/>
          <w:szCs w:val="22"/>
        </w:rPr>
        <w:t xml:space="preserve">Headline CPI (Consumer Price Index): </w:t>
      </w:r>
      <w:r>
        <w:rPr>
          <w:sz w:val="22"/>
          <w:szCs w:val="22"/>
        </w:rPr>
        <w:t>The standard measure of general inflation. It tracks the average change over time in the prices paid by urban consumers for a general basket of consumer goods and services.</w:t>
      </w:r>
    </w:p>
    <w:p w14:paraId="1201E2F6" w14:textId="77777777" w:rsidR="007A1CFD" w:rsidRDefault="00887338">
      <w:pPr>
        <w:spacing w:after="160" w:line="300" w:lineRule="auto"/>
        <w:jc w:val="both"/>
      </w:pPr>
      <w:r>
        <w:rPr>
          <w:b/>
          <w:bCs/>
          <w:color w:val="1F3864"/>
          <w:sz w:val="22"/>
          <w:szCs w:val="22"/>
        </w:rPr>
        <w:t xml:space="preserve">Income Erosion Index: </w:t>
      </w:r>
      <w:r>
        <w:rPr>
          <w:sz w:val="22"/>
          <w:szCs w:val="22"/>
        </w:rPr>
        <w:t>A custom KPI developed for this project that measures the exact percentage of a citizen's monthly minimum wage that is consumed entirely by basic food costs.</w:t>
      </w:r>
    </w:p>
    <w:p w14:paraId="6D6CB721" w14:textId="77777777" w:rsidR="007A1CFD" w:rsidRDefault="00887338">
      <w:pPr>
        <w:spacing w:after="160" w:line="300" w:lineRule="auto"/>
        <w:jc w:val="both"/>
      </w:pPr>
      <w:r>
        <w:rPr>
          <w:b/>
          <w:bCs/>
          <w:color w:val="1F3864"/>
          <w:sz w:val="22"/>
          <w:szCs w:val="22"/>
        </w:rPr>
        <w:t xml:space="preserve">Power Query (M Language): </w:t>
      </w:r>
      <w:r>
        <w:rPr>
          <w:sz w:val="22"/>
          <w:szCs w:val="22"/>
        </w:rPr>
        <w:t>The data transformation and preparation engine used to clean, filter, and reshape the raw data before it is loaded into the Power BI model.</w:t>
      </w:r>
    </w:p>
    <w:p w14:paraId="7EBA5CED" w14:textId="77777777" w:rsidR="007A1CFD" w:rsidRDefault="00887338">
      <w:pPr>
        <w:spacing w:after="160" w:line="300" w:lineRule="auto"/>
        <w:jc w:val="both"/>
      </w:pPr>
      <w:r>
        <w:rPr>
          <w:b/>
          <w:bCs/>
          <w:color w:val="1F3864"/>
          <w:sz w:val="22"/>
          <w:szCs w:val="22"/>
        </w:rPr>
        <w:t xml:space="preserve">Star Schema: </w:t>
      </w:r>
      <w:r>
        <w:rPr>
          <w:sz w:val="22"/>
          <w:szCs w:val="22"/>
        </w:rPr>
        <w:t>A database modeling structure where a central "Fact Table" (containing measurable, quantitative data like prices or import volumes) is connected to multiple "Dimension Tables" (containing descriptive data like dates, product names, or operators).</w:t>
      </w:r>
    </w:p>
    <w:p w14:paraId="4E8BFEB0" w14:textId="77777777" w:rsidR="007A1CFD" w:rsidRDefault="00887338">
      <w:pPr>
        <w:spacing w:after="160" w:line="300" w:lineRule="auto"/>
        <w:jc w:val="both"/>
      </w:pPr>
      <w:r>
        <w:rPr>
          <w:b/>
          <w:bCs/>
          <w:color w:val="1F3864"/>
          <w:sz w:val="22"/>
          <w:szCs w:val="22"/>
        </w:rPr>
        <w:t xml:space="preserve">Survival Basket: </w:t>
      </w:r>
      <w:r>
        <w:rPr>
          <w:sz w:val="22"/>
          <w:szCs w:val="22"/>
        </w:rPr>
        <w:t>A specific, filtered group of the most critical, high-calorie commodities required for basic human sustenance in Egypt (specifically tracking Rice, Sugar, Wheat Flour, Vegetable Oil, and Poultry).</w:t>
      </w:r>
    </w:p>
    <w:p w14:paraId="6BB672E3" w14:textId="77777777" w:rsidR="007A1CFD" w:rsidRDefault="00887338">
      <w:pPr>
        <w:spacing w:after="160" w:line="300" w:lineRule="auto"/>
        <w:jc w:val="both"/>
      </w:pPr>
      <w:r>
        <w:rPr>
          <w:b/>
          <w:bCs/>
          <w:color w:val="1F3864"/>
          <w:sz w:val="22"/>
          <w:szCs w:val="22"/>
        </w:rPr>
        <w:t xml:space="preserve">Units Affordable: </w:t>
      </w:r>
      <w:r>
        <w:rPr>
          <w:sz w:val="22"/>
          <w:szCs w:val="22"/>
        </w:rPr>
        <w:t>A custom KPI representing the physical purchasing power of a citizen. It calculates exactly how many units of average food a monthly minimum wage can buy at any given time.</w:t>
      </w:r>
    </w:p>
    <w:p w14:paraId="51625D35" w14:textId="77777777" w:rsidR="007A1CFD" w:rsidRDefault="00887338">
      <w:pPr>
        <w:pStyle w:val="Heading1"/>
        <w:pageBreakBefore/>
        <w:pBdr>
          <w:bottom w:val="single" w:sz="12" w:space="8" w:color="B8860B"/>
        </w:pBdr>
        <w:spacing w:before="200" w:after="240"/>
      </w:pPr>
      <w:bookmarkStart w:id="82" w:name="_Toc234072303"/>
      <w:bookmarkStart w:id="83" w:name="_Toc234429742"/>
      <w:r>
        <w:rPr>
          <w:b/>
          <w:bCs/>
          <w:color w:val="1F3864"/>
          <w:sz w:val="34"/>
          <w:szCs w:val="34"/>
        </w:rPr>
        <w:lastRenderedPageBreak/>
        <w:t>Conclusion</w:t>
      </w:r>
      <w:bookmarkEnd w:id="82"/>
      <w:bookmarkEnd w:id="83"/>
    </w:p>
    <w:p w14:paraId="459EA613" w14:textId="77777777" w:rsidR="007A1CFD" w:rsidRDefault="00887338">
      <w:pPr>
        <w:spacing w:after="160" w:line="300" w:lineRule="auto"/>
        <w:jc w:val="both"/>
      </w:pPr>
      <w:r>
        <w:rPr>
          <w:sz w:val="22"/>
          <w:szCs w:val="22"/>
        </w:rPr>
        <w:t>The analysis conducted between 2020 and 2024 unequivocally demonstrates that Egypt's food security crisis is fundamentally driven by severe currency devaluation and imported inflation, rather than global commodity scarcity. While the global cost per ton of imported goods remained highly stable — even dropping to $0.98 by 2024 — the massive 59.84% collapse in the exchange rate acted as a severe force multiplier, driving total import costs to an unprecedented 119.2 Billion EGP. This macroeconomic shock translated directly into a devastating 63.57% food inflation rate in 2023, aggressively outpacing general inflation and rapidly eroding citizen purchasing power.</w:t>
      </w:r>
    </w:p>
    <w:p w14:paraId="72560F5A" w14:textId="11F55746" w:rsidR="007A1CFD" w:rsidRDefault="005943A7" w:rsidP="005943A7">
      <w:pPr>
        <w:spacing w:after="160" w:line="300" w:lineRule="auto"/>
        <w:jc w:val="both"/>
      </w:pPr>
      <w:r w:rsidRPr="005943A7">
        <w:rPr>
          <w:sz w:val="22"/>
          <w:szCs w:val="22"/>
        </w:rPr>
        <w:t>Despite nominal minimum wage increases reaching 6,000 EGP, real purchasing capacity collapsed, with the average physical "Units Affordable" metric plummeting from 303 units in 2021 down to a crisis-level of 258 units in 2024. The existing economic safety net has largely failed to keep pace with the hyper-volatility of critical survival items like Sugar, Farm Chicken, and Edible Oils. This dynamic led to severe microeconomic shocks, such as the cost of Farm Chicken alone consuming an unbelievable 76.08% of a minimum wage earner's monthly income in 2023, leaving citizens with a fraction of their salary for other survival needs.</w:t>
      </w:r>
    </w:p>
    <w:p w14:paraId="6A97D179" w14:textId="2396D188" w:rsidR="007A1CFD" w:rsidRDefault="007743D7" w:rsidP="007743D7">
      <w:pPr>
        <w:spacing w:after="160" w:line="300" w:lineRule="auto"/>
        <w:jc w:val="both"/>
      </w:pPr>
      <w:r w:rsidRPr="007743D7">
        <w:rPr>
          <w:sz w:val="22"/>
          <w:szCs w:val="22"/>
        </w:rPr>
        <w:t xml:space="preserve">To decouple domestic food security from international foreign exchange shocks, Egypt must pivot from reactive observations to proactive, data-driven interventions. By implementing sovereign hedging on top-value imports like Sunflower Oil and Sugar, actively pursuing Local Currency Settlements to dilute heavy sovereign risk with partners like Brazil, and realigning subsidies to target the newly volatile "miscellaneous food" categories, policymakers can construct a resilient economic shield. Ultimately, stabilizing the market requires legally indexing wages and social safety nets to the "Units Affordable" metric and recognizing food inflation as an independent threat, ensuring long-term systemic stability and protected caloric accessibility for the Egyptian population. </w:t>
      </w:r>
      <w:r w:rsidRPr="007743D7">
        <w:rPr>
          <w:b/>
          <w:bCs/>
          <w:sz w:val="22"/>
          <w:szCs w:val="22"/>
        </w:rPr>
        <w:t>The data proves that raising nominal wages without curbing imported inflation creates nothing more than a fiscal illusion. You cannot solve a foreign-exchange-driven food crisis with local currency wage hikes</w:t>
      </w:r>
      <w:r w:rsidRPr="007743D7">
        <w:rPr>
          <w:sz w:val="22"/>
          <w:szCs w:val="22"/>
        </w:rPr>
        <w:t>.</w:t>
      </w:r>
    </w:p>
    <w:sectPr w:rsidR="007A1CFD">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D6ACF" w14:textId="77777777" w:rsidR="00244EA0" w:rsidRDefault="00244EA0">
      <w:r>
        <w:separator/>
      </w:r>
    </w:p>
  </w:endnote>
  <w:endnote w:type="continuationSeparator" w:id="0">
    <w:p w14:paraId="57B19FF3" w14:textId="77777777" w:rsidR="00244EA0" w:rsidRDefault="00244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FC42" w14:textId="77777777" w:rsidR="007A1CFD" w:rsidRDefault="00887338">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B2F6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D284D" w14:textId="77777777" w:rsidR="00244EA0" w:rsidRDefault="00244EA0">
      <w:r>
        <w:separator/>
      </w:r>
    </w:p>
  </w:footnote>
  <w:footnote w:type="continuationSeparator" w:id="0">
    <w:p w14:paraId="38C036D2" w14:textId="77777777" w:rsidR="00244EA0" w:rsidRDefault="00244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A628" w14:textId="77777777" w:rsidR="007A1CFD" w:rsidRDefault="00887338">
    <w:pPr>
      <w:jc w:val="right"/>
    </w:pPr>
    <w:r>
      <w:rPr>
        <w:i/>
        <w:iCs/>
        <w:color w:val="595959"/>
        <w:sz w:val="16"/>
        <w:szCs w:val="16"/>
      </w:rPr>
      <w:t>Egypt Food Security &amp; Macro Shock Analysis 2020–2024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64AB"/>
    <w:multiLevelType w:val="hybridMultilevel"/>
    <w:tmpl w:val="5C64F3A8"/>
    <w:lvl w:ilvl="0" w:tplc="2DC2DC90">
      <w:start w:val="1"/>
      <w:numFmt w:val="bullet"/>
      <w:lvlText w:val="•"/>
      <w:lvlJc w:val="left"/>
      <w:pPr>
        <w:ind w:left="504" w:hanging="288"/>
      </w:pPr>
    </w:lvl>
    <w:lvl w:ilvl="1" w:tplc="1D6630EE">
      <w:start w:val="1"/>
      <w:numFmt w:val="bullet"/>
      <w:lvlText w:val="◦"/>
      <w:lvlJc w:val="left"/>
      <w:pPr>
        <w:ind w:left="1008" w:hanging="288"/>
      </w:pPr>
    </w:lvl>
    <w:lvl w:ilvl="2" w:tplc="8A2A0ABC">
      <w:numFmt w:val="decimal"/>
      <w:lvlText w:val=""/>
      <w:lvlJc w:val="left"/>
    </w:lvl>
    <w:lvl w:ilvl="3" w:tplc="0FD259D6">
      <w:numFmt w:val="decimal"/>
      <w:lvlText w:val=""/>
      <w:lvlJc w:val="left"/>
    </w:lvl>
    <w:lvl w:ilvl="4" w:tplc="01905024">
      <w:numFmt w:val="decimal"/>
      <w:lvlText w:val=""/>
      <w:lvlJc w:val="left"/>
    </w:lvl>
    <w:lvl w:ilvl="5" w:tplc="0E24FFA8">
      <w:numFmt w:val="decimal"/>
      <w:lvlText w:val=""/>
      <w:lvlJc w:val="left"/>
    </w:lvl>
    <w:lvl w:ilvl="6" w:tplc="7FB47E08">
      <w:numFmt w:val="decimal"/>
      <w:lvlText w:val=""/>
      <w:lvlJc w:val="left"/>
    </w:lvl>
    <w:lvl w:ilvl="7" w:tplc="84006206">
      <w:numFmt w:val="decimal"/>
      <w:lvlText w:val=""/>
      <w:lvlJc w:val="left"/>
    </w:lvl>
    <w:lvl w:ilvl="8" w:tplc="F98AB366">
      <w:numFmt w:val="decimal"/>
      <w:lvlText w:val=""/>
      <w:lvlJc w:val="left"/>
    </w:lvl>
  </w:abstractNum>
  <w:abstractNum w:abstractNumId="1" w15:restartNumberingAfterBreak="0">
    <w:nsid w:val="227F1965"/>
    <w:multiLevelType w:val="hybridMultilevel"/>
    <w:tmpl w:val="05A00BD2"/>
    <w:lvl w:ilvl="0" w:tplc="DF123BDA">
      <w:start w:val="1"/>
      <w:numFmt w:val="bullet"/>
      <w:lvlText w:val="●"/>
      <w:lvlJc w:val="left"/>
      <w:pPr>
        <w:ind w:left="720" w:hanging="360"/>
      </w:pPr>
    </w:lvl>
    <w:lvl w:ilvl="1" w:tplc="96CCA608">
      <w:start w:val="1"/>
      <w:numFmt w:val="bullet"/>
      <w:lvlText w:val="○"/>
      <w:lvlJc w:val="left"/>
      <w:pPr>
        <w:ind w:left="1440" w:hanging="360"/>
      </w:pPr>
    </w:lvl>
    <w:lvl w:ilvl="2" w:tplc="F656D5C0">
      <w:start w:val="1"/>
      <w:numFmt w:val="bullet"/>
      <w:lvlText w:val="■"/>
      <w:lvlJc w:val="left"/>
      <w:pPr>
        <w:ind w:left="2160" w:hanging="360"/>
      </w:pPr>
    </w:lvl>
    <w:lvl w:ilvl="3" w:tplc="AF04AC66">
      <w:start w:val="1"/>
      <w:numFmt w:val="bullet"/>
      <w:lvlText w:val="●"/>
      <w:lvlJc w:val="left"/>
      <w:pPr>
        <w:ind w:left="2880" w:hanging="360"/>
      </w:pPr>
    </w:lvl>
    <w:lvl w:ilvl="4" w:tplc="7A70A862">
      <w:start w:val="1"/>
      <w:numFmt w:val="bullet"/>
      <w:lvlText w:val="○"/>
      <w:lvlJc w:val="left"/>
      <w:pPr>
        <w:ind w:left="3600" w:hanging="360"/>
      </w:pPr>
    </w:lvl>
    <w:lvl w:ilvl="5" w:tplc="2F0AF1AA">
      <w:start w:val="1"/>
      <w:numFmt w:val="bullet"/>
      <w:lvlText w:val="■"/>
      <w:lvlJc w:val="left"/>
      <w:pPr>
        <w:ind w:left="4320" w:hanging="360"/>
      </w:pPr>
    </w:lvl>
    <w:lvl w:ilvl="6" w:tplc="8ECE0D22">
      <w:start w:val="1"/>
      <w:numFmt w:val="bullet"/>
      <w:lvlText w:val="●"/>
      <w:lvlJc w:val="left"/>
      <w:pPr>
        <w:ind w:left="5040" w:hanging="360"/>
      </w:pPr>
    </w:lvl>
    <w:lvl w:ilvl="7" w:tplc="0C687202">
      <w:start w:val="1"/>
      <w:numFmt w:val="bullet"/>
      <w:lvlText w:val="●"/>
      <w:lvlJc w:val="left"/>
      <w:pPr>
        <w:ind w:left="5760" w:hanging="360"/>
      </w:pPr>
    </w:lvl>
    <w:lvl w:ilvl="8" w:tplc="2962DE6A">
      <w:start w:val="1"/>
      <w:numFmt w:val="bullet"/>
      <w:lvlText w:val="●"/>
      <w:lvlJc w:val="left"/>
      <w:pPr>
        <w:ind w:left="6480" w:hanging="360"/>
      </w:pPr>
    </w:lvl>
  </w:abstractNum>
  <w:abstractNum w:abstractNumId="2" w15:restartNumberingAfterBreak="0">
    <w:nsid w:val="2B6E5D18"/>
    <w:multiLevelType w:val="multilevel"/>
    <w:tmpl w:val="7A14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B02D8"/>
    <w:multiLevelType w:val="multilevel"/>
    <w:tmpl w:val="7BC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C3514"/>
    <w:multiLevelType w:val="multilevel"/>
    <w:tmpl w:val="153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85140"/>
    <w:multiLevelType w:val="multilevel"/>
    <w:tmpl w:val="8D4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D7105"/>
    <w:multiLevelType w:val="multilevel"/>
    <w:tmpl w:val="206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F1948"/>
    <w:multiLevelType w:val="multilevel"/>
    <w:tmpl w:val="37B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F1566"/>
    <w:multiLevelType w:val="multilevel"/>
    <w:tmpl w:val="4668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8042F"/>
    <w:multiLevelType w:val="multilevel"/>
    <w:tmpl w:val="7F2C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D189D"/>
    <w:multiLevelType w:val="multilevel"/>
    <w:tmpl w:val="F668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649D1"/>
    <w:multiLevelType w:val="multilevel"/>
    <w:tmpl w:val="4AB6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714055">
    <w:abstractNumId w:val="1"/>
    <w:lvlOverride w:ilvl="0">
      <w:startOverride w:val="1"/>
    </w:lvlOverride>
  </w:num>
  <w:num w:numId="2" w16cid:durableId="1925065604">
    <w:abstractNumId w:val="0"/>
    <w:lvlOverride w:ilvl="0">
      <w:startOverride w:val="1"/>
    </w:lvlOverride>
  </w:num>
  <w:num w:numId="3" w16cid:durableId="1287810408">
    <w:abstractNumId w:val="7"/>
  </w:num>
  <w:num w:numId="4" w16cid:durableId="164250883">
    <w:abstractNumId w:val="2"/>
  </w:num>
  <w:num w:numId="5" w16cid:durableId="981036091">
    <w:abstractNumId w:val="6"/>
  </w:num>
  <w:num w:numId="6" w16cid:durableId="395667583">
    <w:abstractNumId w:val="8"/>
  </w:num>
  <w:num w:numId="7" w16cid:durableId="1922910701">
    <w:abstractNumId w:val="10"/>
  </w:num>
  <w:num w:numId="8" w16cid:durableId="1711225160">
    <w:abstractNumId w:val="4"/>
  </w:num>
  <w:num w:numId="9" w16cid:durableId="505562175">
    <w:abstractNumId w:val="5"/>
  </w:num>
  <w:num w:numId="10" w16cid:durableId="1334644564">
    <w:abstractNumId w:val="9"/>
  </w:num>
  <w:num w:numId="11" w16cid:durableId="33389716">
    <w:abstractNumId w:val="3"/>
  </w:num>
  <w:num w:numId="12" w16cid:durableId="847212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CFD"/>
    <w:rsid w:val="0003758C"/>
    <w:rsid w:val="000A104C"/>
    <w:rsid w:val="0013052B"/>
    <w:rsid w:val="00132BE8"/>
    <w:rsid w:val="001615AA"/>
    <w:rsid w:val="00244EA0"/>
    <w:rsid w:val="002F7333"/>
    <w:rsid w:val="003366D1"/>
    <w:rsid w:val="00361AA3"/>
    <w:rsid w:val="003D60B3"/>
    <w:rsid w:val="003E30D0"/>
    <w:rsid w:val="004A5347"/>
    <w:rsid w:val="005338A4"/>
    <w:rsid w:val="005401C0"/>
    <w:rsid w:val="00546B3C"/>
    <w:rsid w:val="00562676"/>
    <w:rsid w:val="00577129"/>
    <w:rsid w:val="005943A7"/>
    <w:rsid w:val="00636C84"/>
    <w:rsid w:val="006528AB"/>
    <w:rsid w:val="007743D7"/>
    <w:rsid w:val="007A1CFD"/>
    <w:rsid w:val="00805885"/>
    <w:rsid w:val="0084075D"/>
    <w:rsid w:val="00843BBC"/>
    <w:rsid w:val="00887338"/>
    <w:rsid w:val="008C1F2C"/>
    <w:rsid w:val="008D7300"/>
    <w:rsid w:val="008E54A2"/>
    <w:rsid w:val="009501A5"/>
    <w:rsid w:val="00955ECD"/>
    <w:rsid w:val="009B13BA"/>
    <w:rsid w:val="009C6B3A"/>
    <w:rsid w:val="00B16933"/>
    <w:rsid w:val="00BB2F6D"/>
    <w:rsid w:val="00C437D2"/>
    <w:rsid w:val="00D356AB"/>
    <w:rsid w:val="00DA20D6"/>
    <w:rsid w:val="00EA6644"/>
    <w:rsid w:val="00ED1B1C"/>
    <w:rsid w:val="00F12F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2B76E"/>
  <w15:docId w15:val="{5EE87542-1CB7-4342-9372-F27527EA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B2F6D"/>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BB2F6D"/>
    <w:pPr>
      <w:spacing w:after="100"/>
    </w:pPr>
  </w:style>
  <w:style w:type="paragraph" w:styleId="TOC3">
    <w:name w:val="toc 3"/>
    <w:basedOn w:val="Normal"/>
    <w:next w:val="Normal"/>
    <w:autoRedefine/>
    <w:uiPriority w:val="39"/>
    <w:unhideWhenUsed/>
    <w:rsid w:val="00BB2F6D"/>
    <w:pPr>
      <w:spacing w:after="100"/>
      <w:ind w:left="400"/>
    </w:pPr>
  </w:style>
  <w:style w:type="paragraph" w:styleId="TOC2">
    <w:name w:val="toc 2"/>
    <w:basedOn w:val="Normal"/>
    <w:next w:val="Normal"/>
    <w:autoRedefine/>
    <w:uiPriority w:val="39"/>
    <w:unhideWhenUsed/>
    <w:rsid w:val="00BB2F6D"/>
    <w:pPr>
      <w:spacing w:after="100"/>
      <w:ind w:left="200"/>
    </w:pPr>
  </w:style>
  <w:style w:type="paragraph" w:styleId="Header">
    <w:name w:val="header"/>
    <w:basedOn w:val="Normal"/>
    <w:link w:val="HeaderChar"/>
    <w:uiPriority w:val="99"/>
    <w:unhideWhenUsed/>
    <w:rsid w:val="008C1F2C"/>
    <w:pPr>
      <w:tabs>
        <w:tab w:val="center" w:pos="4680"/>
        <w:tab w:val="right" w:pos="9360"/>
      </w:tabs>
    </w:pPr>
  </w:style>
  <w:style w:type="character" w:customStyle="1" w:styleId="HeaderChar">
    <w:name w:val="Header Char"/>
    <w:basedOn w:val="DefaultParagraphFont"/>
    <w:link w:val="Header"/>
    <w:uiPriority w:val="99"/>
    <w:rsid w:val="008C1F2C"/>
  </w:style>
  <w:style w:type="paragraph" w:styleId="Footer">
    <w:name w:val="footer"/>
    <w:basedOn w:val="Normal"/>
    <w:link w:val="FooterChar"/>
    <w:uiPriority w:val="99"/>
    <w:unhideWhenUsed/>
    <w:rsid w:val="008C1F2C"/>
    <w:pPr>
      <w:tabs>
        <w:tab w:val="center" w:pos="4680"/>
        <w:tab w:val="right" w:pos="9360"/>
      </w:tabs>
    </w:pPr>
  </w:style>
  <w:style w:type="character" w:customStyle="1" w:styleId="FooterChar">
    <w:name w:val="Footer Char"/>
    <w:basedOn w:val="DefaultParagraphFont"/>
    <w:link w:val="Footer"/>
    <w:uiPriority w:val="99"/>
    <w:rsid w:val="008C1F2C"/>
  </w:style>
  <w:style w:type="character" w:styleId="UnresolvedMention">
    <w:name w:val="Unresolved Mention"/>
    <w:basedOn w:val="DefaultParagraphFont"/>
    <w:uiPriority w:val="99"/>
    <w:semiHidden/>
    <w:unhideWhenUsed/>
    <w:rsid w:val="00805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E4862-5721-41BA-B81F-7BA40E4FA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23</Pages>
  <Words>6795</Words>
  <Characters>38738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 Fetoh Abdolkader Eata</cp:lastModifiedBy>
  <cp:revision>12</cp:revision>
  <dcterms:created xsi:type="dcterms:W3CDTF">2026-07-04T12:26:00Z</dcterms:created>
  <dcterms:modified xsi:type="dcterms:W3CDTF">2026-07-09T11:14:00Z</dcterms:modified>
</cp:coreProperties>
</file>