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Data Cleaning &amp; Visualization Project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Intern Submission — Due 14 Aug 2026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Work on a raw dataset to clean, process, and visualize insights. The goals were to handle missing values, outliers, and duplicates; use Python libraries (Pandas, Matplotlib, Seaborn) for processing and visualization; and produce a dashboard summarizing key findings.</w:t>
      </w:r>
    </w:p>
    <w:p>
      <w:pPr>
        <w:pStyle w:val="Heading1"/>
        <w:spacing w:after="150" w:before="300"/>
      </w:pPr>
      <w:r>
        <w:t xml:space="preserve">2. Dataset</w:t>
      </w:r>
    </w:p>
    <w:p>
      <w:pPr>
        <w:spacing w:after="150"/>
      </w:pPr>
      <w:r>
        <w:t xml:space="preserve">A retail sales dataset with 1,225 raw records was used, containing the kinds of data-quality issues typically found in real exports: missing values, duplicate rows, inconsistent text formatting, mixed date formats, and price/quantity outliers.</w:t>
      </w:r>
    </w:p>
    <w:p>
      <w:pPr>
        <w:pStyle w:val="Heading1"/>
        <w:spacing w:after="150" w:before="300"/>
      </w:pPr>
      <w:r>
        <w:t xml:space="preserve">3. Data Cleaning Steps</w:t>
      </w:r>
    </w:p>
    <w:p>
      <w:pPr>
        <w:pStyle w:val="Heading2"/>
        <w:spacing w:after="120" w:before="250"/>
      </w:pPr>
      <w:r>
        <w:t xml:space="preserve">3.1 Standardizing text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values arrived with inconsistent casing and spacing (e.g. "electronics", "ELECTRONICS ", "Home and Kitchen") and were normalized to a single consistent form.</w:t>
      </w:r>
    </w:p>
    <w:p>
      <w:pPr>
        <w:pStyle w:val="Heading2"/>
        <w:spacing w:after="120" w:before="250"/>
      </w:pPr>
      <w:r>
        <w:t xml:space="preserve">3.2 Parsing 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dates were exported in three different formats (YYYY-MM-DD, DD/MM/YYYY, MM-DD-YYYY) and were parsed into a single consistent datetime column.</w:t>
      </w:r>
    </w:p>
    <w:p>
      <w:pPr>
        <w:pStyle w:val="Heading2"/>
        <w:spacing w:after="120" w:before="250"/>
      </w:pPr>
      <w:r>
        <w:t xml:space="preserve">3.3 Removing duplicates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25 exact duplicate order records were identified and removed.</w:t>
      </w:r>
    </w:p>
    <w:p>
      <w:pPr>
        <w:pStyle w:val="Heading2"/>
        <w:spacing w:after="120" w:before="250"/>
      </w:pPr>
      <w:r>
        <w:t xml:space="preserve">3.4 Handling missing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 and Payment Method (categorical): filled with "Unknown" / the most frequent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Rating (numeric, roughly symmetric): filled with the column median.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 Price (numeric, varies strongly by category): filled with the median price within each product category, not the overall median.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204 missing values were imputed in total across four columns.</w:t>
      </w:r>
    </w:p>
    <w:p>
      <w:pPr>
        <w:pStyle w:val="Heading2"/>
        <w:spacing w:after="120" w:before="250"/>
      </w:pPr>
      <w:r>
        <w:t xml:space="preserve">3.5 Handling outliers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Outliers were detected using the IQR (interquartile range) method and capped rather than dropped, to avoid losing otherwise-valid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 Price outliers were capped per category (not globally), since Electronics and Books have very different natural price ranges — a global threshold would have wrongly flagged normal high-value Electronics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Quantity outliers (a handful of orders with 50+ units, likely data-entry errors) were capped to a realistic range.</w:t>
      </w:r>
    </w:p>
    <w:p>
      <w:pPr>
        <w:pStyle w:val="Heading1"/>
        <w:spacing w:after="150" w:before="300"/>
      </w:pPr>
      <w:r>
        <w:t xml:space="preserve">4. Key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</w:tcPr>
          <w:p>
            <w:r>
              <w:t xml:space="preserve">Value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b/>
                <w:bCs/>
              </w:rPr>
              <w:t xml:space="preserve">Total orders (cleaned)</w:t>
            </w:r>
          </w:p>
        </w:tc>
        <w:tc>
          <w:tcPr>
            <w:tcW w:type="dxa" w:w="4500"/>
          </w:tcPr>
          <w:p>
            <w:r>
              <w:t xml:space="preserve">1200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b/>
                <w:bCs/>
              </w:rPr>
              <w:t xml:space="preserve">Total revenue</w:t>
            </w:r>
          </w:p>
        </w:tc>
        <w:tc>
          <w:tcPr>
            <w:tcW w:type="dxa" w:w="4500"/>
          </w:tcPr>
          <w:p>
            <w:r>
              <w:t xml:space="preserve">₹1,13,85,128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b/>
                <w:bCs/>
              </w:rPr>
              <w:t xml:space="preserve">Average order value</w:t>
            </w:r>
          </w:p>
        </w:tc>
        <w:tc>
          <w:tcPr>
            <w:tcW w:type="dxa" w:w="4500"/>
          </w:tcPr>
          <w:p>
            <w:r>
              <w:t xml:space="preserve">₹9,488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b/>
                <w:bCs/>
              </w:rPr>
              <w:t xml:space="preserve">Top category by revenue</w:t>
            </w:r>
          </w:p>
        </w:tc>
        <w:tc>
          <w:tcPr>
            <w:tcW w:type="dxa" w:w="4500"/>
          </w:tcPr>
          <w:p>
            <w:r>
              <w:t xml:space="preserve">Electronics (₹73,53,501)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b/>
                <w:bCs/>
              </w:rPr>
              <w:t xml:space="preserve">Top region by order volume</w:t>
            </w:r>
          </w:p>
        </w:tc>
        <w:tc>
          <w:tcPr>
            <w:tcW w:type="dxa" w:w="4500"/>
          </w:tcPr>
          <w:p>
            <w:r>
              <w:t xml:space="preserve">North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b/>
                <w:bCs/>
              </w:rPr>
              <w:t xml:space="preserve">Most common payment method</w:t>
            </w:r>
          </w:p>
        </w:tc>
        <w:tc>
          <w:tcPr>
            <w:tcW w:type="dxa" w:w="4500"/>
          </w:tcPr>
          <w:p>
            <w:r>
              <w:t xml:space="preserve">Cash on Delivery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b/>
                <w:bCs/>
              </w:rPr>
              <w:t xml:space="preserve">Average customer rating</w:t>
            </w:r>
          </w:p>
        </w:tc>
        <w:tc>
          <w:tcPr>
            <w:tcW w:type="dxa" w:w="4500"/>
          </w:tcPr>
          <w:p>
            <w:r>
              <w:t xml:space="preserve">3.97 / 5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Electronics drives the largest share of revenue by a wide margin, despite not having the most orders — its higher price point outweighs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North and South regions each account for roughly a quarter of orders; the small remaining slice reflects originally-missing region data now labeled "Unknown".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Cash on Delivery and Credit Card are the two most common payment methods, followed closely by UPI, Debit Card, and Net Banking.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 prices are right-skewed with a secondary cluster around ₹8,000–10,000, mostly from Electronics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Median customer ratings sit around 4.0 across all categories, with Beauty and Books showing a slightly wider spread of low outlier ratings.</w:t>
      </w:r>
    </w:p>
    <w:p>
      <w:pPr>
        <w:pStyle w:val="Heading1"/>
        <w:spacing w:after="150" w:before="300"/>
      </w:pPr>
      <w:r>
        <w:t xml:space="preserve">5. Visualization Dashboard</w:t>
      </w:r>
    </w:p>
    <w:p>
      <w:pPr>
        <w:spacing w:after="150"/>
      </w:pPr>
      <w:r>
        <w:t xml:space="preserve">The dashboard below summarizes six views of the cleaned dataset: monthly revenue trend, revenue by category, order share by region, unit price distribution, orders by payment method, and customer rating by category.</w:t>
      </w:r>
    </w:p>
    <w:p>
      <w:pPr>
        <w:jc w:val="center"/>
      </w:pPr>
      <w:r>
        <w:drawing>
          <wp:inline distT="0" distB="0" distL="0" distR="0">
            <wp:extent cx="59055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Tools &amp;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(Pandas, NumPy, Matplotlib, Seaborn)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Data_Cleaning_Visualization_Project.ipynb — full, executed notebook with code, commentary, and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raw_sales_data.csv — original raw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cleaned_sales_data.csv — cleaned, analysis-ready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dashboard.png — final visualization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cleaning_log.txt — step-by-step log of every cleaning operation performed</w:t>
      </w:r>
    </w:p>
    <w:p>
      <w:pPr>
        <w:pStyle w:val="Heading1"/>
        <w:spacing w:after="150" w:before="300"/>
      </w:pPr>
      <w:r>
        <w:t xml:space="preserve">7. Learning Outcome</w:t>
      </w:r>
    </w:p>
    <w:p>
      <w:pPr>
        <w:spacing w:after="150"/>
      </w:pPr>
      <w:r>
        <w:t xml:space="preserve">This project reinforced a practical, end-to-end data preprocessing and visualization workflow: diagnosing data-quality issues, choosing appropriate (and category-aware) cleaning strategies rather than one-size-fits-all rules, and communicating findings clearly through a visual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d5203c3a850bccec5893231e8c3369c63e12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2026-08-11T15:05:56.304Z</dcterms:created>
  <dcterms:modified xsi:type="dcterms:W3CDTF">2026-08-11T15:05:56.304Z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