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750d0e42aec2ccac93b5eb0190ea2aa3b8da079"/>
    <w:p>
      <w:pPr>
        <w:pStyle w:val="Heading1"/>
      </w:pPr>
      <w:r>
        <w:t xml:space="preserve">I Built a Data Engine That Turns Women’s Empowerment Into Something You Can Query</w:t>
      </w:r>
    </w:p>
    <w:p>
      <w:pPr>
        <w:pStyle w:val="FirstParagraph"/>
      </w:pPr>
      <w:r>
        <w:rPr>
          <w:iCs/>
          <w:i/>
        </w:rPr>
        <w:t xml:space="preserve">What if the world’s progress on gender equality wasn’t just a moral argument — but a number you could look up, track, and hold accountable?</w:t>
      </w:r>
    </w:p>
    <w:p>
      <w:r>
        <w:pict>
          <v:rect style="width:0;height:1.5pt" o:hralign="center" o:hrstd="t" o:hr="t"/>
        </w:pict>
      </w:r>
    </w:p>
    <w:p>
      <w:pPr>
        <w:pStyle w:val="FirstParagraph"/>
      </w:pPr>
      <w:r>
        <w:t xml:space="preserve">For years, the conversation about women’s rights has lived in two separate worlds. In one, there are powerful stories — a girl kept in school, a widow who started a business, a law that finally criminalised marital rape. In the other, there are dense academic indices that researchers cite and almost no one else ever sees.</w:t>
      </w:r>
    </w:p>
    <w:p>
      <w:pPr>
        <w:pStyle w:val="BodyText"/>
      </w:pPr>
      <w:r>
        <w:t xml:space="preserve">I wanted to build the bridge between them. Something that takes the real, measurable state of women’s lives and makes it as easy to look up as a stock price.</w:t>
      </w:r>
    </w:p>
    <w:p>
      <w:pPr>
        <w:pStyle w:val="BodyText"/>
      </w:pPr>
      <w:r>
        <w:t xml:space="preserve">So I built a data engine. Here’s what it is, and how it works.</w:t>
      </w:r>
    </w:p>
    <w:bookmarkStart w:id="20" w:name="X3a6e96af3a7e1751d74efe50eb3a13cbf3599e3"/>
    <w:p>
      <w:pPr>
        <w:pStyle w:val="Heading2"/>
      </w:pPr>
      <w:r>
        <w:t xml:space="preserve">The idea: make women’s progress measurable, auditable, and queryable</w:t>
      </w:r>
    </w:p>
    <w:p>
      <w:pPr>
        <w:pStyle w:val="FirstParagraph"/>
      </w:pPr>
      <w:r>
        <w:t xml:space="preserve">At the centre is the</w:t>
      </w:r>
      <w:r>
        <w:t xml:space="preserve"> </w:t>
      </w:r>
      <w:r>
        <w:rPr>
          <w:bCs/>
          <w:b/>
        </w:rPr>
        <w:t xml:space="preserve">Women’s Empowerment Index (WEI)</w:t>
      </w:r>
      <w:r>
        <w:t xml:space="preserve"> </w:t>
      </w:r>
      <w:r>
        <w:t xml:space="preserve">— a single 0–100 score for 105 countries, built from eight pillars: empowerment, education, economic inclusion, health, bodily autonomy, safety and justice, dignity and welfare, and digital and social participation. Violence against women isn’t just another category — it’s a penalty that subtracts from the total, because no amount of economic growth should let a country</w:t>
      </w:r>
      <w:r>
        <w:t xml:space="preserve"> </w:t>
      </w:r>
      <w:r>
        <w:t xml:space="preserve">“</w:t>
      </w:r>
      <w:r>
        <w:t xml:space="preserve">buy back</w:t>
      </w:r>
      <w:r>
        <w:t xml:space="preserve">”</w:t>
      </w:r>
      <w:r>
        <w:t xml:space="preserve"> </w:t>
      </w:r>
      <w:r>
        <w:t xml:space="preserve">a score it lost to femicide.</w:t>
      </w:r>
    </w:p>
    <w:p>
      <w:pPr>
        <w:pStyle w:val="BodyText"/>
      </w:pPr>
      <w:r>
        <w:t xml:space="preserve">Around the WEI I built seven more indexes, each measuring something the headline number misses: gender poverty (including</w:t>
      </w:r>
      <w:r>
        <w:t xml:space="preserve"> </w:t>
      </w:r>
      <w:r>
        <w:rPr>
          <w:iCs/>
          <w:i/>
        </w:rPr>
        <w:t xml:space="preserve">time</w:t>
      </w:r>
      <w:r>
        <w:t xml:space="preserve"> </w:t>
      </w:r>
      <w:r>
        <w:t xml:space="preserve">poverty — the unpaid care work women do that no one counts), sexual violence measured by health surveys rather than under-reported police statistics, women’s exposure to AI and automation, the invisible crisis of widows and elderly women, women’s health blind spots like anaemia and mental health, women’s voice in media and civil society, and a corporate compliance score for companies deciding where to source.</w:t>
      </w:r>
    </w:p>
    <w:bookmarkEnd w:id="20"/>
    <w:bookmarkStart w:id="21" w:name="X0a8cc7985f9ed84d923c161c1ae1293e48fbac9"/>
    <w:p>
      <w:pPr>
        <w:pStyle w:val="Heading2"/>
      </w:pPr>
      <w:r>
        <w:t xml:space="preserve">The part I’m proudest of: it’s honest about what it doesn’t know</w:t>
      </w:r>
    </w:p>
    <w:p>
      <w:pPr>
        <w:pStyle w:val="FirstParagraph"/>
      </w:pPr>
      <w:r>
        <w:t xml:space="preserve">It would have been easy to present every number as gospel. I didn’t. Two of the newer indexes — health and voice — currently ship as transparent</w:t>
      </w:r>
      <w:r>
        <w:t xml:space="preserve"> </w:t>
      </w:r>
      <w:r>
        <w:rPr>
          <w:iCs/>
          <w:i/>
        </w:rPr>
        <w:t xml:space="preserve">modeled estimates</w:t>
      </w:r>
      <w:r>
        <w:t xml:space="preserve">, and every single record carries a flag saying so. When verified data exists, it’s used; when it’s an estimate, it says</w:t>
      </w:r>
      <w:r>
        <w:t xml:space="preserve"> </w:t>
      </w:r>
      <w:r>
        <w:t xml:space="preserve">“</w:t>
      </w:r>
      <w:r>
        <w:t xml:space="preserve">estimate.</w:t>
      </w:r>
      <w:r>
        <w:t xml:space="preserve">”</w:t>
      </w:r>
      <w:r>
        <w:t xml:space="preserve"> </w:t>
      </w:r>
      <w:r>
        <w:t xml:space="preserve">That honesty isn’t a weakness to hide. For anyone who might one day fund or rely on this, it’s the whole point. You can audit every number. You can challenge any score. The methodology is open.</w:t>
      </w:r>
    </w:p>
    <w:bookmarkEnd w:id="21"/>
    <w:bookmarkStart w:id="22" w:name="how-it-actually-works-the-technical-bit"/>
    <w:p>
      <w:pPr>
        <w:pStyle w:val="Heading2"/>
      </w:pPr>
      <w:r>
        <w:t xml:space="preserve">How it actually works (the technical bit)</w:t>
      </w:r>
    </w:p>
    <w:p>
      <w:pPr>
        <w:pStyle w:val="FirstParagraph"/>
      </w:pPr>
      <w:r>
        <w:t xml:space="preserve">The architecture follows one rule:</w:t>
      </w:r>
      <w:r>
        <w:t xml:space="preserve"> </w:t>
      </w:r>
      <w:r>
        <w:rPr>
          <w:bCs/>
          <w:b/>
        </w:rPr>
        <w:t xml:space="preserve">the data is the source of truth, and everything else just reads it.</w:t>
      </w:r>
    </w:p>
    <w:p>
      <w:pPr>
        <w:pStyle w:val="BodyText"/>
      </w:pPr>
      <w:r>
        <w:t xml:space="preserve">Every index is generated by code and committed to GitHub as plain, auditable CSV files. Anyone can replicate or dispute them. Those files flow into a database, which is read by a public API. A website — the next thing I’m building — will read only that API. Each layer is cleanly separated, so I can rebuild any one of them without touching the others.</w:t>
      </w:r>
    </w:p>
    <w:p>
      <w:pPr>
        <w:pStyle w:val="BodyText"/>
      </w:pPr>
      <w:r>
        <w:t xml:space="preserve">Then there’s the part that makes it feel alive: a</w:t>
      </w:r>
      <w:r>
        <w:t xml:space="preserve"> </w:t>
      </w:r>
      <w:r>
        <w:rPr>
          <w:bCs/>
          <w:b/>
        </w:rPr>
        <w:t xml:space="preserve">weekly news agent</w:t>
      </w:r>
      <w:r>
        <w:t xml:space="preserve">. Every Sunday it scans 139+ news sources across 15 languages, uses a small AI model to classify each story — is this good or bad for women, how severe, how confident, which country — and nudges the news-sensitive scores accordingly. A crackdown on women journalists this week moves the Voice score down. A new digital-rights law moves it up. The movements are capped, so no single week can swing a score wildly, and the slow-moving structural data (you can’t change a country’s anaemia rate in a week) deliberately</w:t>
      </w:r>
      <w:r>
        <w:t xml:space="preserve"> </w:t>
      </w:r>
      <w:r>
        <w:rPr>
          <w:iCs/>
          <w:i/>
        </w:rPr>
        <w:t xml:space="preserve">stays</w:t>
      </w:r>
      <w:r>
        <w:t xml:space="preserve"> </w:t>
      </w:r>
      <w:r>
        <w:t xml:space="preserve">slow. Fast data looks fast. Slow data looks slow. That restraint is what makes it trustworthy.</w:t>
      </w:r>
    </w:p>
    <w:p>
      <w:pPr>
        <w:pStyle w:val="BodyText"/>
      </w:pPr>
      <w:r>
        <w:t xml:space="preserve">And it runs itself. The whole engine is automated — monthly data refreshes, weekly news updates, automatic deployment. I can step away from it and it keeps working.</w:t>
      </w:r>
    </w:p>
    <w:bookmarkEnd w:id="22"/>
    <w:bookmarkStart w:id="23" w:name="why-i-built-it-this-way"/>
    <w:p>
      <w:pPr>
        <w:pStyle w:val="Heading2"/>
      </w:pPr>
      <w:r>
        <w:t xml:space="preserve">Why I built it this way</w:t>
      </w:r>
    </w:p>
    <w:p>
      <w:pPr>
        <w:pStyle w:val="FirstParagraph"/>
      </w:pPr>
      <w:r>
        <w:t xml:space="preserve">Because accountability needs a number.</w:t>
      </w:r>
      <w:r>
        <w:t xml:space="preserve"> </w:t>
      </w:r>
      <w:r>
        <w:t xml:space="preserve">“</w:t>
      </w:r>
      <w:r>
        <w:t xml:space="preserve">Things are getting better for women</w:t>
      </w:r>
      <w:r>
        <w:t xml:space="preserve">”</w:t>
      </w:r>
      <w:r>
        <w:t xml:space="preserve"> </w:t>
      </w:r>
      <w:r>
        <w:t xml:space="preserve">is a sentence anyone can ignore.</w:t>
      </w:r>
      <w:r>
        <w:t xml:space="preserve"> </w:t>
      </w:r>
      <w:r>
        <w:t xml:space="preserve">“</w:t>
      </w:r>
      <w:r>
        <w:t xml:space="preserve">This country’s score dropped 3 points after that law passed</w:t>
      </w:r>
      <w:r>
        <w:t xml:space="preserve">”</w:t>
      </w:r>
      <w:r>
        <w:t xml:space="preserve"> </w:t>
      </w:r>
      <w:r>
        <w:t xml:space="preserve">is harder to argue with. Putting women’s progress into a transparent, queryable, public form is a small attempt to make the world’s progress on gender equality not just a moral question, but a measurable one.</w:t>
      </w:r>
    </w:p>
    <w:p>
      <w:pPr>
        <w:pStyle w:val="BodyText"/>
      </w:pPr>
      <w:r>
        <w:t xml:space="preserve">The data engine is live. The numbers are flowing. Next, I’m building the place where the world can actually see them.</w:t>
      </w:r>
    </w:p>
    <w:p>
      <w:pPr>
        <w:pStyle w:val="BodyText"/>
      </w:pPr>
      <w:r>
        <w:rPr>
          <w:iCs/>
          <w:i/>
        </w:rPr>
        <w:t xml:space="preserve">If you work in gender data, impact measurement, or just believe what gets measured gets managed — I’d love to hear from you.</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2026-05-25T01:58:09Z</dcterms:created>
  <dcterms:modified xsi:type="dcterms:W3CDTF">2026-05-25T01:58:09Z</dcterms:modified>
</cp:coreProperties>
</file>

<file path=docProps/custom.xml><?xml version="1.0" encoding="utf-8"?>
<Properties xmlns="http://schemas.openxmlformats.org/officeDocument/2006/custom-properties" xmlns:vt="http://schemas.openxmlformats.org/officeDocument/2006/docPropsVTypes"/>
</file>