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VIDEO PRESENTATION SCRIPT – Task 2</w:t>
        <w:br/>
        <w:t>--------------------------------------</w:t>
        <w:br/>
        <w:br/>
        <w:t>Good morning Darren,</w:t>
        <w:br/>
        <w:br/>
        <w:t>INTRODUCTION:</w:t>
        <w:br/>
        <w:t>This is Shriya, and in today’s briefing, I’ll walk you through Green Solutions Manufacturing Ltd’s financial position and the macroeconomic and industry trends affecting their business. The purpose is to support your credit decision by combining quantitative analysis with industry research on reusable water bottles and reusable coffee cups.</w:t>
        <w:br/>
        <w:br/>
        <w:t>COMPANY OVERVIEW:</w:t>
        <w:br/>
        <w:t>Green Solutions Manufacturing Ltd operates in the sustainable consumer products segment, primarily producing reusable water bottles and reusable coffee cups. These categories are driven by environmental regulations, shifting consumer sustainability preferences, and global momentum against single-use plastics.</w:t>
        <w:br/>
        <w:br/>
        <w:t>QUANTITATIVE ANALYSIS – KEY RATIO COMMENTARY:</w:t>
        <w:br/>
        <w:t>(Replace with your Task 1 numbers)</w:t>
        <w:br/>
        <w:t xml:space="preserve">• Profitability: Assess margin direction (improving or tightening).  </w:t>
        <w:br/>
        <w:t xml:space="preserve">• Liquidity: Evaluate cash buffers and working capital comfort.  </w:t>
        <w:br/>
        <w:t xml:space="preserve">• Leverage: Note TNW strength or rising debt risk.  </w:t>
        <w:br/>
        <w:t xml:space="preserve">• Efficiency: Comment on inventory turnover or increasing stock levels.  </w:t>
        <w:br/>
        <w:br/>
        <w:t>INDUSTRY RESEARCH – KEY TRENDS:</w:t>
        <w:br/>
        <w:br/>
        <w:t>Reusable Water Bottle Market (from uploaded report):</w:t>
        <w:br/>
        <w:t xml:space="preserve">• 2024 market size: USD 8.8B  </w:t>
        <w:br/>
        <w:t xml:space="preserve">• Expected to reach USD 11.5B by 2034 (CAGR 2.8%)  </w:t>
        <w:br/>
        <w:t xml:space="preserve">• Growth drivers: anti–single-use plastic regulations, health awareness  </w:t>
        <w:br/>
        <w:t xml:space="preserve">• India region CAGR: 6.5%  </w:t>
        <w:br/>
        <w:t xml:space="preserve">• Key trend: smart bottles, demand for sustainability  </w:t>
        <w:br/>
        <w:br/>
        <w:t>Reusable Coffee Cup Market (from uploaded report):</w:t>
        <w:br/>
        <w:t xml:space="preserve">• Global CAGR: 5.8% through 2031  </w:t>
        <w:br/>
        <w:t xml:space="preserve">• Residential segment to hit USD 15B by 2031 (CAGR 6.1%)  </w:t>
        <w:br/>
        <w:t xml:space="preserve">• Europe leads demand (USD 5B in 2019 → USD 9B by 2031)  </w:t>
        <w:br/>
        <w:t xml:space="preserve">• Growth drivers: tourism, café culture, plastic waste reduction  </w:t>
        <w:br/>
        <w:br/>
        <w:t>KEY FINDINGS – IMPACT ON GREEN SOLUTIONS:</w:t>
        <w:br/>
        <w:t xml:space="preserve">1. Demand Outlook – Positive  </w:t>
        <w:br/>
        <w:t xml:space="preserve">   Strong long-term growth in both markets, stable demand visibility.</w:t>
        <w:br/>
        <w:br/>
        <w:t xml:space="preserve">2. Margin Pressure – Present  </w:t>
        <w:br/>
        <w:t xml:space="preserve">   Highly competitive industry with raw material cost pressure.</w:t>
        <w:br/>
        <w:br/>
        <w:t xml:space="preserve">3. Innovation Gap Risk  </w:t>
        <w:br/>
        <w:t xml:space="preserve">   Shift towards smart bottles and new materials; essential to stay competitive.</w:t>
        <w:br/>
        <w:br/>
        <w:t xml:space="preserve">4. Inventory Risk  </w:t>
        <w:br/>
        <w:t xml:space="preserve">   If inventory builds, it reflects forecasting or sales issues.</w:t>
        <w:br/>
        <w:br/>
        <w:t xml:space="preserve">5. Regulatory Opportunity  </w:t>
        <w:br/>
        <w:t xml:space="preserve">   Global push to eliminate single-use plastics boosts long-term demand.</w:t>
        <w:br/>
        <w:br/>
        <w:t xml:space="preserve">6. Creditworthiness Implications  </w:t>
        <w:br/>
        <w:t xml:space="preserve">   Stable demand but depends on cost control, differentiation, and liquidity discipline.</w:t>
        <w:br/>
        <w:br/>
        <w:t>CONCLUSION &amp; RECOMMENDATION:</w:t>
        <w:br/>
        <w:t>Industry outlook is strong, with clear growth opportunities. Financially, Green Solutions appears viable but should improve inventory management and outline innovation strategies. Recommendation: proceed with caution but favourable outlook if conditions are met.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