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C00000"/>
          <w:sz w:val="32"/>
        </w:rPr>
        <w:t>STRICTLY CONFIDENTIAL -- BOARD OF DIRECTORS MEMO</w:t>
      </w:r>
    </w:p>
    <w:p>
      <w:r>
        <w:rPr>
          <w:i/>
          <w:color w:val="595959"/>
        </w:rPr>
        <w:t>Subject: Project Aegis Commercial Valuation &amp; Intellectual Property Security</w:t>
      </w:r>
    </w:p>
    <w:p>
      <w:r>
        <w:t>Date: September 22, 2026 | Classification: Restricted Trade Secret</w:t>
      </w:r>
    </w:p>
    <w:p>
      <w:r>
        <w:t>The proprietary ion-propulsion drive developed under Project Aegis represents an estimated $140M in capitalized R&amp;D. Any unauthorized disclosure of CAD files, telemetry schemas, or firmware binaries constitutes an existential competitive injury to the corporation.</w:t>
      </w:r>
    </w:p>
    <w:p>
      <w:r>
        <w:rPr>
          <w:b/>
        </w:rPr>
        <w:t>Action Items: Immediately rotate all cryptographic keys in the Admin Vault and isolate unallocated USB endpoints.</w:t>
      </w:r>
    </w:p>
  </w:body>
</w:document>
</file>