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68A2E"/>
          <w:sz w:val="20"/>
          <w:szCs w:val="20"/>
        </w:rPr>
        <w:t xml:space="preserve">WEEK 4 TASK REPORT</w:t>
      </w:r>
    </w:p>
    <w:p>
      <w:pPr>
        <w:spacing w:after="100"/>
      </w:pPr>
      <w:r>
        <w:rPr>
          <w:b/>
          <w:bCs/>
          <w:color w:val="2C5F2D"/>
          <w:sz w:val="34"/>
          <w:szCs w:val="34"/>
        </w:rPr>
        <w:t xml:space="preserve">Integration of Computer Vision Solutions and Cross-functional Testing</w:t>
      </w:r>
    </w:p>
    <w:p>
      <w:pPr>
        <w:spacing w:after="300"/>
      </w:pPr>
      <w:r>
        <w:rPr>
          <w:color w:val="6B7280"/>
          <w:sz w:val="21"/>
          <w:szCs w:val="21"/>
        </w:rPr>
        <w:t xml:space="preserve">Computer Vision Internship Program — Prateek, RNS Institute of Technology</w:t>
      </w:r>
    </w:p>
    <w:p>
      <w:pPr>
        <w:pStyle w:val="Heading1"/>
        <w:spacing w:after="160" w:before="320"/>
      </w:pPr>
      <w:r>
        <w:rPr>
          <w:b/>
          <w:bCs/>
          <w:color w:val="2C5F2D"/>
          <w:sz w:val="28"/>
          <w:szCs w:val="28"/>
        </w:rPr>
        <w:t xml:space="preserve">1. Objective</w:t>
      </w:r>
    </w:p>
    <w:p>
      <w:pPr>
        <w:spacing w:after="160" w:line="300"/>
      </w:pPr>
      <w:r>
        <w:rPr>
          <w:sz w:val="22"/>
          <w:szCs w:val="22"/>
        </w:rPr>
        <w:t xml:space="preserve">This task integrates the optimized computer vision model into a small application service that other software components can call over a network, and tests that integration end to end. The results in this report come from an actual test run (integration_test_results.json).</w:t>
      </w:r>
    </w:p>
    <w:p>
      <w:pPr>
        <w:pStyle w:val="Heading1"/>
        <w:spacing w:after="160" w:before="320"/>
      </w:pPr>
      <w:r>
        <w:rPr>
          <w:b/>
          <w:bCs/>
          <w:color w:val="2C5F2D"/>
          <w:sz w:val="28"/>
          <w:szCs w:val="28"/>
        </w:rPr>
        <w:t xml:space="preserve">2. Application Context</w:t>
      </w:r>
    </w:p>
    <w:p>
      <w:pPr>
        <w:spacing w:after="160" w:line="300"/>
      </w:pPr>
      <w:r>
        <w:rPr>
          <w:sz w:val="22"/>
          <w:szCs w:val="22"/>
        </w:rPr>
        <w:t xml:space="preserve">The simulated application is an image-classification service of the kind a real-time surveillance, quality-control or augmented-reality front end would call. A client uploads an image; the service returns the predicted shape class, its confidence and the full probability distribution. The model deployed is the Week 3 int8-quantized variant, which kept 91.0% accuracy at roughly one quarter of the original weight storage.</w:t>
      </w:r>
    </w:p>
    <w:p>
      <w:pPr>
        <w:pStyle w:val="Heading1"/>
        <w:spacing w:after="160" w:before="320"/>
      </w:pPr>
      <w:r>
        <w:rPr>
          <w:b/>
          <w:bCs/>
          <w:color w:val="2C5F2D"/>
          <w:sz w:val="28"/>
          <w:szCs w:val="28"/>
        </w:rPr>
        <w:t xml:space="preserve">3. Integration Strategy</w:t>
      </w:r>
    </w:p>
    <w:p>
      <w:pPr>
        <w:pStyle w:val="Heading2"/>
        <w:spacing w:after="120" w:before="220"/>
      </w:pPr>
      <w:r>
        <w:rPr>
          <w:b/>
          <w:bCs/>
          <w:color w:val="C68A2E"/>
          <w:sz w:val="24"/>
          <w:szCs w:val="24"/>
        </w:rPr>
        <w:t xml:space="preserve">3.1 Architecture</w:t>
      </w:r>
    </w:p>
    <w:p>
      <w:pPr>
        <w:spacing w:after="160" w:before="120"/>
        <w:jc w:val="center"/>
      </w:pPr>
      <w:r>
        <w:drawing>
          <wp:inline distT="0" distB="0" distL="0" distR="0">
            <wp:extent cx="5760720" cy="16459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9"/>
          <w:szCs w:val="19"/>
        </w:rPr>
        <w:t xml:space="preserve">Figure 5. Request-response flow from client to classifier and back.</w:t>
      </w:r>
    </w:p>
    <w:p>
      <w:pPr>
        <w:pStyle w:val="Heading2"/>
        <w:spacing w:after="120" w:before="220"/>
      </w:pPr>
      <w:r>
        <w:rPr>
          <w:b/>
          <w:bCs/>
          <w:color w:val="C68A2E"/>
          <w:sz w:val="24"/>
          <w:szCs w:val="24"/>
        </w:rPr>
        <w:t xml:space="preserve">3.2 Interface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GET /health: liveness check, returns service status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POST /predict: multipart image upload; returns JSON with predicted_class, confidence and probabilities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Input validation: non-image content types and undecodable image bytes are rejected with HTTP 400 and a descriptive message</w:t>
      </w:r>
    </w:p>
    <w:p>
      <w:pPr>
        <w:pStyle w:val="Heading2"/>
        <w:spacing w:after="120" w:before="220"/>
      </w:pPr>
      <w:r>
        <w:rPr>
          <w:b/>
          <w:bCs/>
          <w:color w:val="C68A2E"/>
          <w:sz w:val="24"/>
          <w:szCs w:val="24"/>
        </w:rPr>
        <w:t xml:space="preserve">3.3 Modularity</w:t>
      </w:r>
    </w:p>
    <w:p>
      <w:pPr>
        <w:spacing w:after="160" w:line="300"/>
      </w:pPr>
      <w:r>
        <w:rPr>
          <w:sz w:val="22"/>
          <w:szCs w:val="22"/>
        </w:rPr>
        <w:t xml:space="preserve">The web layer (api.py) depends only on the model's public forward pass and the class-label list. The model, quantization and training code live in separate modules, so the model can be retrained or re-optimized without changing the API contract.</w:t>
      </w:r>
    </w:p>
    <w:p>
      <w:pPr>
        <w:pStyle w:val="Heading1"/>
        <w:spacing w:after="160" w:before="320"/>
      </w:pPr>
      <w:r>
        <w:rPr>
          <w:b/>
          <w:bCs/>
          <w:color w:val="2C5F2D"/>
          <w:sz w:val="28"/>
          <w:szCs w:val="28"/>
        </w:rPr>
        <w:t xml:space="preserve">4. Test Plan</w:t>
      </w:r>
    </w:p>
    <w:p>
      <w:pPr>
        <w:spacing w:after="160" w:line="300"/>
      </w:pPr>
      <w:r>
        <w:rPr>
          <w:sz w:val="22"/>
          <w:szCs w:val="22"/>
        </w:rPr>
        <w:t xml:space="preserve">Testing used FastAPI's in-process test client, which sends real HTTP-style requests through the full routing, validation and serialization path without opening a network socket. The plan covered three areas: service health, prediction behavior on fresh synthetic samples, and error handling for bad input.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Cases</w:t>
            </w:r>
          </w:p>
        </w:tc>
        <w:tc>
          <w:tcPr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Health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Service responds and reports status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Prediction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60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End-to-end classification correctness on unseen samples (15 per class)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Error handling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Non-image upload and corrupted image bytes are rejected cleanly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2C5F2D"/>
          <w:sz w:val="28"/>
          <w:szCs w:val="28"/>
        </w:rPr>
        <w:t xml:space="preserve">5.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Total test cases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63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Passed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59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Failed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4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Prediction accuracy via live API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93.3% (56/60)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C68A2E"/>
          <w:sz w:val="24"/>
          <w:szCs w:val="24"/>
        </w:rPr>
        <w:t xml:space="preserve">5.1 Per-class prediction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Correct</w:t>
            </w:r>
          </w:p>
        </w:tc>
        <w:tc>
          <w:tcPr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Samples</w:t>
            </w:r>
          </w:p>
        </w:tc>
        <w:tc>
          <w:tcPr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circle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14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93.3%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square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86.7%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triangle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14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93.3%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star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100.0%</w:t>
            </w:r>
          </w:p>
        </w:tc>
      </w:tr>
    </w:tbl>
    <w:p>
      <w:pPr>
        <w:pStyle w:val="Heading2"/>
        <w:spacing w:after="120" w:before="220"/>
      </w:pPr>
      <w:r>
        <w:rPr>
          <w:b/>
          <w:bCs/>
          <w:color w:val="C68A2E"/>
          <w:sz w:val="24"/>
          <w:szCs w:val="24"/>
        </w:rPr>
        <w:t xml:space="preserve">5.2 Error-handling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shd w:fill="2C5F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non image upload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400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corrupted image bytes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400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D29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2C5F2D"/>
          <w:sz w:val="28"/>
          <w:szCs w:val="28"/>
        </w:rPr>
        <w:t xml:space="preserve">6. Analysis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The service reproduces the model's behavior end to end: 56 of 60 fresh synthetic predictions were correct through the API. This is consistent with the 91.0% test accuracy measured in Week 3, within the variation expected for a 60-sample check.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Every failure is a misclassification by the model, not a failure of the API layer. Each request returned HTTP 200 with a valid prediction body.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Malformed input is handled at the boundary: the service never crashes on a bad upload and returns a clear client-error response instead.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Misclassified samples (4): circle predicted as triangle; square predicted as triangle; square predicted as triangle; triangle predicted as star.</w:t>
      </w:r>
    </w:p>
    <w:p>
      <w:pPr>
        <w:pStyle w:val="Heading1"/>
        <w:spacing w:after="160" w:before="320"/>
      </w:pPr>
      <w:r>
        <w:rPr>
          <w:b/>
          <w:bCs/>
          <w:color w:val="2C5F2D"/>
          <w:sz w:val="28"/>
          <w:szCs w:val="28"/>
        </w:rPr>
        <w:t xml:space="preserve">7. Challenges Encountered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The model is loaded lazily on the first prediction request, so the health endpoint reports model_loaded = false until then. This is deliberate, to keep startup fast, but a production service would load the model at startup and fail fast if the checkpoint is missing.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The test client emits a deprecation warning about its HTTP library dependency. This does not affect results, but the dependency should be updated before deployment.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Test images are generated by the same synthetic generator used for training, so the prediction accuracy shows integration correctness on in-distribution data. It is not evidence of performance on real photographs.</w:t>
      </w:r>
    </w:p>
    <w:p>
      <w:pPr>
        <w:pStyle w:val="Heading1"/>
        <w:spacing w:after="160" w:before="320"/>
      </w:pPr>
      <w:r>
        <w:rPr>
          <w:b/>
          <w:bCs/>
          <w:color w:val="2C5F2D"/>
          <w:sz w:val="28"/>
          <w:szCs w:val="28"/>
        </w:rPr>
        <w:t xml:space="preserve">8. Limitations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Only one deployment target (a single local service) was exercised; no load, latency-under-concurrency or network-failure tests were run.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No authentication, rate limiting or request logging is implemented.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The service runs on the same synthetic 4-class task; a real application would need a model trained on its own domain data.</w:t>
      </w:r>
    </w:p>
    <w:p>
      <w:pPr>
        <w:pStyle w:val="Heading1"/>
        <w:spacing w:after="160" w:before="320"/>
      </w:pPr>
      <w:r>
        <w:rPr>
          <w:b/>
          <w:bCs/>
          <w:color w:val="2C5F2D"/>
          <w:sz w:val="28"/>
          <w:szCs w:val="28"/>
        </w:rPr>
        <w:t xml:space="preserve">9. Recommendations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Load the model at service startup and add a readiness check that reflects it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Add load tests (concurrent requests) and record p95 latency on the target hardware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Containerize the service and add authentication before any shared deployment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Connect the service to a real client (a simple web page or a camera feed on the Jetson Orin Nano) for a live demonstration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ccf968a333c80f927a88f816a8b104f113a589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2026-10-08T09:54:13.937Z</dcterms:created>
  <dcterms:modified xsi:type="dcterms:W3CDTF">2026-10-08T09:54:13.937Z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