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30"/>
          <w:szCs w:val="30"/>
        </w:rPr>
        <w:t xml:space="preserve">CS 5463/4953 — Survey-Based Term Project</w:t>
      </w:r>
    </w:p>
    <w:p>
      <w:pPr>
        <w:spacing w:before="0" w:after="80"/>
        <w:jc w:val="center"/>
      </w:pPr>
      <w:r>
        <w:rPr>
          <w:rFonts w:ascii="Arial" w:cs="Arial" w:eastAsia="Arial" w:hAnsi="Arial"/>
          <w:b/>
          <w:bCs/>
          <w:color w:val="2E74B5"/>
          <w:sz w:val="26"/>
          <w:szCs w:val="26"/>
        </w:rPr>
        <w:t xml:space="preserve">Detailed Annotated Bibliography and Classification of Results</w:t>
      </w:r>
    </w:p>
    <w:p>
      <w:pPr>
        <w:spacing w:before="0" w:after="50"/>
        <w:jc w:val="center"/>
      </w:pPr>
      <w:r>
        <w:rPr>
          <w:rFonts w:ascii="Arial" w:cs="Arial" w:eastAsia="Arial" w:hAnsi="Arial"/>
          <w:i/>
          <w:iCs/>
          <w:color w:val="444444"/>
          <w:sz w:val="20"/>
          <w:szCs w:val="20"/>
        </w:rPr>
        <w:t xml:space="preserve">Survey: Graph Convolutional Autoencoders for Spatial Shape Representation and Analysis</w:t>
      </w:r>
    </w:p>
    <w:p>
      <w:pPr>
        <w:spacing w:before="0" w:after="50"/>
        <w:jc w:val="center"/>
      </w:pPr>
      <w:r>
        <w:rPr>
          <w:rFonts w:ascii="Arial" w:cs="Arial" w:eastAsia="Arial" w:hAnsi="Arial"/>
          <w:color w:val="555555"/>
          <w:sz w:val="20"/>
          <w:szCs w:val="20"/>
        </w:rPr>
        <w:t xml:space="preserve">Syeda Farjana Shetu  |  March 2026  |  CS 5463/4953</w:t>
      </w:r>
    </w:p>
    <w:p>
      <w:pPr>
        <w:pBdr>
          <w:bottom w:val="single" w:color="2E74B5" w:sz="6" w:space="2"/>
        </w:pBdr>
        <w:spacing w:before="0" w:after="0"/>
      </w:pPr>
      <w:r>
        <w:t xml:space="preserve"/>
      </w:r>
    </w:p>
    <w:p>
      <w:pPr>
        <w:spacing w:before="80" w:after="80"/>
      </w:pPr>
      <w:r>
        <w:t xml:space="preserve"/>
      </w:r>
    </w:p>
    <w:p>
      <w:pPr>
        <w:pBdr>
          <w:bottom w:val="single" w:color="1F3864" w:sz="10" w:space="4"/>
        </w:pBdr>
        <w:spacing w:before="280" w:after="100"/>
      </w:pPr>
      <w:r>
        <w:rPr>
          <w:rFonts w:ascii="Arial" w:cs="Arial" w:eastAsia="Arial" w:hAnsi="Arial"/>
          <w:b/>
          <w:bCs/>
          <w:color w:val="1F3864"/>
          <w:sz w:val="28"/>
          <w:szCs w:val="28"/>
        </w:rPr>
        <w:t xml:space="preserve">Part I — Overview</w:t>
      </w:r>
    </w:p>
    <w:p>
      <w:pPr>
        <w:spacing w:before="80" w:after="80"/>
      </w:pPr>
      <w:r>
        <w:rPr>
          <w:rFonts w:ascii="Arial" w:cs="Arial" w:eastAsia="Arial" w:hAnsi="Arial"/>
          <w:color w:val="333333"/>
          <w:sz w:val="20"/>
          <w:szCs w:val="20"/>
        </w:rPr>
        <w:t xml:space="preserve">This document presents a detailed annotated bibliography of 27 papers selected for thorough reading as part of a survey on Graph Convolutional Autoencoders (GCAEs) for spatial shape representation and analysis. Papers are organized into six thematic classes that reflect the natural structure of the research area and will form the section-level organization of the final survey paper. Each entry includes a full citation, URL, role designation (Primary or Secondary), and a detailed annotation describing the problem addressed, methodology used, key contributions, and limitations — written entirely in the author's own words based on reading the paper content rather than copying from abstracts or introductions.</w:t>
      </w:r>
    </w:p>
    <w:p>
      <w:pPr>
        <w:spacing w:before="60" w:after="60"/>
      </w:pPr>
      <w:r>
        <w:t xml:space="preserve"/>
      </w:r>
    </w:p>
    <w:p>
      <w:pPr>
        <w:pBdr>
          <w:bottom w:val="single" w:color="1F3864" w:sz="10" w:space="4"/>
        </w:pBdr>
        <w:spacing w:before="280" w:after="100"/>
      </w:pPr>
      <w:r>
        <w:rPr>
          <w:rFonts w:ascii="Arial" w:cs="Arial" w:eastAsia="Arial" w:hAnsi="Arial"/>
          <w:b/>
          <w:bCs/>
          <w:color w:val="1F3864"/>
          <w:sz w:val="28"/>
          <w:szCs w:val="28"/>
        </w:rPr>
        <w:t xml:space="preserve">Part II — Classification Scheme</w:t>
      </w:r>
    </w:p>
    <w:p>
      <w:pPr>
        <w:spacing w:before="80" w:after="60"/>
      </w:pPr>
      <w:r>
        <w:rPr>
          <w:rFonts w:ascii="Arial" w:cs="Arial" w:eastAsia="Arial" w:hAnsi="Arial"/>
          <w:sz w:val="20"/>
          <w:szCs w:val="20"/>
        </w:rPr>
        <w:t xml:space="preserve">The 27 papers are grouped into six natural thematic classes. Primary papers are those most central to the survey topic and will be discussed in depth. Secondary papers provide supporting context, comparisons, or background and will be referenced more lightly. This classification will yield the organization of the final survey paper.</w:t>
      </w:r>
    </w:p>
    <w:p>
      <w:pPr>
        <w:spacing w:before="160" w:after="60"/>
      </w:pPr>
      <w:r>
        <w:rPr>
          <w:rFonts w:ascii="Arial" w:cs="Arial" w:eastAsia="Arial" w:hAnsi="Arial"/>
          <w:b/>
          <w:bCs/>
          <w:color w:val="1F3864"/>
          <w:sz w:val="22"/>
          <w:szCs w:val="22"/>
        </w:rPr>
        <w:t xml:space="preserve">Class 1 — Graph-Based Spatial Shape Encoding  [Core Focus]</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[F2] Kipf &amp; Welling (2016) — Variational Graph Auto-Encoder</w:t>
      </w:r>
      <w:r>
        <w:rPr>
          <w:rFonts w:ascii="Arial" w:cs="Arial" w:eastAsia="Arial" w:hAnsi="Arial"/>
          <w:b/>
          <w:bCs/>
          <w:color w:val="C00000"/>
          <w:sz w:val="20"/>
          <w:szCs w:val="20"/>
        </w:rPr>
        <w:t xml:space="preserve">  [PRIMARY]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[F4] Yan et al. (2021) — GCAE for Building Shape Coding &amp; Cognition</w:t>
      </w:r>
      <w:r>
        <w:rPr>
          <w:rFonts w:ascii="Arial" w:cs="Arial" w:eastAsia="Arial" w:hAnsi="Arial"/>
          <w:b/>
          <w:bCs/>
          <w:color w:val="C00000"/>
          <w:sz w:val="20"/>
          <w:szCs w:val="20"/>
        </w:rPr>
        <w:t xml:space="preserve">  [PRIMARY]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[C1] Park et al. (2019) — Symmetric Graph Convolutional Autoencoder</w:t>
      </w:r>
      <w:r>
        <w:rPr>
          <w:rFonts w:ascii="Arial" w:cs="Arial" w:eastAsia="Arial" w:hAnsi="Arial"/>
          <w:b/>
          <w:bCs/>
          <w:color w:val="C00000"/>
          <w:sz w:val="20"/>
          <w:szCs w:val="20"/>
        </w:rPr>
        <w:t xml:space="preserve">  [PRIMARY]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[C3] Yu et al. (2024) — PolygonGNN: Heterogeneous Visibility Graph</w:t>
      </w:r>
      <w:r>
        <w:rPr>
          <w:rFonts w:ascii="Arial" w:cs="Arial" w:eastAsia="Arial" w:hAnsi="Arial"/>
          <w:b/>
          <w:bCs/>
          <w:color w:val="C00000"/>
          <w:sz w:val="20"/>
          <w:szCs w:val="20"/>
        </w:rPr>
        <w:t xml:space="preserve">  [PRIMARY]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[C4] Ahn et al. (2021) — Variational Graph Normalized Autoencoder</w:t>
      </w:r>
      <w:r>
        <w:rPr>
          <w:rFonts w:ascii="Arial" w:cs="Arial" w:eastAsia="Arial" w:hAnsi="Arial"/>
          <w:b/>
          <w:bCs/>
          <w:color w:val="375623"/>
          <w:sz w:val="20"/>
          <w:szCs w:val="20"/>
        </w:rPr>
        <w:t xml:space="preserve">  [SECONDARY]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[C2] Litany et al. (2018) — Deformable 3D Shape Completion with GCAE</w:t>
      </w:r>
      <w:r>
        <w:rPr>
          <w:rFonts w:ascii="Arial" w:cs="Arial" w:eastAsia="Arial" w:hAnsi="Arial"/>
          <w:b/>
          <w:bCs/>
          <w:color w:val="375623"/>
          <w:sz w:val="20"/>
          <w:szCs w:val="20"/>
        </w:rPr>
        <w:t xml:space="preserve">  [SECONDARY]</w:t>
      </w:r>
    </w:p>
    <w:p>
      <w:pPr>
        <w:spacing w:before="160" w:after="60"/>
      </w:pPr>
      <w:r>
        <w:rPr>
          <w:rFonts w:ascii="Arial" w:cs="Arial" w:eastAsia="Arial" w:hAnsi="Arial"/>
          <w:b/>
          <w:bCs/>
          <w:color w:val="1F3864"/>
          <w:sz w:val="22"/>
          <w:szCs w:val="22"/>
        </w:rPr>
        <w:t xml:space="preserve">Class 2 — Foundational Neural Network Architectures</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[F1] Kipf &amp; Welling (2017) — GCN for Semi-supervised Classification</w:t>
      </w:r>
      <w:r>
        <w:rPr>
          <w:rFonts w:ascii="Arial" w:cs="Arial" w:eastAsia="Arial" w:hAnsi="Arial"/>
          <w:b/>
          <w:bCs/>
          <w:color w:val="C00000"/>
          <w:sz w:val="20"/>
          <w:szCs w:val="20"/>
        </w:rPr>
        <w:t xml:space="preserve">  [PRIMARY]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[F3] Kingma &amp; Welling (2014) — Variational Autoencoder (VAE)</w:t>
      </w:r>
      <w:r>
        <w:rPr>
          <w:rFonts w:ascii="Arial" w:cs="Arial" w:eastAsia="Arial" w:hAnsi="Arial"/>
          <w:b/>
          <w:bCs/>
          <w:color w:val="C00000"/>
          <w:sz w:val="20"/>
          <w:szCs w:val="20"/>
        </w:rPr>
        <w:t xml:space="preserve">  [PRIMARY]</w:t>
      </w:r>
    </w:p>
    <w:p>
      <w:pPr>
        <w:spacing w:before="160" w:after="60"/>
      </w:pPr>
      <w:r>
        <w:rPr>
          <w:rFonts w:ascii="Arial" w:cs="Arial" w:eastAsia="Arial" w:hAnsi="Arial"/>
          <w:b/>
          <w:bCs/>
          <w:color w:val="1F3864"/>
          <w:sz w:val="22"/>
          <w:szCs w:val="22"/>
        </w:rPr>
        <w:t xml:space="preserve">Class 3 — Alternative ML Architectures for Spatial Shape</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[J1] Huang et al. (2022) — Comparative Study: CNN vs. RNN vs. GCN for Shape Encoding</w:t>
      </w:r>
      <w:r>
        <w:rPr>
          <w:rFonts w:ascii="Arial" w:cs="Arial" w:eastAsia="Arial" w:hAnsi="Arial"/>
          <w:b/>
          <w:bCs/>
          <w:color w:val="C00000"/>
          <w:sz w:val="20"/>
          <w:szCs w:val="20"/>
        </w:rPr>
        <w:t xml:space="preserve">  [PRIMARY]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[J2] Knura (2024) — Vector-Based Shape Encoding &amp; Map Generalization</w:t>
      </w:r>
      <w:r>
        <w:rPr>
          <w:rFonts w:ascii="Arial" w:cs="Arial" w:eastAsia="Arial" w:hAnsi="Arial"/>
          <w:b/>
          <w:bCs/>
          <w:color w:val="C00000"/>
          <w:sz w:val="20"/>
          <w:szCs w:val="20"/>
        </w:rPr>
        <w:t xml:space="preserve">  [PRIMARY]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[J3] Siampou et al. (2024) — Poly2Vec: Transformer-based Geospatial Encoding</w:t>
      </w:r>
      <w:r>
        <w:rPr>
          <w:rFonts w:ascii="Arial" w:cs="Arial" w:eastAsia="Arial" w:hAnsi="Arial"/>
          <w:b/>
          <w:bCs/>
          <w:color w:val="375623"/>
          <w:sz w:val="20"/>
          <w:szCs w:val="20"/>
        </w:rPr>
        <w:t xml:space="preserve">  [SECONDARY]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[A1] Zhang et al. (2025) — PSRT: Transformer for Polygon Shape Features</w:t>
      </w:r>
      <w:r>
        <w:rPr>
          <w:rFonts w:ascii="Arial" w:cs="Arial" w:eastAsia="Arial" w:hAnsi="Arial"/>
          <w:b/>
          <w:bCs/>
          <w:color w:val="375623"/>
          <w:sz w:val="20"/>
          <w:szCs w:val="20"/>
        </w:rPr>
        <w:t xml:space="preserve">  [SECONDARY]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[A2] Zhan &amp; Datta (2024) — NN-GLS: Neural Networks for Geospatial Data</w:t>
      </w:r>
      <w:r>
        <w:rPr>
          <w:rFonts w:ascii="Arial" w:cs="Arial" w:eastAsia="Arial" w:hAnsi="Arial"/>
          <w:b/>
          <w:bCs/>
          <w:color w:val="375623"/>
          <w:sz w:val="20"/>
          <w:szCs w:val="20"/>
        </w:rPr>
        <w:t xml:space="preserve">  [SECONDARY]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[C7] Feng et al. (2019) — CNN for Cartographic Building Generalization</w:t>
      </w:r>
      <w:r>
        <w:rPr>
          <w:rFonts w:ascii="Arial" w:cs="Arial" w:eastAsia="Arial" w:hAnsi="Arial"/>
          <w:b/>
          <w:bCs/>
          <w:color w:val="375623"/>
          <w:sz w:val="20"/>
          <w:szCs w:val="20"/>
        </w:rPr>
        <w:t xml:space="preserve">  [SECONDARY]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[C9] Mai et al. (2023) — Foundation Models for Geospatial AI</w:t>
      </w:r>
      <w:r>
        <w:rPr>
          <w:rFonts w:ascii="Arial" w:cs="Arial" w:eastAsia="Arial" w:hAnsi="Arial"/>
          <w:b/>
          <w:bCs/>
          <w:color w:val="375623"/>
          <w:sz w:val="20"/>
          <w:szCs w:val="20"/>
        </w:rPr>
        <w:t xml:space="preserve">  [SECONDARY]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[A3] Liu et al. (2025) — Representation Learning Survey for Geospatial Data</w:t>
      </w:r>
      <w:r>
        <w:rPr>
          <w:rFonts w:ascii="Arial" w:cs="Arial" w:eastAsia="Arial" w:hAnsi="Arial"/>
          <w:b/>
          <w:bCs/>
          <w:color w:val="375623"/>
          <w:sz w:val="20"/>
          <w:szCs w:val="20"/>
        </w:rPr>
        <w:t xml:space="preserve">  [SECONDARY]</w:t>
      </w:r>
    </w:p>
    <w:p>
      <w:pPr>
        <w:spacing w:before="160" w:after="60"/>
      </w:pPr>
      <w:r>
        <w:rPr>
          <w:rFonts w:ascii="Arial" w:cs="Arial" w:eastAsia="Arial" w:hAnsi="Arial"/>
          <w:b/>
          <w:bCs/>
          <w:color w:val="1F3864"/>
          <w:sz w:val="22"/>
          <w:szCs w:val="22"/>
        </w:rPr>
        <w:t xml:space="preserve">Class 4 — Geospatial Entity Representation &amp; Approximate Similarity Search</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[J4] Michalopoulos et al. (2024) — Latent Representation for Geospatial Entities</w:t>
      </w:r>
      <w:r>
        <w:rPr>
          <w:rFonts w:ascii="Arial" w:cs="Arial" w:eastAsia="Arial" w:hAnsi="Arial"/>
          <w:b/>
          <w:bCs/>
          <w:color w:val="C00000"/>
          <w:sz w:val="20"/>
          <w:szCs w:val="20"/>
        </w:rPr>
        <w:t xml:space="preserve">  [PRIMARY]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[C5] Malkov &amp; Yashunin (2020) — HNSW for Approximate Nearest Neighbor Search</w:t>
      </w:r>
      <w:r>
        <w:rPr>
          <w:rFonts w:ascii="Arial" w:cs="Arial" w:eastAsia="Arial" w:hAnsi="Arial"/>
          <w:b/>
          <w:bCs/>
          <w:color w:val="C00000"/>
          <w:sz w:val="20"/>
          <w:szCs w:val="20"/>
        </w:rPr>
        <w:t xml:space="preserve">  [PRIMARY]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[C6] Johnson et al. (2021) — FAISS: Billion-Scale GPU Similarity Search</w:t>
      </w:r>
      <w:r>
        <w:rPr>
          <w:rFonts w:ascii="Arial" w:cs="Arial" w:eastAsia="Arial" w:hAnsi="Arial"/>
          <w:b/>
          <w:bCs/>
          <w:color w:val="C00000"/>
          <w:sz w:val="20"/>
          <w:szCs w:val="20"/>
        </w:rPr>
        <w:t xml:space="preserve">  [PRIMARY]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[C10] Douze et al. (2024) — The FAISS Library (Reference)</w:t>
      </w:r>
      <w:r>
        <w:rPr>
          <w:rFonts w:ascii="Arial" w:cs="Arial" w:eastAsia="Arial" w:hAnsi="Arial"/>
          <w:b/>
          <w:bCs/>
          <w:color w:val="375623"/>
          <w:sz w:val="20"/>
          <w:szCs w:val="20"/>
        </w:rPr>
        <w:t xml:space="preserve">  [SECONDARY]</w:t>
      </w:r>
    </w:p>
    <w:p>
      <w:pPr>
        <w:spacing w:before="160" w:after="60"/>
      </w:pPr>
      <w:r>
        <w:rPr>
          <w:rFonts w:ascii="Arial" w:cs="Arial" w:eastAsia="Arial" w:hAnsi="Arial"/>
          <w:b/>
          <w:bCs/>
          <w:color w:val="1F3864"/>
          <w:sz w:val="22"/>
          <w:szCs w:val="22"/>
        </w:rPr>
        <w:t xml:space="preserve">Class 5 — Cartographic Generalization &amp; Map Applications</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[J5] Zhang et al. (2024) — Automated Map Generalization: Emerging Techniques</w:t>
      </w:r>
      <w:r>
        <w:rPr>
          <w:rFonts w:ascii="Arial" w:cs="Arial" w:eastAsia="Arial" w:hAnsi="Arial"/>
          <w:b/>
          <w:bCs/>
          <w:color w:val="C00000"/>
          <w:sz w:val="20"/>
          <w:szCs w:val="20"/>
        </w:rPr>
        <w:t xml:space="preserve">  [PRIMARY]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[J6] Zhou et al. (2024) — GNN for Building Footprint Generalization Operators</w:t>
      </w:r>
      <w:r>
        <w:rPr>
          <w:rFonts w:ascii="Arial" w:cs="Arial" w:eastAsia="Arial" w:hAnsi="Arial"/>
          <w:b/>
          <w:bCs/>
          <w:color w:val="C00000"/>
          <w:sz w:val="20"/>
          <w:szCs w:val="20"/>
        </w:rPr>
        <w:t xml:space="preserve">  [PRIMARY]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[C8] Fu et al. (2024) — Explainable AI for Map Generalization</w:t>
      </w:r>
      <w:r>
        <w:rPr>
          <w:rFonts w:ascii="Arial" w:cs="Arial" w:eastAsia="Arial" w:hAnsi="Arial"/>
          <w:b/>
          <w:bCs/>
          <w:color w:val="375623"/>
          <w:sz w:val="20"/>
          <w:szCs w:val="20"/>
        </w:rPr>
        <w:t xml:space="preserve">  [SECONDARY]</w:t>
      </w:r>
    </w:p>
    <w:p>
      <w:pPr>
        <w:spacing w:before="160" w:after="60"/>
      </w:pPr>
      <w:r>
        <w:rPr>
          <w:rFonts w:ascii="Arial" w:cs="Arial" w:eastAsia="Arial" w:hAnsi="Arial"/>
          <w:b/>
          <w:bCs/>
          <w:color w:val="1F3864"/>
          <w:sz w:val="22"/>
          <w:szCs w:val="22"/>
        </w:rPr>
        <w:t xml:space="preserve">Class 6 — HPC &amp; Scalability for Spatial Deep Learning</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[H1] Shao et al. (2024) — Distributed GNN Training Survey</w:t>
      </w:r>
      <w:r>
        <w:rPr>
          <w:rFonts w:ascii="Arial" w:cs="Arial" w:eastAsia="Arial" w:hAnsi="Arial"/>
          <w:b/>
          <w:bCs/>
          <w:color w:val="C00000"/>
          <w:sz w:val="20"/>
          <w:szCs w:val="20"/>
        </w:rPr>
        <w:t xml:space="preserve">  [PRIMARY]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[H2] Dang et al. (2024) — GPU Dataloading for Large-Scale GNN Inference</w:t>
      </w:r>
      <w:r>
        <w:rPr>
          <w:rFonts w:ascii="Arial" w:cs="Arial" w:eastAsia="Arial" w:hAnsi="Arial"/>
          <w:b/>
          <w:bCs/>
          <w:color w:val="C00000"/>
          <w:sz w:val="20"/>
          <w:szCs w:val="20"/>
        </w:rPr>
        <w:t xml:space="preserve">  [PRIMARY]</w:t>
      </w:r>
    </w:p>
    <w:p>
      <w:pPr>
        <w:spacing w:before="20" w:after="20"/>
        <w:ind w:left="360"/>
      </w:pPr>
      <w:r>
        <w:rPr>
          <w:rFonts w:ascii="Arial" w:cs="Arial" w:eastAsia="Arial" w:hAnsi="Arial"/>
          <w:sz w:val="20"/>
          <w:szCs w:val="20"/>
        </w:rPr>
        <w:t xml:space="preserve">• </w:t>
      </w:r>
      <w:r>
        <w:rPr>
          <w:rFonts w:ascii="Arial" w:cs="Arial" w:eastAsia="Arial" w:hAnsi="Arial"/>
          <w:sz w:val="20"/>
          <w:szCs w:val="20"/>
        </w:rPr>
        <w:t xml:space="preserve">[H3] Armstrong &amp; Densham (2020) — HPC for Geospatial Applications</w:t>
      </w:r>
      <w:r>
        <w:rPr>
          <w:rFonts w:ascii="Arial" w:cs="Arial" w:eastAsia="Arial" w:hAnsi="Arial"/>
          <w:b/>
          <w:bCs/>
          <w:color w:val="375623"/>
          <w:sz w:val="20"/>
          <w:szCs w:val="20"/>
        </w:rPr>
        <w:t xml:space="preserve">  [SECONDARY]</w:t>
      </w:r>
    </w:p>
    <w:p>
      <w:pPr>
        <w:spacing w:before="60" w:after="40"/>
      </w:pPr>
      <w:r>
        <w:t xml:space="preserve"/>
      </w:r>
    </w:p>
    <w:p>
      <w:pPr>
        <w:spacing w:before="60" w:after="80"/>
      </w:pPr>
      <w:r>
        <w:rPr>
          <w:rFonts w:ascii="Arial" w:cs="Arial" w:eastAsia="Arial" w:hAnsi="Arial"/>
          <w:b/>
          <w:bCs/>
          <w:color w:val="C00000"/>
          <w:sz w:val="20"/>
          <w:szCs w:val="20"/>
        </w:rPr>
        <w:t xml:space="preserve">Primary papers </w:t>
      </w:r>
      <w:r>
        <w:rPr>
          <w:rFonts w:ascii="Arial" w:cs="Arial" w:eastAsia="Arial" w:hAnsi="Arial"/>
          <w:sz w:val="20"/>
          <w:szCs w:val="20"/>
        </w:rPr>
        <w:t xml:space="preserve">are core to the survey and will be discussed in depth. </w:t>
      </w:r>
      <w:r>
        <w:rPr>
          <w:rFonts w:ascii="Arial" w:cs="Arial" w:eastAsia="Arial" w:hAnsi="Arial"/>
          <w:b/>
          <w:bCs/>
          <w:color w:val="375623"/>
          <w:sz w:val="20"/>
          <w:szCs w:val="20"/>
        </w:rPr>
        <w:t xml:space="preserve">Secondary papers </w:t>
      </w:r>
      <w:r>
        <w:rPr>
          <w:rFonts w:ascii="Arial" w:cs="Arial" w:eastAsia="Arial" w:hAnsi="Arial"/>
          <w:sz w:val="20"/>
          <w:szCs w:val="20"/>
        </w:rPr>
        <w:t xml:space="preserve">provide supporting context and will be referenced more briefly.</w:t>
      </w:r>
    </w:p>
    <w:p>
      <w:pPr>
        <w:pBdr>
          <w:bottom w:val="single" w:color="CCCCCC" w:sz="6" w:space="2"/>
        </w:pBdr>
        <w:spacing w:before="0" w:after="0"/>
      </w:pPr>
      <w:r>
        <w:t xml:space="preserve"/>
      </w:r>
    </w:p>
    <w:p>
      <w:pPr>
        <w:spacing w:before="80" w:after="80"/>
      </w:pPr>
      <w:r>
        <w:t xml:space="preserve"/>
      </w:r>
    </w:p>
    <w:p>
      <w:pPr>
        <w:pBdr>
          <w:bottom w:val="single" w:color="1F3864" w:sz="10" w:space="4"/>
        </w:pBdr>
        <w:spacing w:before="280" w:after="100"/>
      </w:pPr>
      <w:r>
        <w:rPr>
          <w:rFonts w:ascii="Arial" w:cs="Arial" w:eastAsia="Arial" w:hAnsi="Arial"/>
          <w:b/>
          <w:bCs/>
          <w:color w:val="1F3864"/>
          <w:sz w:val="28"/>
          <w:szCs w:val="28"/>
        </w:rPr>
        <w:t xml:space="preserve">Part III — Detailed Annotated Bibliography (27 Papers)</w:t>
      </w:r>
    </w:p>
    <w:p>
      <w:pPr>
        <w:spacing w:before="200" w:after="80"/>
      </w:pPr>
      <w:r>
        <w:rPr>
          <w:rFonts w:ascii="Arial" w:cs="Arial" w:eastAsia="Arial" w:hAnsi="Arial"/>
          <w:b/>
          <w:bCs/>
          <w:color w:val="2E74B5"/>
          <w:sz w:val="24"/>
          <w:szCs w:val="24"/>
        </w:rPr>
        <w:t xml:space="preserve">Class 1 — Graph-Based Spatial Shape Encoding</w:t>
      </w:r>
    </w:p>
    <w:p>
      <w:pPr>
        <w:spacing w:before="180" w:after="30"/>
      </w:pPr>
      <w:r>
        <w:rPr>
          <w:rFonts w:ascii="Arial" w:cs="Arial" w:eastAsia="Arial" w:hAnsi="Arial"/>
          <w:b/>
          <w:bCs/>
          <w:color w:val="1F3864"/>
          <w:sz w:val="22"/>
          <w:szCs w:val="22"/>
        </w:rPr>
        <w:t xml:space="preserve">[F2]</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Kipf, T. N., &amp; Welling, M. (2016). Variational graph auto-encoders. NIPS Workshop on Bayesian Deep Learning.</w:t>
      </w:r>
    </w:p>
    <w:p>
      <w:pPr>
        <w:spacing w:before="0" w:after="20"/>
      </w:pPr>
      <w:r>
        <w:rPr>
          <w:rFonts w:ascii="Arial" w:cs="Arial" w:eastAsia="Arial" w:hAnsi="Arial"/>
          <w:b/>
          <w:bCs/>
          <w:sz w:val="19"/>
          <w:szCs w:val="19"/>
        </w:rPr>
        <w:t xml:space="preserve">URL: </w:t>
      </w:r>
      <w:hyperlink w:history="1" r:id="rIdspuomddh_mfvrjux6cpzs">
        <w:r>
          <w:rPr>
            <w:rFonts w:ascii="Arial" w:cs="Arial" w:eastAsia="Arial" w:hAnsi="Arial"/>
            <w:color w:val="1155CC"/>
            <w:sz w:val="19"/>
            <w:szCs w:val="19"/>
            <w:u w:val="single"/>
          </w:rPr>
          <w:t xml:space="preserve">https://arxiv.org/abs/1611.07308</w:t>
        </w:r>
      </w:hyperlink>
    </w:p>
    <w:p>
      <w:pPr>
        <w:pBdr>
          <w:left w:val="single" w:color="2E74B5" w:sz="12" w:space="8"/>
        </w:pBdr>
        <w:spacing w:before="20" w:after="100"/>
        <w:ind w:left="360"/>
      </w:pPr>
      <w:r>
        <w:rPr>
          <w:rFonts w:ascii="Arial" w:cs="Arial" w:eastAsia="Arial" w:hAnsi="Arial"/>
          <w:color w:val="333333"/>
          <w:sz w:val="20"/>
          <w:szCs w:val="20"/>
        </w:rPr>
        <w:t xml:space="preserve">This paper combines a GCN-based encoder with the variational autoencoder framework to learn probabilistic latent representations of graph nodes without any supervision signal. The encoder maps each node to a Gaussian distribution in latent space using the graph structure and node features, and a simple inner product decoder reconstructs the adjacency matrix. Because no labeled training data is required, the model can be applied directly to spatial polygon graphs where shape category annotations are unavailable. The main architectural constraint is the inner product decoder, which reconstructs only edge probabilities and not vertex-level features — limiting the faithfulness of shape reconstruction. This is the foundational paper behind all GCAE-based spatial shape encoding methods in the survey.</w:t>
      </w:r>
    </w:p>
    <w:p>
      <w:pPr>
        <w:spacing w:before="180" w:after="30"/>
      </w:pPr>
      <w:r>
        <w:rPr>
          <w:rFonts w:ascii="Arial" w:cs="Arial" w:eastAsia="Arial" w:hAnsi="Arial"/>
          <w:b/>
          <w:bCs/>
          <w:color w:val="1F3864"/>
          <w:sz w:val="22"/>
          <w:szCs w:val="22"/>
        </w:rPr>
        <w:t xml:space="preserve">[F4]</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Yan, X., Ai, T., Yang, M., &amp; Tong, X. (2021). Graph convolutional autoencoder model for the shape coding and cognition of buildings in maps. IJGIS, 35(3), 490–512.</w:t>
      </w:r>
    </w:p>
    <w:p>
      <w:pPr>
        <w:spacing w:before="0" w:after="20"/>
      </w:pPr>
      <w:r>
        <w:rPr>
          <w:rFonts w:ascii="Arial" w:cs="Arial" w:eastAsia="Arial" w:hAnsi="Arial"/>
          <w:b/>
          <w:bCs/>
          <w:sz w:val="19"/>
          <w:szCs w:val="19"/>
        </w:rPr>
        <w:t xml:space="preserve">URL: </w:t>
      </w:r>
      <w:hyperlink w:history="1" r:id="rIdwyff8ugstsy_i9z7iuf5w">
        <w:r>
          <w:rPr>
            <w:rFonts w:ascii="Arial" w:cs="Arial" w:eastAsia="Arial" w:hAnsi="Arial"/>
            <w:color w:val="1155CC"/>
            <w:sz w:val="19"/>
            <w:szCs w:val="19"/>
            <w:u w:val="single"/>
          </w:rPr>
          <w:t xml:space="preserve">https://doi.org/10.1080/13658816.2020.1768260</w:t>
        </w:r>
      </w:hyperlink>
    </w:p>
    <w:p>
      <w:pPr>
        <w:pBdr>
          <w:left w:val="single" w:color="2E74B5" w:sz="12" w:space="8"/>
        </w:pBdr>
        <w:spacing w:before="20" w:after="100"/>
        <w:ind w:left="360"/>
      </w:pPr>
      <w:r>
        <w:rPr>
          <w:rFonts w:ascii="Arial" w:cs="Arial" w:eastAsia="Arial" w:hAnsi="Arial"/>
          <w:color w:val="333333"/>
          <w:sz w:val="20"/>
          <w:szCs w:val="20"/>
        </w:rPr>
        <w:t xml:space="preserve">This is the most directly relevant paper to the survey's core topic. Building boundaries are modeled as cyclic graphs where each vertex holds features extracted at three spatial scales: local (adjacent vertex angles and edge lengths), regional (centroid-relative angle and distance), and global (total vertex count). A GCAE encodes these multi-scale features into compact shape codes through unsupervised training. Evaluation on building footprints from a Chinese city shows the codes support shape similarity ranking, retrieval, and matching with higher precision than classical descriptors such as Fourier and turning-function methods. The primary limitation is that experiments involve only one city and one building style, leaving the model's cross-city and cross-scale generalization untested.</w:t>
      </w:r>
    </w:p>
    <w:p>
      <w:pPr>
        <w:spacing w:before="180" w:after="30"/>
      </w:pPr>
      <w:r>
        <w:rPr>
          <w:rFonts w:ascii="Arial" w:cs="Arial" w:eastAsia="Arial" w:hAnsi="Arial"/>
          <w:b/>
          <w:bCs/>
          <w:color w:val="1F3864"/>
          <w:sz w:val="22"/>
          <w:szCs w:val="22"/>
        </w:rPr>
        <w:t xml:space="preserve">[C1]</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Park, J., Lee, D., Ham, J., &amp; Baek, J. (2019). Symmetric graph convolutional autoencoder for unsupervised graph representation learning. ICCV 2019, pp. 6519–6528.</w:t>
      </w:r>
    </w:p>
    <w:p>
      <w:pPr>
        <w:spacing w:before="0" w:after="20"/>
      </w:pPr>
      <w:r>
        <w:rPr>
          <w:rFonts w:ascii="Arial" w:cs="Arial" w:eastAsia="Arial" w:hAnsi="Arial"/>
          <w:b/>
          <w:bCs/>
          <w:sz w:val="19"/>
          <w:szCs w:val="19"/>
        </w:rPr>
        <w:t xml:space="preserve">URL: </w:t>
      </w:r>
      <w:hyperlink w:history="1" r:id="rIdpyf5rugwaonwt2gfk9bx9">
        <w:r>
          <w:rPr>
            <w:rFonts w:ascii="Arial" w:cs="Arial" w:eastAsia="Arial" w:hAnsi="Arial"/>
            <w:color w:val="1155CC"/>
            <w:sz w:val="19"/>
            <w:szCs w:val="19"/>
            <w:u w:val="single"/>
          </w:rPr>
          <w:t xml:space="preserve">https://arxiv.org/abs/1908.02441</w:t>
        </w:r>
      </w:hyperlink>
    </w:p>
    <w:p>
      <w:pPr>
        <w:pBdr>
          <w:left w:val="single" w:color="2E74B5" w:sz="12" w:space="8"/>
        </w:pBdr>
        <w:spacing w:before="20" w:after="100"/>
        <w:ind w:left="360"/>
      </w:pPr>
      <w:r>
        <w:rPr>
          <w:rFonts w:ascii="Arial" w:cs="Arial" w:eastAsia="Arial" w:hAnsi="Arial"/>
          <w:color w:val="333333"/>
          <w:sz w:val="20"/>
          <w:szCs w:val="20"/>
        </w:rPr>
        <w:t xml:space="preserve">The key contribution of this paper is identifying that VGAE's decoder — a simple inner product — discards node feature information and only reconstructs edge structure. The proposed Symmetric GCAE (S-VGAE) addresses this by using a GCN-based decoder that mirrors the encoder architecture, enabling simultaneous reconstruction of both adjacency structure and vertex features. This symmetric design produces substantially better latent embeddings on node clustering and link prediction tasks. For spatial shape encoding, where polygon vertex features carry essential geometric information (curvature, angles, distances), the ability to reconstruct vertex features from the latent code makes S-VGAE preferable to standard VGAE.</w:t>
      </w:r>
    </w:p>
    <w:p>
      <w:pPr>
        <w:spacing w:before="180" w:after="30"/>
      </w:pPr>
      <w:r>
        <w:rPr>
          <w:rFonts w:ascii="Arial" w:cs="Arial" w:eastAsia="Arial" w:hAnsi="Arial"/>
          <w:b/>
          <w:bCs/>
          <w:color w:val="1F3864"/>
          <w:sz w:val="22"/>
          <w:szCs w:val="22"/>
        </w:rPr>
        <w:t xml:space="preserve">[C3]</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Yu, Z., Hu, Y., Li, Y., &amp; Zhao, L. (2024). PolygonGNN: Representation learning for polygonal geometries with heterogeneous visibility graphs. KDD 2024, pp. 4012–4022.</w:t>
      </w:r>
    </w:p>
    <w:p>
      <w:pPr>
        <w:spacing w:before="0" w:after="20"/>
      </w:pPr>
      <w:r>
        <w:rPr>
          <w:rFonts w:ascii="Arial" w:cs="Arial" w:eastAsia="Arial" w:hAnsi="Arial"/>
          <w:b/>
          <w:bCs/>
          <w:sz w:val="19"/>
          <w:szCs w:val="19"/>
        </w:rPr>
        <w:t xml:space="preserve">URL: </w:t>
      </w:r>
      <w:hyperlink w:history="1" r:id="rIdo-4dnw7z3fes_n5b1z3nn">
        <w:r>
          <w:rPr>
            <w:rFonts w:ascii="Arial" w:cs="Arial" w:eastAsia="Arial" w:hAnsi="Arial"/>
            <w:color w:val="1155CC"/>
            <w:sz w:val="19"/>
            <w:szCs w:val="19"/>
            <w:u w:val="single"/>
          </w:rPr>
          <w:t xml:space="preserve">https://dl.acm.org/doi/10.1145/3637528.3671738</w:t>
        </w:r>
      </w:hyperlink>
    </w:p>
    <w:p>
      <w:pPr>
        <w:pBdr>
          <w:left w:val="single" w:color="2E74B5" w:sz="12" w:space="8"/>
        </w:pBdr>
        <w:spacing w:before="20" w:after="100"/>
        <w:ind w:left="360"/>
      </w:pPr>
      <w:r>
        <w:rPr>
          <w:rFonts w:ascii="Arial" w:cs="Arial" w:eastAsia="Arial" w:hAnsi="Arial"/>
          <w:color w:val="333333"/>
          <w:sz w:val="20"/>
          <w:szCs w:val="20"/>
        </w:rPr>
        <w:t xml:space="preserve">Prior polygon encoding methods treat each polygon independently and miss inter-polygon spatial relationships in multipolygon scenes. PolygonGNN constructs a heterogeneous visibility graph that connects boundary vertices both within each polygon and across different polygons through geometric visibility lines. A spanning tree sampling step controls graph density and reduces redundant edges while preserving key spatial relationships. The vertex features use rotation-translation invariant representations, making embeddings robust to coordinate system variations. Experiments across five real-world and synthetic datasets show state-of-the-art performance on shape coding and building pattern classification tasks. The visibility edge computation becomes a bottleneck for very large or highly concave polygons, which is noted as a limitation.</w:t>
      </w:r>
    </w:p>
    <w:p>
      <w:pPr>
        <w:spacing w:before="180" w:after="30"/>
      </w:pPr>
      <w:r>
        <w:rPr>
          <w:rFonts w:ascii="Arial" w:cs="Arial" w:eastAsia="Arial" w:hAnsi="Arial"/>
          <w:b/>
          <w:bCs/>
          <w:color w:val="1F3864"/>
          <w:sz w:val="22"/>
          <w:szCs w:val="22"/>
        </w:rPr>
        <w:t xml:space="preserve">[C4]</w:t>
      </w:r>
      <w:r>
        <w:t xml:space="preserve">  </w:t>
      </w:r>
      <w:r>
        <w:rPr>
          <w:rFonts w:ascii="Arial" w:cs="Arial" w:eastAsia="Arial" w:hAnsi="Arial"/>
          <w:b/>
          <w:bCs/>
          <w:color w:val="375623"/>
          <w:sz w:val="20"/>
          <w:szCs w:val="20"/>
        </w:rPr>
        <w:t xml:space="preserve">[Secondary]</w:t>
      </w:r>
      <w:r>
        <w:rPr>
          <w:rFonts w:ascii="Arial" w:cs="Arial" w:eastAsia="Arial" w:hAnsi="Arial"/>
          <w:sz w:val="20"/>
          <w:szCs w:val="20"/>
        </w:rPr>
        <w:t xml:space="preserve">  Ahn, S. J., et al. (2021). Variational graph normalized autoencoders. CIKM 2021, pp. 2827–2831.</w:t>
      </w:r>
    </w:p>
    <w:p>
      <w:pPr>
        <w:spacing w:before="0" w:after="20"/>
      </w:pPr>
      <w:r>
        <w:rPr>
          <w:rFonts w:ascii="Arial" w:cs="Arial" w:eastAsia="Arial" w:hAnsi="Arial"/>
          <w:b/>
          <w:bCs/>
          <w:sz w:val="19"/>
          <w:szCs w:val="19"/>
        </w:rPr>
        <w:t xml:space="preserve">URL: </w:t>
      </w:r>
      <w:hyperlink w:history="1" r:id="rIdnzbt-v7nosi6bxqomrerz">
        <w:r>
          <w:rPr>
            <w:rFonts w:ascii="Arial" w:cs="Arial" w:eastAsia="Arial" w:hAnsi="Arial"/>
            <w:color w:val="1155CC"/>
            <w:sz w:val="19"/>
            <w:szCs w:val="19"/>
            <w:u w:val="single"/>
          </w:rPr>
          <w:t xml:space="preserve">https://dl.acm.org/doi/10.1145/3459637.3482215</w:t>
        </w:r>
      </w:hyperlink>
    </w:p>
    <w:p>
      <w:pPr>
        <w:pBdr>
          <w:left w:val="single" w:color="2E74B5" w:sz="12" w:space="8"/>
        </w:pBdr>
        <w:spacing w:before="20" w:after="100"/>
        <w:ind w:left="360"/>
      </w:pPr>
      <w:r>
        <w:rPr>
          <w:rFonts w:ascii="Arial" w:cs="Arial" w:eastAsia="Arial" w:hAnsi="Arial"/>
          <w:color w:val="333333"/>
          <w:sz w:val="20"/>
          <w:szCs w:val="20"/>
        </w:rPr>
        <w:t xml:space="preserve">Standard VGAE embeddings suffer from degree bias: high-degree nodes with many neighbors tend to dominate the latent space, while low-degree or isolated nodes receive compressed, less informative representations. This paper resolves the issue by applying L2-normalization to all node embeddings, projecting them onto a unit hypersphere. The normalized embeddings are more uniformly distributed, which leads to improved performance on link prediction and clustering benchmarks. For spatial polygon graphs, where boundary vertices at sharp corners or concavities may have very different connectivity compared to smooth boundary sections, this normalization promotes more consistent per-vertex shape code quality.</w:t>
      </w:r>
    </w:p>
    <w:p>
      <w:pPr>
        <w:spacing w:before="180" w:after="30"/>
      </w:pPr>
      <w:r>
        <w:rPr>
          <w:rFonts w:ascii="Arial" w:cs="Arial" w:eastAsia="Arial" w:hAnsi="Arial"/>
          <w:b/>
          <w:bCs/>
          <w:color w:val="1F3864"/>
          <w:sz w:val="22"/>
          <w:szCs w:val="22"/>
        </w:rPr>
        <w:t xml:space="preserve">[C2]</w:t>
      </w:r>
      <w:r>
        <w:t xml:space="preserve">  </w:t>
      </w:r>
      <w:r>
        <w:rPr>
          <w:rFonts w:ascii="Arial" w:cs="Arial" w:eastAsia="Arial" w:hAnsi="Arial"/>
          <w:b/>
          <w:bCs/>
          <w:color w:val="375623"/>
          <w:sz w:val="20"/>
          <w:szCs w:val="20"/>
        </w:rPr>
        <w:t xml:space="preserve">[Secondary]</w:t>
      </w:r>
      <w:r>
        <w:rPr>
          <w:rFonts w:ascii="Arial" w:cs="Arial" w:eastAsia="Arial" w:hAnsi="Arial"/>
          <w:sz w:val="20"/>
          <w:szCs w:val="20"/>
        </w:rPr>
        <w:t xml:space="preserve">  Litany, O., Bronstein, A., Bronstein, M., &amp; Makadia, A. (2018). Deformable shape completion with graph convolutional autoencoders. CVPR 2018, pp. 1886–1895.</w:t>
      </w:r>
    </w:p>
    <w:p>
      <w:pPr>
        <w:spacing w:before="0" w:after="20"/>
      </w:pPr>
      <w:r>
        <w:rPr>
          <w:rFonts w:ascii="Arial" w:cs="Arial" w:eastAsia="Arial" w:hAnsi="Arial"/>
          <w:b/>
          <w:bCs/>
          <w:sz w:val="19"/>
          <w:szCs w:val="19"/>
        </w:rPr>
        <w:t xml:space="preserve">URL: </w:t>
      </w:r>
      <w:hyperlink w:history="1" r:id="rIdldvjinjm6x-ikiggog2ct">
        <w:r>
          <w:rPr>
            <w:rFonts w:ascii="Arial" w:cs="Arial" w:eastAsia="Arial" w:hAnsi="Arial"/>
            <w:color w:val="1155CC"/>
            <w:sz w:val="19"/>
            <w:szCs w:val="19"/>
            <w:u w:val="single"/>
          </w:rPr>
          <w:t xml:space="preserve">https://arxiv.org/abs/1712.00268</w:t>
        </w:r>
      </w:hyperlink>
    </w:p>
    <w:p>
      <w:pPr>
        <w:pBdr>
          <w:left w:val="single" w:color="2E74B5" w:sz="12" w:space="8"/>
        </w:pBdr>
        <w:spacing w:before="20" w:after="100"/>
        <w:ind w:left="360"/>
      </w:pPr>
      <w:r>
        <w:rPr>
          <w:rFonts w:ascii="Arial" w:cs="Arial" w:eastAsia="Arial" w:hAnsi="Arial"/>
          <w:color w:val="333333"/>
          <w:sz w:val="20"/>
          <w:szCs w:val="20"/>
        </w:rPr>
        <w:t xml:space="preserve">This paper demonstrates that GCAE latent spaces can encode sufficient structural information to generate complete shapes from partial or occluded 3D mesh inputs. A probabilistic GCN encoder maps partial geometry to a distribution over plausible completions, and a GCN decoder generates the full mesh. While the application domain is 3D surface meshes rather than 2D polygon boundaries, the core finding — that GCAE latent codes support generative reconstruction of missing geometric structure — has direct implications for 2D spatial use cases such as completing partially digitized building polygons or reconstructing missing boundary segments.</w:t>
      </w:r>
    </w:p>
    <w:p>
      <w:pPr>
        <w:spacing w:before="200" w:after="80"/>
      </w:pPr>
      <w:r>
        <w:rPr>
          <w:rFonts w:ascii="Arial" w:cs="Arial" w:eastAsia="Arial" w:hAnsi="Arial"/>
          <w:b/>
          <w:bCs/>
          <w:color w:val="2E74B5"/>
          <w:sz w:val="24"/>
          <w:szCs w:val="24"/>
        </w:rPr>
        <w:t xml:space="preserve">Class 2 — Foundational Neural Network Architectures</w:t>
      </w:r>
    </w:p>
    <w:p>
      <w:pPr>
        <w:spacing w:before="180" w:after="30"/>
      </w:pPr>
      <w:r>
        <w:rPr>
          <w:rFonts w:ascii="Arial" w:cs="Arial" w:eastAsia="Arial" w:hAnsi="Arial"/>
          <w:b/>
          <w:bCs/>
          <w:color w:val="1F3864"/>
          <w:sz w:val="22"/>
          <w:szCs w:val="22"/>
        </w:rPr>
        <w:t xml:space="preserve">[F1]</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Kipf, T. N., &amp; Welling, M. (2017). Semi-supervised classification with graph convolutional networks. ICLR 2017.</w:t>
      </w:r>
    </w:p>
    <w:p>
      <w:pPr>
        <w:spacing w:before="0" w:after="20"/>
      </w:pPr>
      <w:r>
        <w:rPr>
          <w:rFonts w:ascii="Arial" w:cs="Arial" w:eastAsia="Arial" w:hAnsi="Arial"/>
          <w:b/>
          <w:bCs/>
          <w:sz w:val="19"/>
          <w:szCs w:val="19"/>
        </w:rPr>
        <w:t xml:space="preserve">URL: </w:t>
      </w:r>
      <w:hyperlink w:history="1" r:id="rIdl-4w4lg85yl300dyy4-ib">
        <w:r>
          <w:rPr>
            <w:rFonts w:ascii="Arial" w:cs="Arial" w:eastAsia="Arial" w:hAnsi="Arial"/>
            <w:color w:val="1155CC"/>
            <w:sz w:val="19"/>
            <w:szCs w:val="19"/>
            <w:u w:val="single"/>
          </w:rPr>
          <w:t xml:space="preserve">https://arxiv.org/abs/1609.02907</w:t>
        </w:r>
      </w:hyperlink>
    </w:p>
    <w:p>
      <w:pPr>
        <w:pBdr>
          <w:left w:val="single" w:color="2E74B5" w:sz="12" w:space="8"/>
        </w:pBdr>
        <w:spacing w:before="20" w:after="100"/>
        <w:ind w:left="360"/>
      </w:pPr>
      <w:r>
        <w:rPr>
          <w:rFonts w:ascii="Arial" w:cs="Arial" w:eastAsia="Arial" w:hAnsi="Arial"/>
          <w:color w:val="333333"/>
          <w:sz w:val="20"/>
          <w:szCs w:val="20"/>
        </w:rPr>
        <w:t xml:space="preserve">This paper establishes the GCN propagation rule used in virtually all subsequent graph-based spatial methods. Each GCN layer aggregates features from direct graph neighbors using a symmetrically normalized adjacency matrix with added self-connections, then applies a learnable weight matrix and nonlinear activation. The operation is equivalent to a localized first-order spectral convolution, and the full model scales linearly with the number of edges. For spatial polygon graphs, stacking two or three GCN layers allows each vertex to integrate geometric context from vertices two or three hops away along the boundary, capturing both local curvature and broader shape segments. The well-known over-smoothing phenomenon — where adding more layers blurs out vertex-level distinctions — constrains practical GCAE encoder depth.</w:t>
      </w:r>
    </w:p>
    <w:p>
      <w:pPr>
        <w:spacing w:before="180" w:after="30"/>
      </w:pPr>
      <w:r>
        <w:rPr>
          <w:rFonts w:ascii="Arial" w:cs="Arial" w:eastAsia="Arial" w:hAnsi="Arial"/>
          <w:b/>
          <w:bCs/>
          <w:color w:val="1F3864"/>
          <w:sz w:val="22"/>
          <w:szCs w:val="22"/>
        </w:rPr>
        <w:t xml:space="preserve">[F3]</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Kingma, D. P., &amp; Welling, M. (2014). Auto-encoding variational Bayes. ICLR 2014.</w:t>
      </w:r>
    </w:p>
    <w:p>
      <w:pPr>
        <w:spacing w:before="0" w:after="20"/>
      </w:pPr>
      <w:r>
        <w:rPr>
          <w:rFonts w:ascii="Arial" w:cs="Arial" w:eastAsia="Arial" w:hAnsi="Arial"/>
          <w:b/>
          <w:bCs/>
          <w:sz w:val="19"/>
          <w:szCs w:val="19"/>
        </w:rPr>
        <w:t xml:space="preserve">URL: </w:t>
      </w:r>
      <w:hyperlink w:history="1" r:id="rIdhmr6zrw1tfdoih11jftpq">
        <w:r>
          <w:rPr>
            <w:rFonts w:ascii="Arial" w:cs="Arial" w:eastAsia="Arial" w:hAnsi="Arial"/>
            <w:color w:val="1155CC"/>
            <w:sz w:val="19"/>
            <w:szCs w:val="19"/>
            <w:u w:val="single"/>
          </w:rPr>
          <w:t xml:space="preserve">https://arxiv.org/abs/1312.6114</w:t>
        </w:r>
      </w:hyperlink>
    </w:p>
    <w:p>
      <w:pPr>
        <w:pBdr>
          <w:left w:val="single" w:color="2E74B5" w:sz="12" w:space="8"/>
        </w:pBdr>
        <w:spacing w:before="20" w:after="100"/>
        <w:ind w:left="360"/>
      </w:pPr>
      <w:r>
        <w:rPr>
          <w:rFonts w:ascii="Arial" w:cs="Arial" w:eastAsia="Arial" w:hAnsi="Arial"/>
          <w:color w:val="333333"/>
          <w:sz w:val="20"/>
          <w:szCs w:val="20"/>
        </w:rPr>
        <w:t xml:space="preserve">The VAE formulates unsupervised representation learning as a variational inference problem: the encoder outputs the parameters of a Gaussian distribution over latent codes, and the reparameterization trick makes this sampling step differentiable so gradients can flow through it during training. The resulting latent space has two desirable properties for shape analysis: continuity (small perturbations in latent space decode to similar shapes) and coverage (the prior regularization encourages well-populated, non-degenerate latent regions). These properties make VAE-derived codes well-suited for downstream similarity search, where inter-code distances should reliably reflect geometric similarity between the corresponding polygon shapes.</w:t>
      </w:r>
    </w:p>
    <w:p>
      <w:pPr>
        <w:spacing w:before="200" w:after="80"/>
      </w:pPr>
      <w:r>
        <w:rPr>
          <w:rFonts w:ascii="Arial" w:cs="Arial" w:eastAsia="Arial" w:hAnsi="Arial"/>
          <w:b/>
          <w:bCs/>
          <w:color w:val="2E74B5"/>
          <w:sz w:val="24"/>
          <w:szCs w:val="24"/>
        </w:rPr>
        <w:t xml:space="preserve">Class 3 — Alternative ML Architectures for Spatial Shape</w:t>
      </w:r>
    </w:p>
    <w:p>
      <w:pPr>
        <w:spacing w:before="180" w:after="30"/>
      </w:pPr>
      <w:r>
        <w:rPr>
          <w:rFonts w:ascii="Arial" w:cs="Arial" w:eastAsia="Arial" w:hAnsi="Arial"/>
          <w:b/>
          <w:bCs/>
          <w:color w:val="1F3864"/>
          <w:sz w:val="22"/>
          <w:szCs w:val="22"/>
        </w:rPr>
        <w:t xml:space="preserve">[J1]</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Huang, Z., Khoshelham, K., &amp; Tomko, M. (2022). A comparative study of deep learning approaches to shape encoding of planar geospatial objects. ISPRS IJGI, 11(10), 527.</w:t>
      </w:r>
    </w:p>
    <w:p>
      <w:pPr>
        <w:spacing w:before="0" w:after="20"/>
      </w:pPr>
      <w:r>
        <w:rPr>
          <w:rFonts w:ascii="Arial" w:cs="Arial" w:eastAsia="Arial" w:hAnsi="Arial"/>
          <w:b/>
          <w:bCs/>
          <w:sz w:val="19"/>
          <w:szCs w:val="19"/>
        </w:rPr>
        <w:t xml:space="preserve">URL: </w:t>
      </w:r>
      <w:hyperlink w:history="1" r:id="rIdnwuogno9llsiv7_bmfxd8">
        <w:r>
          <w:rPr>
            <w:rFonts w:ascii="Arial" w:cs="Arial" w:eastAsia="Arial" w:hAnsi="Arial"/>
            <w:color w:val="1155CC"/>
            <w:sz w:val="19"/>
            <w:szCs w:val="19"/>
            <w:u w:val="single"/>
          </w:rPr>
          <w:t xml:space="preserve">https://www.mdpi.com/2220-9964/11/10/527</w:t>
        </w:r>
      </w:hyperlink>
    </w:p>
    <w:p>
      <w:pPr>
        <w:pBdr>
          <w:left w:val="single" w:color="2E74B5" w:sz="12" w:space="8"/>
        </w:pBdr>
        <w:spacing w:before="20" w:after="100"/>
        <w:ind w:left="360"/>
      </w:pPr>
      <w:r>
        <w:rPr>
          <w:rFonts w:ascii="Arial" w:cs="Arial" w:eastAsia="Arial" w:hAnsi="Arial"/>
          <w:color w:val="333333"/>
          <w:sz w:val="20"/>
          <w:szCs w:val="20"/>
        </w:rPr>
        <w:t xml:space="preserve">This is the primary benchmark reference for understanding comparative performance of different ML architectures on geospatial shape encoding. CNN-based encoders operate on rasterized polygon images, which introduces resolution loss and makes fine boundary details architecture-dependent. RNN-based encoders treat the ordered vertex sequence as a time series, which is sensitive to the starting vertex and traversal direction. GCN-based encoders represent the polygon as a graph and aggregate multi-hop neighbor features, producing the most geometrically faithful embeddings in shape retrieval experiments using cosine similarity. The study evaluates all methods on the same building footprint datasets, making comparisons fair. A gap in the study is that only deterministic encoders are tested, leaving variational counterparts of each architecture uncompared.</w:t>
      </w:r>
    </w:p>
    <w:p>
      <w:pPr>
        <w:spacing w:before="180" w:after="30"/>
      </w:pPr>
      <w:r>
        <w:rPr>
          <w:rFonts w:ascii="Arial" w:cs="Arial" w:eastAsia="Arial" w:hAnsi="Arial"/>
          <w:b/>
          <w:bCs/>
          <w:color w:val="1F3864"/>
          <w:sz w:val="22"/>
          <w:szCs w:val="22"/>
        </w:rPr>
        <w:t xml:space="preserve">[J2]</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Knura, M. (2024). Learning from vector data: Enhancing vector-based shape encoding for map generalization. CaGIS, 51(1), 146–167.</w:t>
      </w:r>
    </w:p>
    <w:p>
      <w:pPr>
        <w:spacing w:before="0" w:after="20"/>
      </w:pPr>
      <w:r>
        <w:rPr>
          <w:rFonts w:ascii="Arial" w:cs="Arial" w:eastAsia="Arial" w:hAnsi="Arial"/>
          <w:b/>
          <w:bCs/>
          <w:sz w:val="19"/>
          <w:szCs w:val="19"/>
        </w:rPr>
        <w:t xml:space="preserve">URL: </w:t>
      </w:r>
      <w:hyperlink w:history="1" r:id="rIdqt_irsx8myojc6yxbncha">
        <w:r>
          <w:rPr>
            <w:rFonts w:ascii="Arial" w:cs="Arial" w:eastAsia="Arial" w:hAnsi="Arial"/>
            <w:color w:val="1155CC"/>
            <w:sz w:val="19"/>
            <w:szCs w:val="19"/>
            <w:u w:val="single"/>
          </w:rPr>
          <w:t xml:space="preserve">https://doi.org/10.1080/15230406.2023.2273397</w:t>
        </w:r>
      </w:hyperlink>
    </w:p>
    <w:p>
      <w:pPr>
        <w:pBdr>
          <w:left w:val="single" w:color="2E74B5" w:sz="12" w:space="8"/>
        </w:pBdr>
        <w:spacing w:before="20" w:after="100"/>
        <w:ind w:left="360"/>
      </w:pPr>
      <w:r>
        <w:rPr>
          <w:rFonts w:ascii="Arial" w:cs="Arial" w:eastAsia="Arial" w:hAnsi="Arial"/>
          <w:color w:val="333333"/>
          <w:sz w:val="20"/>
          <w:szCs w:val="20"/>
        </w:rPr>
        <w:t xml:space="preserve">This paper investigates how the preparation and representation of polygon vertex data before model training affects shape encoding and classification quality. Key variables studied include the vertex sampling strategy (uniform spacing vs. curvature-proportional), normalization of coordinate ranges, and the construction of per-vertex features such as local curvature, edge length ratios, and interior angles. The study demonstrates that thoughtful preprocessing can be as impactful as model architecture improvements, and proposes a standardized preprocessing pipeline for building polygon data. The contribution is practically important because it provides a reproducible input preparation framework that can be combined with any downstream encoder, including GCAEs.</w:t>
      </w:r>
    </w:p>
    <w:p>
      <w:pPr>
        <w:spacing w:before="180" w:after="30"/>
      </w:pPr>
      <w:r>
        <w:rPr>
          <w:rFonts w:ascii="Arial" w:cs="Arial" w:eastAsia="Arial" w:hAnsi="Arial"/>
          <w:b/>
          <w:bCs/>
          <w:color w:val="1F3864"/>
          <w:sz w:val="22"/>
          <w:szCs w:val="22"/>
        </w:rPr>
        <w:t xml:space="preserve">[J3]</w:t>
      </w:r>
      <w:r>
        <w:t xml:space="preserve">  </w:t>
      </w:r>
      <w:r>
        <w:rPr>
          <w:rFonts w:ascii="Arial" w:cs="Arial" w:eastAsia="Arial" w:hAnsi="Arial"/>
          <w:b/>
          <w:bCs/>
          <w:color w:val="375623"/>
          <w:sz w:val="20"/>
          <w:szCs w:val="20"/>
        </w:rPr>
        <w:t xml:space="preserve">[Secondary]</w:t>
      </w:r>
      <w:r>
        <w:rPr>
          <w:rFonts w:ascii="Arial" w:cs="Arial" w:eastAsia="Arial" w:hAnsi="Arial"/>
          <w:sz w:val="20"/>
          <w:szCs w:val="20"/>
        </w:rPr>
        <w:t xml:space="preserve">  Siampou, M. D., et al. (2024). Poly2Vec: Polymorphic encoding of geospatial objects for spatial reasoning. arXiv:2408.14806.</w:t>
      </w:r>
    </w:p>
    <w:p>
      <w:pPr>
        <w:spacing w:before="0" w:after="20"/>
      </w:pPr>
      <w:r>
        <w:rPr>
          <w:rFonts w:ascii="Arial" w:cs="Arial" w:eastAsia="Arial" w:hAnsi="Arial"/>
          <w:b/>
          <w:bCs/>
          <w:sz w:val="19"/>
          <w:szCs w:val="19"/>
        </w:rPr>
        <w:t xml:space="preserve">URL: </w:t>
      </w:r>
      <w:hyperlink w:history="1" r:id="rIdv6gcnc2ax5ci1_-adnba8">
        <w:r>
          <w:rPr>
            <w:rFonts w:ascii="Arial" w:cs="Arial" w:eastAsia="Arial" w:hAnsi="Arial"/>
            <w:color w:val="1155CC"/>
            <w:sz w:val="19"/>
            <w:szCs w:val="19"/>
            <w:u w:val="single"/>
          </w:rPr>
          <w:t xml:space="preserve">https://arxiv.org/abs/2408.14806</w:t>
        </w:r>
      </w:hyperlink>
    </w:p>
    <w:p>
      <w:pPr>
        <w:pBdr>
          <w:left w:val="single" w:color="2E74B5" w:sz="12" w:space="8"/>
        </w:pBdr>
        <w:spacing w:before="20" w:after="100"/>
        <w:ind w:left="360"/>
      </w:pPr>
      <w:r>
        <w:rPr>
          <w:rFonts w:ascii="Arial" w:cs="Arial" w:eastAsia="Arial" w:hAnsi="Arial"/>
          <w:color w:val="333333"/>
          <w:sz w:val="20"/>
          <w:szCs w:val="20"/>
        </w:rPr>
        <w:t xml:space="preserve">Poly2Vec addresses the practical challenge that real GIS datasets contain mixed geometry types — points, polylines, and polygons — that need to be jointly queried or compared. A transformer-based architecture accepts any geometry as a sequence of coordinate pairs, using multi-head self-attention to capture dependencies between non-adjacent vertices across the full sequence length. The model is trained with a contrastive objective to place geometrically similar objects closer together in the shared embedding space. Cross-type similarity comparisons become possible, enabling mixed-geometry retrieval queries. The limitation is higher memory and compute cost compared to GCN encoders, particularly for polygons with many vertices.</w:t>
      </w:r>
    </w:p>
    <w:p>
      <w:pPr>
        <w:spacing w:before="180" w:after="30"/>
      </w:pPr>
      <w:r>
        <w:rPr>
          <w:rFonts w:ascii="Arial" w:cs="Arial" w:eastAsia="Arial" w:hAnsi="Arial"/>
          <w:b/>
          <w:bCs/>
          <w:color w:val="1F3864"/>
          <w:sz w:val="22"/>
          <w:szCs w:val="22"/>
        </w:rPr>
        <w:t xml:space="preserve">[A1]</w:t>
      </w:r>
      <w:r>
        <w:t xml:space="preserve">  </w:t>
      </w:r>
      <w:r>
        <w:rPr>
          <w:rFonts w:ascii="Arial" w:cs="Arial" w:eastAsia="Arial" w:hAnsi="Arial"/>
          <w:b/>
          <w:bCs/>
          <w:color w:val="375623"/>
          <w:sz w:val="20"/>
          <w:szCs w:val="20"/>
        </w:rPr>
        <w:t xml:space="preserve">[Secondary]</w:t>
      </w:r>
      <w:r>
        <w:rPr>
          <w:rFonts w:ascii="Arial" w:cs="Arial" w:eastAsia="Arial" w:hAnsi="Arial"/>
          <w:sz w:val="20"/>
          <w:szCs w:val="20"/>
        </w:rPr>
        <w:t xml:space="preserve">  Zhang, H., et al. (2025). PSRT: A transformer-based approach for efficient geometric feature extraction from vector shape data. Applied Sciences, 15, 2383.</w:t>
      </w:r>
    </w:p>
    <w:p>
      <w:pPr>
        <w:spacing w:before="0" w:after="20"/>
      </w:pPr>
      <w:r>
        <w:rPr>
          <w:rFonts w:ascii="Arial" w:cs="Arial" w:eastAsia="Arial" w:hAnsi="Arial"/>
          <w:b/>
          <w:bCs/>
          <w:sz w:val="19"/>
          <w:szCs w:val="19"/>
        </w:rPr>
        <w:t xml:space="preserve">URL: </w:t>
      </w:r>
      <w:hyperlink w:history="1" r:id="rIdsul3zrr1vjhmku8rbpvdx">
        <w:r>
          <w:rPr>
            <w:rFonts w:ascii="Arial" w:cs="Arial" w:eastAsia="Arial" w:hAnsi="Arial"/>
            <w:color w:val="1155CC"/>
            <w:sz w:val="19"/>
            <w:szCs w:val="19"/>
            <w:u w:val="single"/>
          </w:rPr>
          <w:t xml:space="preserve">https://www.mdpi.com/2076-3417/15/5/2383</w:t>
        </w:r>
      </w:hyperlink>
    </w:p>
    <w:p>
      <w:pPr>
        <w:pBdr>
          <w:left w:val="single" w:color="2E74B5" w:sz="12" w:space="8"/>
        </w:pBdr>
        <w:spacing w:before="20" w:after="100"/>
        <w:ind w:left="360"/>
      </w:pPr>
      <w:r>
        <w:rPr>
          <w:rFonts w:ascii="Arial" w:cs="Arial" w:eastAsia="Arial" w:hAnsi="Arial"/>
          <w:color w:val="333333"/>
          <w:sz w:val="20"/>
          <w:szCs w:val="20"/>
        </w:rPr>
        <w:t xml:space="preserve">PSRT applies transformer self-attention directly to the sequence of polygon boundary vertices, treating each vertex as a token. The positional encoding is adapted for cyclic boundary sequences, avoiding the artifacts that arise when standard linear positional encodings are applied to closed polygons. Multi-head attention allows each vertex to directly attend to any other vertex on the boundary, capturing long-range geometric dependencies that GCN message passing requires many layers to propagate. Experiments on building shape classification benchmarks show competitive accuracy compared to GCN methods, and the model avoids the graph construction step, simplifying the data pipeline.</w:t>
      </w:r>
    </w:p>
    <w:p>
      <w:pPr>
        <w:spacing w:before="180" w:after="30"/>
      </w:pPr>
      <w:r>
        <w:rPr>
          <w:rFonts w:ascii="Arial" w:cs="Arial" w:eastAsia="Arial" w:hAnsi="Arial"/>
          <w:b/>
          <w:bCs/>
          <w:color w:val="1F3864"/>
          <w:sz w:val="22"/>
          <w:szCs w:val="22"/>
        </w:rPr>
        <w:t xml:space="preserve">[A2]</w:t>
      </w:r>
      <w:r>
        <w:t xml:space="preserve">  </w:t>
      </w:r>
      <w:r>
        <w:rPr>
          <w:rFonts w:ascii="Arial" w:cs="Arial" w:eastAsia="Arial" w:hAnsi="Arial"/>
          <w:b/>
          <w:bCs/>
          <w:color w:val="375623"/>
          <w:sz w:val="20"/>
          <w:szCs w:val="20"/>
        </w:rPr>
        <w:t xml:space="preserve">[Secondary]</w:t>
      </w:r>
      <w:r>
        <w:rPr>
          <w:rFonts w:ascii="Arial" w:cs="Arial" w:eastAsia="Arial" w:hAnsi="Arial"/>
          <w:sz w:val="20"/>
          <w:szCs w:val="20"/>
        </w:rPr>
        <w:t xml:space="preserve">  Zhan, W., &amp; Datta, A. (2024). Neural networks for geospatial data (NN-GLS). JASA, 120(549), 535–547.</w:t>
      </w:r>
    </w:p>
    <w:p>
      <w:pPr>
        <w:spacing w:before="0" w:after="20"/>
      </w:pPr>
      <w:r>
        <w:rPr>
          <w:rFonts w:ascii="Arial" w:cs="Arial" w:eastAsia="Arial" w:hAnsi="Arial"/>
          <w:b/>
          <w:bCs/>
          <w:sz w:val="19"/>
          <w:szCs w:val="19"/>
        </w:rPr>
        <w:t xml:space="preserve">URL: </w:t>
      </w:r>
      <w:hyperlink w:history="1" r:id="rIdf-jzx3oq3o0otoxuz8or1">
        <w:r>
          <w:rPr>
            <w:rFonts w:ascii="Arial" w:cs="Arial" w:eastAsia="Arial" w:hAnsi="Arial"/>
            <w:color w:val="1155CC"/>
            <w:sz w:val="19"/>
            <w:szCs w:val="19"/>
            <w:u w:val="single"/>
          </w:rPr>
          <w:t xml:space="preserve">https://arxiv.org/abs/2304.09157</w:t>
        </w:r>
      </w:hyperlink>
    </w:p>
    <w:p>
      <w:pPr>
        <w:pBdr>
          <w:left w:val="single" w:color="2E74B5" w:sz="12" w:space="8"/>
        </w:pBdr>
        <w:spacing w:before="20" w:after="100"/>
        <w:ind w:left="360"/>
      </w:pPr>
      <w:r>
        <w:rPr>
          <w:rFonts w:ascii="Arial" w:cs="Arial" w:eastAsia="Arial" w:hAnsi="Arial"/>
          <w:color w:val="333333"/>
          <w:sz w:val="20"/>
          <w:szCs w:val="20"/>
        </w:rPr>
        <w:t xml:space="preserve">NN-GLS identifies that standard neural network training ignores spatial autocorrelation — the tendency for geographically nearby observations to share similar characteristics. The method incorporates spatial dependence directly into the training loss using a generalized least squares (GLS) formulation, which effectively reweights training samples based on their spatial neighborhood structure. The approach is architecture-agnostic and can wrap around any base model including MLP, CNN, or GNN. For spatial shape datasets in urban areas where adjacent buildings often share architectural styles, incorporating spatial autocorrelation into training could improve embedding quality beyond what geometry-only inputs provide.</w:t>
      </w:r>
    </w:p>
    <w:p>
      <w:pPr>
        <w:spacing w:before="180" w:after="30"/>
      </w:pPr>
      <w:r>
        <w:rPr>
          <w:rFonts w:ascii="Arial" w:cs="Arial" w:eastAsia="Arial" w:hAnsi="Arial"/>
          <w:b/>
          <w:bCs/>
          <w:color w:val="1F3864"/>
          <w:sz w:val="22"/>
          <w:szCs w:val="22"/>
        </w:rPr>
        <w:t xml:space="preserve">[C7]</w:t>
      </w:r>
      <w:r>
        <w:t xml:space="preserve">  </w:t>
      </w:r>
      <w:r>
        <w:rPr>
          <w:rFonts w:ascii="Arial" w:cs="Arial" w:eastAsia="Arial" w:hAnsi="Arial"/>
          <w:b/>
          <w:bCs/>
          <w:color w:val="375623"/>
          <w:sz w:val="20"/>
          <w:szCs w:val="20"/>
        </w:rPr>
        <w:t xml:space="preserve">[Secondary]</w:t>
      </w:r>
      <w:r>
        <w:rPr>
          <w:rFonts w:ascii="Arial" w:cs="Arial" w:eastAsia="Arial" w:hAnsi="Arial"/>
          <w:sz w:val="20"/>
          <w:szCs w:val="20"/>
        </w:rPr>
        <w:t xml:space="preserve">  Feng, Y., Thiemann, F., &amp; Sester, M. (2019). Learning cartographic building generalization with deep convolutional neural networks. ISPRS IJGI, 8(6), 258.</w:t>
      </w:r>
    </w:p>
    <w:p>
      <w:pPr>
        <w:spacing w:before="0" w:after="20"/>
      </w:pPr>
      <w:r>
        <w:rPr>
          <w:rFonts w:ascii="Arial" w:cs="Arial" w:eastAsia="Arial" w:hAnsi="Arial"/>
          <w:b/>
          <w:bCs/>
          <w:sz w:val="19"/>
          <w:szCs w:val="19"/>
        </w:rPr>
        <w:t xml:space="preserve">URL: </w:t>
      </w:r>
      <w:hyperlink w:history="1" r:id="rIdaf_qyzqc1zi3qvl0cp2gg">
        <w:r>
          <w:rPr>
            <w:rFonts w:ascii="Arial" w:cs="Arial" w:eastAsia="Arial" w:hAnsi="Arial"/>
            <w:color w:val="1155CC"/>
            <w:sz w:val="19"/>
            <w:szCs w:val="19"/>
            <w:u w:val="single"/>
          </w:rPr>
          <w:t xml:space="preserve">https://doi.org/10.3390/ijgi8060258</w:t>
        </w:r>
      </w:hyperlink>
    </w:p>
    <w:p>
      <w:pPr>
        <w:pBdr>
          <w:left w:val="single" w:color="2E74B5" w:sz="12" w:space="8"/>
        </w:pBdr>
        <w:spacing w:before="20" w:after="100"/>
        <w:ind w:left="360"/>
      </w:pPr>
      <w:r>
        <w:rPr>
          <w:rFonts w:ascii="Arial" w:cs="Arial" w:eastAsia="Arial" w:hAnsi="Arial"/>
          <w:color w:val="333333"/>
          <w:sz w:val="20"/>
          <w:szCs w:val="20"/>
        </w:rPr>
        <w:t xml:space="preserve">This is a baseline reference for CNN-based building generalization. Polygon boundaries are rasterized into binary images and fed into a U-Net encoder-decoder network that learns to map complex building outlines to simplified versions at target map scales. The model trains on matched pairs of original and generalized polygons, learning the simplification transformation in image space. Subsequent literature has noted that this approach struggles to preserve right-angle constraints common in rectilinear buildings, and rasterization resolution limits the accuracy of the reconstructed vector boundaries. This limitation motivates the shift to vector-native graph and sequence-based encoding approaches.</w:t>
      </w:r>
    </w:p>
    <w:p>
      <w:pPr>
        <w:spacing w:before="180" w:after="30"/>
      </w:pPr>
      <w:r>
        <w:rPr>
          <w:rFonts w:ascii="Arial" w:cs="Arial" w:eastAsia="Arial" w:hAnsi="Arial"/>
          <w:b/>
          <w:bCs/>
          <w:color w:val="1F3864"/>
          <w:sz w:val="22"/>
          <w:szCs w:val="22"/>
        </w:rPr>
        <w:t xml:space="preserve">[C9]</w:t>
      </w:r>
      <w:r>
        <w:t xml:space="preserve">  </w:t>
      </w:r>
      <w:r>
        <w:rPr>
          <w:rFonts w:ascii="Arial" w:cs="Arial" w:eastAsia="Arial" w:hAnsi="Arial"/>
          <w:b/>
          <w:bCs/>
          <w:color w:val="375623"/>
          <w:sz w:val="20"/>
          <w:szCs w:val="20"/>
        </w:rPr>
        <w:t xml:space="preserve">[Secondary]</w:t>
      </w:r>
      <w:r>
        <w:rPr>
          <w:rFonts w:ascii="Arial" w:cs="Arial" w:eastAsia="Arial" w:hAnsi="Arial"/>
          <w:sz w:val="20"/>
          <w:szCs w:val="20"/>
        </w:rPr>
        <w:t xml:space="preserve">  Mai, G., et al. (2023). On the opportunities and challenges of foundation models for geospatial AI. arXiv:2304.04224.</w:t>
      </w:r>
    </w:p>
    <w:p>
      <w:pPr>
        <w:spacing w:before="0" w:after="20"/>
      </w:pPr>
      <w:r>
        <w:rPr>
          <w:rFonts w:ascii="Arial" w:cs="Arial" w:eastAsia="Arial" w:hAnsi="Arial"/>
          <w:b/>
          <w:bCs/>
          <w:sz w:val="19"/>
          <w:szCs w:val="19"/>
        </w:rPr>
        <w:t xml:space="preserve">URL: </w:t>
      </w:r>
      <w:hyperlink w:history="1" r:id="rIdejwuhshzjpwpt8xwwdjkj">
        <w:r>
          <w:rPr>
            <w:rFonts w:ascii="Arial" w:cs="Arial" w:eastAsia="Arial" w:hAnsi="Arial"/>
            <w:color w:val="1155CC"/>
            <w:sz w:val="19"/>
            <w:szCs w:val="19"/>
            <w:u w:val="single"/>
          </w:rPr>
          <w:t xml:space="preserve">https://arxiv.org/abs/2304.04224</w:t>
        </w:r>
      </w:hyperlink>
    </w:p>
    <w:p>
      <w:pPr>
        <w:pBdr>
          <w:left w:val="single" w:color="2E74B5" w:sz="12" w:space="8"/>
        </w:pBdr>
        <w:spacing w:before="20" w:after="100"/>
        <w:ind w:left="360"/>
      </w:pPr>
      <w:r>
        <w:rPr>
          <w:rFonts w:ascii="Arial" w:cs="Arial" w:eastAsia="Arial" w:hAnsi="Arial"/>
          <w:color w:val="333333"/>
          <w:sz w:val="20"/>
          <w:szCs w:val="20"/>
        </w:rPr>
        <w:t xml:space="preserve">This paper surveys whether the success of large pre-trained foundation models (transformers trained on massive text or image corpora) can be transferred to geospatial tasks. It identifies structural mismatches: geospatial data involves irregular geometries, multiple coordinate reference systems, and scale-dependent representations that standard tokenization schemes do not handle naturally. Proposed adaptations include geography-aware positional encodings and multi-resolution input representations. The paper provides context for understanding where transformer-based polygon encoders like Poly2Vec and PSRT fit within the trajectory of geospatial AI, and highlights open challenges in scaling foundation models to vector geometry data.</w:t>
      </w:r>
    </w:p>
    <w:p>
      <w:pPr>
        <w:spacing w:before="180" w:after="30"/>
      </w:pPr>
      <w:r>
        <w:rPr>
          <w:rFonts w:ascii="Arial" w:cs="Arial" w:eastAsia="Arial" w:hAnsi="Arial"/>
          <w:b/>
          <w:bCs/>
          <w:color w:val="1F3864"/>
          <w:sz w:val="22"/>
          <w:szCs w:val="22"/>
        </w:rPr>
        <w:t xml:space="preserve">[A3]</w:t>
      </w:r>
      <w:r>
        <w:t xml:space="preserve">  </w:t>
      </w:r>
      <w:r>
        <w:rPr>
          <w:rFonts w:ascii="Arial" w:cs="Arial" w:eastAsia="Arial" w:hAnsi="Arial"/>
          <w:b/>
          <w:bCs/>
          <w:color w:val="375623"/>
          <w:sz w:val="20"/>
          <w:szCs w:val="20"/>
        </w:rPr>
        <w:t xml:space="preserve">[Secondary]</w:t>
      </w:r>
      <w:r>
        <w:rPr>
          <w:rFonts w:ascii="Arial" w:cs="Arial" w:eastAsia="Arial" w:hAnsi="Arial"/>
          <w:sz w:val="20"/>
          <w:szCs w:val="20"/>
        </w:rPr>
        <w:t xml:space="preserve">  Liu, Y., et al. (2025). Representation learning for geospatial data. International Journal of Digital Earth.</w:t>
      </w:r>
    </w:p>
    <w:p>
      <w:pPr>
        <w:spacing w:before="0" w:after="20"/>
      </w:pPr>
      <w:r>
        <w:rPr>
          <w:rFonts w:ascii="Arial" w:cs="Arial" w:eastAsia="Arial" w:hAnsi="Arial"/>
          <w:b/>
          <w:bCs/>
          <w:sz w:val="19"/>
          <w:szCs w:val="19"/>
        </w:rPr>
        <w:t xml:space="preserve">URL: </w:t>
      </w:r>
      <w:hyperlink w:history="1" r:id="rIdeq9kdnx-_fa9-sdbvfszz">
        <w:r>
          <w:rPr>
            <w:rFonts w:ascii="Arial" w:cs="Arial" w:eastAsia="Arial" w:hAnsi="Arial"/>
            <w:color w:val="1155CC"/>
            <w:sz w:val="19"/>
            <w:szCs w:val="19"/>
            <w:u w:val="single"/>
          </w:rPr>
          <w:t xml:space="preserve">https://www.tandfonline.com/doi/full/10.1080/19475683.2025.2552157</w:t>
        </w:r>
      </w:hyperlink>
    </w:p>
    <w:p>
      <w:pPr>
        <w:pBdr>
          <w:left w:val="single" w:color="2E74B5" w:sz="12" w:space="8"/>
        </w:pBdr>
        <w:spacing w:before="20" w:after="100"/>
        <w:ind w:left="360"/>
      </w:pPr>
      <w:r>
        <w:rPr>
          <w:rFonts w:ascii="Arial" w:cs="Arial" w:eastAsia="Arial" w:hAnsi="Arial"/>
          <w:color w:val="333333"/>
          <w:sz w:val="20"/>
          <w:szCs w:val="20"/>
        </w:rPr>
        <w:t xml:space="preserve">This recent survey classifies representation learning methods for geospatial data across three dimensions: geometry type handled (point, polyline, polygon, raster), model family used (graph-based, sequence-based, attention-based, hybrid), and evaluation benchmarks available. It maps the current state of each approach and identifies data types where no dominant method yet exists. For this survey it provides a structured reference for situating GCAE-based polygon encoding within the full landscape of geospatial representation learning, making it easier to identify research gaps and position novel contributions.</w:t>
      </w:r>
    </w:p>
    <w:p>
      <w:pPr>
        <w:spacing w:before="200" w:after="80"/>
      </w:pPr>
      <w:r>
        <w:rPr>
          <w:rFonts w:ascii="Arial" w:cs="Arial" w:eastAsia="Arial" w:hAnsi="Arial"/>
          <w:b/>
          <w:bCs/>
          <w:color w:val="2E74B5"/>
          <w:sz w:val="24"/>
          <w:szCs w:val="24"/>
        </w:rPr>
        <w:t xml:space="preserve">Class 4 — Geospatial Entity Representation &amp; Similarity Search</w:t>
      </w:r>
    </w:p>
    <w:p>
      <w:pPr>
        <w:spacing w:before="180" w:after="30"/>
      </w:pPr>
      <w:r>
        <w:rPr>
          <w:rFonts w:ascii="Arial" w:cs="Arial" w:eastAsia="Arial" w:hAnsi="Arial"/>
          <w:b/>
          <w:bCs/>
          <w:color w:val="1F3864"/>
          <w:sz w:val="22"/>
          <w:szCs w:val="22"/>
        </w:rPr>
        <w:t xml:space="preserve">[J4]</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Michalopoulos, G., et al. (2024). Latent representation learning for geospatial entities. ACM TSAS.</w:t>
      </w:r>
    </w:p>
    <w:p>
      <w:pPr>
        <w:spacing w:before="0" w:after="20"/>
      </w:pPr>
      <w:r>
        <w:rPr>
          <w:rFonts w:ascii="Arial" w:cs="Arial" w:eastAsia="Arial" w:hAnsi="Arial"/>
          <w:b/>
          <w:bCs/>
          <w:sz w:val="19"/>
          <w:szCs w:val="19"/>
        </w:rPr>
        <w:t xml:space="preserve">URL: </w:t>
      </w:r>
      <w:hyperlink w:history="1" r:id="rId-vbu3nyg_mzqzlq1bzg_e">
        <w:r>
          <w:rPr>
            <w:rFonts w:ascii="Arial" w:cs="Arial" w:eastAsia="Arial" w:hAnsi="Arial"/>
            <w:color w:val="1155CC"/>
            <w:sz w:val="19"/>
            <w:szCs w:val="19"/>
            <w:u w:val="single"/>
          </w:rPr>
          <w:t xml:space="preserve">https://dl.acm.org/doi/10.1145/3663474</w:t>
        </w:r>
      </w:hyperlink>
    </w:p>
    <w:p>
      <w:pPr>
        <w:pBdr>
          <w:left w:val="single" w:color="2E74B5" w:sz="12" w:space="8"/>
        </w:pBdr>
        <w:spacing w:before="20" w:after="100"/>
        <w:ind w:left="360"/>
      </w:pPr>
      <w:r>
        <w:rPr>
          <w:rFonts w:ascii="Arial" w:cs="Arial" w:eastAsia="Arial" w:hAnsi="Arial"/>
          <w:color w:val="333333"/>
          <w:sz w:val="20"/>
          <w:szCs w:val="20"/>
        </w:rPr>
        <w:t xml:space="preserve">This paper develops a multi-modal representation learning framework for geospatial objects that combines three information sources: geometric shape features, spatial context captured from neighboring entities in the geographic vicinity, and semantic attributes derived from tags or land use categories. The combined embeddings support entity retrieval, spatial clustering, and similarity-based map matching tasks with better performance than shape-only or attribute-only approaches. The key takeaway for this survey is that shape embeddings from GCAEs can be significantly enriched by fusing them with spatial context information, pointing toward a natural extension of pure shape encoding methods.</w:t>
      </w:r>
    </w:p>
    <w:p>
      <w:pPr>
        <w:spacing w:before="180" w:after="30"/>
      </w:pPr>
      <w:r>
        <w:rPr>
          <w:rFonts w:ascii="Arial" w:cs="Arial" w:eastAsia="Arial" w:hAnsi="Arial"/>
          <w:b/>
          <w:bCs/>
          <w:color w:val="1F3864"/>
          <w:sz w:val="22"/>
          <w:szCs w:val="22"/>
        </w:rPr>
        <w:t xml:space="preserve">[C5]</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Malkov, Y. A., &amp; Yashunin, D. A. (2020). Efficient and robust ANN search using HNSW. IEEE TPAMI, 42(4), 824–836.</w:t>
      </w:r>
    </w:p>
    <w:p>
      <w:pPr>
        <w:spacing w:before="0" w:after="20"/>
      </w:pPr>
      <w:r>
        <w:rPr>
          <w:rFonts w:ascii="Arial" w:cs="Arial" w:eastAsia="Arial" w:hAnsi="Arial"/>
          <w:b/>
          <w:bCs/>
          <w:sz w:val="19"/>
          <w:szCs w:val="19"/>
        </w:rPr>
        <w:t xml:space="preserve">URL: </w:t>
      </w:r>
      <w:hyperlink w:history="1" r:id="rIdo1erlxotgyskyitm9cmen">
        <w:r>
          <w:rPr>
            <w:rFonts w:ascii="Arial" w:cs="Arial" w:eastAsia="Arial" w:hAnsi="Arial"/>
            <w:color w:val="1155CC"/>
            <w:sz w:val="19"/>
            <w:szCs w:val="19"/>
            <w:u w:val="single"/>
          </w:rPr>
          <w:t xml:space="preserve">https://arxiv.org/abs/1603.09320</w:t>
        </w:r>
      </w:hyperlink>
    </w:p>
    <w:p>
      <w:pPr>
        <w:pBdr>
          <w:left w:val="single" w:color="2E74B5" w:sz="12" w:space="8"/>
        </w:pBdr>
        <w:spacing w:before="20" w:after="100"/>
        <w:ind w:left="360"/>
      </w:pPr>
      <w:r>
        <w:rPr>
          <w:rFonts w:ascii="Arial" w:cs="Arial" w:eastAsia="Arial" w:hAnsi="Arial"/>
          <w:color w:val="333333"/>
          <w:sz w:val="20"/>
          <w:szCs w:val="20"/>
        </w:rPr>
        <w:t xml:space="preserve">HNSW builds a multi-layer proximity graph over embedding vectors where higher layers contain long-range skip connections enabling fast navigation to the approximate neighborhood of a query, and the bottom layer supports local fine-grained search. Query time scales logarithmically with dataset size, making the algorithm suitable for interactive retrieval from datasets of tens of millions of shape embeddings. The index is built incrementally and supports both exact and approximate queries depending on the ef search parameter. For a GCAE-based spatial shape retrieval system, HNSW provides the necessary ANN infrastructure to make shape queries practical at GIS operational scale.</w:t>
      </w:r>
    </w:p>
    <w:p>
      <w:pPr>
        <w:spacing w:before="180" w:after="30"/>
      </w:pPr>
      <w:r>
        <w:rPr>
          <w:rFonts w:ascii="Arial" w:cs="Arial" w:eastAsia="Arial" w:hAnsi="Arial"/>
          <w:b/>
          <w:bCs/>
          <w:color w:val="1F3864"/>
          <w:sz w:val="22"/>
          <w:szCs w:val="22"/>
        </w:rPr>
        <w:t xml:space="preserve">[C6]</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Johnson, J., Douze, M., &amp; Jégou, H. (2021). Billion-scale similarity search with GPUs (FAISS). IEEE Trans. Big Data, 7(3), 535–547.</w:t>
      </w:r>
    </w:p>
    <w:p>
      <w:pPr>
        <w:spacing w:before="0" w:after="20"/>
      </w:pPr>
      <w:r>
        <w:rPr>
          <w:rFonts w:ascii="Arial" w:cs="Arial" w:eastAsia="Arial" w:hAnsi="Arial"/>
          <w:b/>
          <w:bCs/>
          <w:sz w:val="19"/>
          <w:szCs w:val="19"/>
        </w:rPr>
        <w:t xml:space="preserve">URL: </w:t>
      </w:r>
      <w:hyperlink w:history="1" r:id="rIdzdaegnakslg81m0ptpyeu">
        <w:r>
          <w:rPr>
            <w:rFonts w:ascii="Arial" w:cs="Arial" w:eastAsia="Arial" w:hAnsi="Arial"/>
            <w:color w:val="1155CC"/>
            <w:sz w:val="19"/>
            <w:szCs w:val="19"/>
            <w:u w:val="single"/>
          </w:rPr>
          <w:t xml:space="preserve">https://arxiv.org/abs/1702.08734</w:t>
        </w:r>
      </w:hyperlink>
    </w:p>
    <w:p>
      <w:pPr>
        <w:pBdr>
          <w:left w:val="single" w:color="2E74B5" w:sz="12" w:space="8"/>
        </w:pBdr>
        <w:spacing w:before="20" w:after="100"/>
        <w:ind w:left="360"/>
      </w:pPr>
      <w:r>
        <w:rPr>
          <w:rFonts w:ascii="Arial" w:cs="Arial" w:eastAsia="Arial" w:hAnsi="Arial"/>
          <w:color w:val="333333"/>
          <w:sz w:val="20"/>
          <w:szCs w:val="20"/>
        </w:rPr>
        <w:t xml:space="preserve">FAISS provides a comprehensive GPU-accelerated library for exact and approximate vector similarity search. It supports multiple indexing strategies including flat exhaustive search, inverted file indexing (IVF) for coarse quantization, product quantization (PQ) for compressed vector storage, and HNSW for graph-based navigation. GPU acceleration enables billions of inner product or L2 distance computations per second, making large-scale shape retrieval from national building footprint databases feasible in real time. The tradeoff between memory, speed, and search recall can be configured through quantization parameters and the nprobe setting, providing flexibility for different operational constraints.</w:t>
      </w:r>
    </w:p>
    <w:p>
      <w:pPr>
        <w:spacing w:before="180" w:after="30"/>
      </w:pPr>
      <w:r>
        <w:rPr>
          <w:rFonts w:ascii="Arial" w:cs="Arial" w:eastAsia="Arial" w:hAnsi="Arial"/>
          <w:b/>
          <w:bCs/>
          <w:color w:val="1F3864"/>
          <w:sz w:val="22"/>
          <w:szCs w:val="22"/>
        </w:rPr>
        <w:t xml:space="preserve">[C10]</w:t>
      </w:r>
      <w:r>
        <w:t xml:space="preserve">  </w:t>
      </w:r>
      <w:r>
        <w:rPr>
          <w:rFonts w:ascii="Arial" w:cs="Arial" w:eastAsia="Arial" w:hAnsi="Arial"/>
          <w:b/>
          <w:bCs/>
          <w:color w:val="375623"/>
          <w:sz w:val="20"/>
          <w:szCs w:val="20"/>
        </w:rPr>
        <w:t xml:space="preserve">[Secondary]</w:t>
      </w:r>
      <w:r>
        <w:rPr>
          <w:rFonts w:ascii="Arial" w:cs="Arial" w:eastAsia="Arial" w:hAnsi="Arial"/>
          <w:sz w:val="20"/>
          <w:szCs w:val="20"/>
        </w:rPr>
        <w:t xml:space="preserve">  Douze, M., et al. (2024). The FAISS library. arXiv:2401.08281.</w:t>
      </w:r>
    </w:p>
    <w:p>
      <w:pPr>
        <w:spacing w:before="0" w:after="20"/>
      </w:pPr>
      <w:r>
        <w:rPr>
          <w:rFonts w:ascii="Arial" w:cs="Arial" w:eastAsia="Arial" w:hAnsi="Arial"/>
          <w:b/>
          <w:bCs/>
          <w:sz w:val="19"/>
          <w:szCs w:val="19"/>
        </w:rPr>
        <w:t xml:space="preserve">URL: </w:t>
      </w:r>
      <w:hyperlink w:history="1" r:id="rId5giehu5pgeyzfl-i13br_">
        <w:r>
          <w:rPr>
            <w:rFonts w:ascii="Arial" w:cs="Arial" w:eastAsia="Arial" w:hAnsi="Arial"/>
            <w:color w:val="1155CC"/>
            <w:sz w:val="19"/>
            <w:szCs w:val="19"/>
            <w:u w:val="single"/>
          </w:rPr>
          <w:t xml:space="preserve">https://arxiv.org/abs/2401.08281</w:t>
        </w:r>
      </w:hyperlink>
    </w:p>
    <w:p>
      <w:pPr>
        <w:pBdr>
          <w:left w:val="single" w:color="2E74B5" w:sz="12" w:space="8"/>
        </w:pBdr>
        <w:spacing w:before="20" w:after="100"/>
        <w:ind w:left="360"/>
      </w:pPr>
      <w:r>
        <w:rPr>
          <w:rFonts w:ascii="Arial" w:cs="Arial" w:eastAsia="Arial" w:hAnsi="Arial"/>
          <w:color w:val="333333"/>
          <w:sz w:val="20"/>
          <w:szCs w:val="20"/>
        </w:rPr>
        <w:t xml:space="preserve">This paper serves as the complete software documentation reference for FAISS, extending the original 2021 publication with coverage of newer index types, improved GPU memory management, and quantitative benchmarks across current hardware. It details how to select the appropriate combination of index type, quantization level, and GPU strategy based on dataset size, embedding dimension, and latency budget. For practitioners deploying a GCAE-based shape retrieval system, this paper is the primary implementation guide for configuring FAISS to balance retrieval quality against computational cost.</w:t>
      </w:r>
    </w:p>
    <w:p>
      <w:pPr>
        <w:spacing w:before="200" w:after="80"/>
      </w:pPr>
      <w:r>
        <w:rPr>
          <w:rFonts w:ascii="Arial" w:cs="Arial" w:eastAsia="Arial" w:hAnsi="Arial"/>
          <w:b/>
          <w:bCs/>
          <w:color w:val="2E74B5"/>
          <w:sz w:val="24"/>
          <w:szCs w:val="24"/>
        </w:rPr>
        <w:t xml:space="preserve">Class 5 — Cartographic Generalization &amp; Map Applications</w:t>
      </w:r>
    </w:p>
    <w:p>
      <w:pPr>
        <w:spacing w:before="180" w:after="30"/>
      </w:pPr>
      <w:r>
        <w:rPr>
          <w:rFonts w:ascii="Arial" w:cs="Arial" w:eastAsia="Arial" w:hAnsi="Arial"/>
          <w:b/>
          <w:bCs/>
          <w:color w:val="1F3864"/>
          <w:sz w:val="22"/>
          <w:szCs w:val="22"/>
        </w:rPr>
        <w:t xml:space="preserve">[J5]</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Zhang, X., Touya, G., &amp; Meijers, M. (2024). Automated map generalization: Emerging techniques and new trends. J. Geovisualization and Spatial Analysis, 8, 11.</w:t>
      </w:r>
    </w:p>
    <w:p>
      <w:pPr>
        <w:spacing w:before="0" w:after="20"/>
      </w:pPr>
      <w:r>
        <w:rPr>
          <w:rFonts w:ascii="Arial" w:cs="Arial" w:eastAsia="Arial" w:hAnsi="Arial"/>
          <w:b/>
          <w:bCs/>
          <w:sz w:val="19"/>
          <w:szCs w:val="19"/>
        </w:rPr>
        <w:t xml:space="preserve">URL: </w:t>
      </w:r>
      <w:hyperlink w:history="1" r:id="rIds46zgigqzm-_hzxwxkrl9">
        <w:r>
          <w:rPr>
            <w:rFonts w:ascii="Arial" w:cs="Arial" w:eastAsia="Arial" w:hAnsi="Arial"/>
            <w:color w:val="1155CC"/>
            <w:sz w:val="19"/>
            <w:szCs w:val="19"/>
            <w:u w:val="single"/>
          </w:rPr>
          <w:t xml:space="preserve">https://doi.org/10.1007/s41651-024-00174-4</w:t>
        </w:r>
      </w:hyperlink>
    </w:p>
    <w:p>
      <w:pPr>
        <w:pBdr>
          <w:left w:val="single" w:color="2E74B5" w:sz="12" w:space="8"/>
        </w:pBdr>
        <w:spacing w:before="20" w:after="100"/>
        <w:ind w:left="360"/>
      </w:pPr>
      <w:r>
        <w:rPr>
          <w:rFonts w:ascii="Arial" w:cs="Arial" w:eastAsia="Arial" w:hAnsi="Arial"/>
          <w:color w:val="333333"/>
          <w:sz w:val="20"/>
          <w:szCs w:val="20"/>
        </w:rPr>
        <w:t xml:space="preserve">This editorial survey maps the current landscape of deep learning approaches to automated cartographic generalization, covering building simplification, road network pruning, point cluster aggregation, and symbol placement tasks. Methods are categorized by their underlying architecture — CNN, RNN, GNN, and transformer-based approaches — and evaluated on criteria including topological correctness, scale consistency, and generalization across different map regions. The survey identifies persistent open challenges: most methods handle single generalization operators in isolation, scale-dependent consistency across zoom levels remains unsolved, and benchmark datasets are fragmented. This paper is essential context for understanding where GCAE-based shape encoding fits within the full automated generalization workflow.</w:t>
      </w:r>
    </w:p>
    <w:p>
      <w:pPr>
        <w:spacing w:before="180" w:after="30"/>
      </w:pPr>
      <w:r>
        <w:rPr>
          <w:rFonts w:ascii="Arial" w:cs="Arial" w:eastAsia="Arial" w:hAnsi="Arial"/>
          <w:b/>
          <w:bCs/>
          <w:color w:val="1F3864"/>
          <w:sz w:val="22"/>
          <w:szCs w:val="22"/>
        </w:rPr>
        <w:t xml:space="preserve">[J6]</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Zhou, X., et al. (2024). Determining the optimal generalization operators for building footprints using an improved GNN model. Geocarto International, 39(1).</w:t>
      </w:r>
    </w:p>
    <w:p>
      <w:pPr>
        <w:spacing w:before="0" w:after="20"/>
      </w:pPr>
      <w:r>
        <w:rPr>
          <w:rFonts w:ascii="Arial" w:cs="Arial" w:eastAsia="Arial" w:hAnsi="Arial"/>
          <w:b/>
          <w:bCs/>
          <w:sz w:val="19"/>
          <w:szCs w:val="19"/>
        </w:rPr>
        <w:t xml:space="preserve">URL: </w:t>
      </w:r>
      <w:hyperlink w:history="1" r:id="rIdhlmqde1ql8mviapahg4pd">
        <w:r>
          <w:rPr>
            <w:rFonts w:ascii="Arial" w:cs="Arial" w:eastAsia="Arial" w:hAnsi="Arial"/>
            <w:color w:val="1155CC"/>
            <w:sz w:val="19"/>
            <w:szCs w:val="19"/>
            <w:u w:val="single"/>
          </w:rPr>
          <w:t xml:space="preserve">https://doi.org/10.1080/10106049.2024.2306265</w:t>
        </w:r>
      </w:hyperlink>
    </w:p>
    <w:p>
      <w:pPr>
        <w:pBdr>
          <w:left w:val="single" w:color="2E74B5" w:sz="12" w:space="8"/>
        </w:pBdr>
        <w:spacing w:before="20" w:after="100"/>
        <w:ind w:left="360"/>
      </w:pPr>
      <w:r>
        <w:rPr>
          <w:rFonts w:ascii="Arial" w:cs="Arial" w:eastAsia="Arial" w:hAnsi="Arial"/>
          <w:color w:val="333333"/>
          <w:sz w:val="20"/>
          <w:szCs w:val="20"/>
        </w:rPr>
        <w:t xml:space="preserve">This paper applies a GNN to the operator selection problem in building generalization: given a building at a target map scale, the model predicts which of several operators (simplification, aggregation, typification, elimination) should be applied. The GNN encodes each building as a graph using boundary geometry features and also aggregates information from neighboring buildings, capturing contextual relationships that influence generalization decisions. The trained model outperforms rule-based expert systems on a Chinese city building dataset, demonstrating that learned spatial shape representations can drive downstream cartographic decisions. The method is currently limited to buildings with relatively regular outlines and does not handle complex irregular shapes well.</w:t>
      </w:r>
    </w:p>
    <w:p>
      <w:pPr>
        <w:spacing w:before="180" w:after="30"/>
      </w:pPr>
      <w:r>
        <w:rPr>
          <w:rFonts w:ascii="Arial" w:cs="Arial" w:eastAsia="Arial" w:hAnsi="Arial"/>
          <w:b/>
          <w:bCs/>
          <w:color w:val="1F3864"/>
          <w:sz w:val="22"/>
          <w:szCs w:val="22"/>
        </w:rPr>
        <w:t xml:space="preserve">[C8]</w:t>
      </w:r>
      <w:r>
        <w:t xml:space="preserve">  </w:t>
      </w:r>
      <w:r>
        <w:rPr>
          <w:rFonts w:ascii="Arial" w:cs="Arial" w:eastAsia="Arial" w:hAnsi="Arial"/>
          <w:b/>
          <w:bCs/>
          <w:color w:val="375623"/>
          <w:sz w:val="20"/>
          <w:szCs w:val="20"/>
        </w:rPr>
        <w:t xml:space="preserve">[Secondary]</w:t>
      </w:r>
      <w:r>
        <w:rPr>
          <w:rFonts w:ascii="Arial" w:cs="Arial" w:eastAsia="Arial" w:hAnsi="Arial"/>
          <w:sz w:val="20"/>
          <w:szCs w:val="20"/>
        </w:rPr>
        <w:t xml:space="preserve">  Fu, C., et al. (2024). Reasoning cartographic knowledge in DL-based map generalization with explainable AI. IJGIS, 38(10), 2061–2082.</w:t>
      </w:r>
    </w:p>
    <w:p>
      <w:pPr>
        <w:spacing w:before="0" w:after="20"/>
      </w:pPr>
      <w:r>
        <w:rPr>
          <w:rFonts w:ascii="Arial" w:cs="Arial" w:eastAsia="Arial" w:hAnsi="Arial"/>
          <w:b/>
          <w:bCs/>
          <w:sz w:val="19"/>
          <w:szCs w:val="19"/>
        </w:rPr>
        <w:t xml:space="preserve">URL: </w:t>
      </w:r>
      <w:hyperlink w:history="1" r:id="rId779hw7iritoanr5xys16s">
        <w:r>
          <w:rPr>
            <w:rFonts w:ascii="Arial" w:cs="Arial" w:eastAsia="Arial" w:hAnsi="Arial"/>
            <w:color w:val="1155CC"/>
            <w:sz w:val="19"/>
            <w:szCs w:val="19"/>
            <w:u w:val="single"/>
          </w:rPr>
          <w:t xml:space="preserve">https://doi.org/10.1080/13658816.2024.2369535</w:t>
        </w:r>
      </w:hyperlink>
    </w:p>
    <w:p>
      <w:pPr>
        <w:pBdr>
          <w:left w:val="single" w:color="2E74B5" w:sz="12" w:space="8"/>
        </w:pBdr>
        <w:spacing w:before="20" w:after="100"/>
        <w:ind w:left="360"/>
      </w:pPr>
      <w:r>
        <w:rPr>
          <w:rFonts w:ascii="Arial" w:cs="Arial" w:eastAsia="Arial" w:hAnsi="Arial"/>
          <w:color w:val="333333"/>
          <w:sz w:val="20"/>
          <w:szCs w:val="20"/>
        </w:rPr>
        <w:t xml:space="preserve">This paper applies gradient-based saliency maps and attention visualization to trained GNN-based map generalization models to understand which input shape features most strongly influence the model's decisions. The analysis reveals that GNNs implicitly learn to attend to perceptually meaningful shape properties — such as compactness, elongation, and spatial density of neighboring buildings — without those properties being explicitly engineered as input features. This explainability work validates the cognitive relevance of learned graph-based shape representations and helps identify which specific geometric aspects of GCAE encodings are most informative for cartographic downstream tasks.</w:t>
      </w:r>
    </w:p>
    <w:p>
      <w:pPr>
        <w:spacing w:before="200" w:after="80"/>
      </w:pPr>
      <w:r>
        <w:rPr>
          <w:rFonts w:ascii="Arial" w:cs="Arial" w:eastAsia="Arial" w:hAnsi="Arial"/>
          <w:b/>
          <w:bCs/>
          <w:color w:val="2E74B5"/>
          <w:sz w:val="24"/>
          <w:szCs w:val="24"/>
        </w:rPr>
        <w:t xml:space="preserve">Class 6 — HPC &amp; Scalability for Spatial Deep Learning</w:t>
      </w:r>
    </w:p>
    <w:p>
      <w:pPr>
        <w:spacing w:before="180" w:after="30"/>
      </w:pPr>
      <w:r>
        <w:rPr>
          <w:rFonts w:ascii="Arial" w:cs="Arial" w:eastAsia="Arial" w:hAnsi="Arial"/>
          <w:b/>
          <w:bCs/>
          <w:color w:val="1F3864"/>
          <w:sz w:val="22"/>
          <w:szCs w:val="22"/>
        </w:rPr>
        <w:t xml:space="preserve">[H1]</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Shao, Y., et al. (2024). Distributed graph neural network training: A survey. ACM Computing Surveys, 56(8), 1–39.</w:t>
      </w:r>
    </w:p>
    <w:p>
      <w:pPr>
        <w:spacing w:before="0" w:after="20"/>
      </w:pPr>
      <w:r>
        <w:rPr>
          <w:rFonts w:ascii="Arial" w:cs="Arial" w:eastAsia="Arial" w:hAnsi="Arial"/>
          <w:b/>
          <w:bCs/>
          <w:sz w:val="19"/>
          <w:szCs w:val="19"/>
        </w:rPr>
        <w:t xml:space="preserve">URL: </w:t>
      </w:r>
      <w:hyperlink w:history="1" r:id="rIdz_cf03vhppsl6kfizujnm">
        <w:r>
          <w:rPr>
            <w:rFonts w:ascii="Arial" w:cs="Arial" w:eastAsia="Arial" w:hAnsi="Arial"/>
            <w:color w:val="1155CC"/>
            <w:sz w:val="19"/>
            <w:szCs w:val="19"/>
            <w:u w:val="single"/>
          </w:rPr>
          <w:t xml:space="preserve">https://dl.acm.org/doi/10.1145/3648358</w:t>
        </w:r>
      </w:hyperlink>
    </w:p>
    <w:p>
      <w:pPr>
        <w:pBdr>
          <w:left w:val="single" w:color="2E74B5" w:sz="12" w:space="8"/>
        </w:pBdr>
        <w:spacing w:before="20" w:after="100"/>
        <w:ind w:left="360"/>
      </w:pPr>
      <w:r>
        <w:rPr>
          <w:rFonts w:ascii="Arial" w:cs="Arial" w:eastAsia="Arial" w:hAnsi="Arial"/>
          <w:color w:val="333333"/>
          <w:sz w:val="20"/>
          <w:szCs w:val="20"/>
        </w:rPr>
        <w:t xml:space="preserve">Training GNNs on large graphs requires distributing both the graph structure and computation across multiple GPUs or compute nodes. This introduces communication overhead whenever boundary nodes need to aggregate features from partitions residing on different machines. This comprehensive survey covers graph partitioning strategies that minimize cross-partition edges (METIS, balanced random partitioning), mini-batch neighbor sampling methods that limit neighborhood expansion during training, and gradient synchronization strategies ranging from fully synchronous SGD to asynchronous update schemes. It also discusses which combinations of these techniques work best for different graph sizes and sparsity levels. For GCAE training on city-scale building polygon datasets with millions of vertices and edges, this survey provides essential guidance for scaling beyond single-GPU memory limits.</w:t>
      </w:r>
    </w:p>
    <w:p>
      <w:pPr>
        <w:spacing w:before="180" w:after="30"/>
      </w:pPr>
      <w:r>
        <w:rPr>
          <w:rFonts w:ascii="Arial" w:cs="Arial" w:eastAsia="Arial" w:hAnsi="Arial"/>
          <w:b/>
          <w:bCs/>
          <w:color w:val="1F3864"/>
          <w:sz w:val="22"/>
          <w:szCs w:val="22"/>
        </w:rPr>
        <w:t xml:space="preserve">[H2]</w:t>
      </w:r>
      <w:r>
        <w:t xml:space="preserve">  </w:t>
      </w:r>
      <w:r>
        <w:rPr>
          <w:rFonts w:ascii="Arial" w:cs="Arial" w:eastAsia="Arial" w:hAnsi="Arial"/>
          <w:b/>
          <w:bCs/>
          <w:color w:val="C00000"/>
          <w:sz w:val="20"/>
          <w:szCs w:val="20"/>
        </w:rPr>
        <w:t xml:space="preserve">[Primary]</w:t>
      </w:r>
      <w:r>
        <w:rPr>
          <w:rFonts w:ascii="Arial" w:cs="Arial" w:eastAsia="Arial" w:hAnsi="Arial"/>
          <w:sz w:val="20"/>
          <w:szCs w:val="20"/>
        </w:rPr>
        <w:t xml:space="preserve">  Dang, H., et al. (2024). GDL-GNN: Applying GPU dataloading of large datasets for GNN inference. Euro-Par 2024.</w:t>
      </w:r>
    </w:p>
    <w:p>
      <w:pPr>
        <w:spacing w:before="0" w:after="20"/>
      </w:pPr>
      <w:r>
        <w:rPr>
          <w:rFonts w:ascii="Arial" w:cs="Arial" w:eastAsia="Arial" w:hAnsi="Arial"/>
          <w:b/>
          <w:bCs/>
          <w:sz w:val="19"/>
          <w:szCs w:val="19"/>
        </w:rPr>
        <w:t xml:space="preserve">URL: </w:t>
      </w:r>
      <w:hyperlink w:history="1" r:id="rIdaiws7-rxyr7c7gu30mzlm">
        <w:r>
          <w:rPr>
            <w:rFonts w:ascii="Arial" w:cs="Arial" w:eastAsia="Arial" w:hAnsi="Arial"/>
            <w:color w:val="1155CC"/>
            <w:sz w:val="19"/>
            <w:szCs w:val="19"/>
            <w:u w:val="single"/>
          </w:rPr>
          <w:t xml:space="preserve">https://link.springer.com/chapter/10.1007/978-3-031-69766-1_24</w:t>
        </w:r>
      </w:hyperlink>
    </w:p>
    <w:p>
      <w:pPr>
        <w:pBdr>
          <w:left w:val="single" w:color="2E74B5" w:sz="12" w:space="8"/>
        </w:pBdr>
        <w:spacing w:before="20" w:after="100"/>
        <w:ind w:left="360"/>
      </w:pPr>
      <w:r>
        <w:rPr>
          <w:rFonts w:ascii="Arial" w:cs="Arial" w:eastAsia="Arial" w:hAnsi="Arial"/>
          <w:color w:val="333333"/>
          <w:sz w:val="20"/>
          <w:szCs w:val="20"/>
        </w:rPr>
        <w:t xml:space="preserve">A frequently overlooked bottleneck in large-scale GNN inference is the data pipeline: constructing graph batches from a large dataset, sampling neighborhoods, and loading features from CPU memory to GPU memory can leave the GPU idle for significant portions of the inference time. GDL-GNN addresses this by overlapping GPU computation with asynchronous CPU-side batch preparation and memory transfer using a multi-threaded prefetching pipeline. The resulting system achieves near-full GPU utilization on large graph datasets. For encoding millions of building polygon graphs through a trained GCAE at inference time, this kind of optimized dataloading is necessary to meet operational throughput requirements.</w:t>
      </w:r>
    </w:p>
    <w:p>
      <w:pPr>
        <w:spacing w:before="180" w:after="30"/>
      </w:pPr>
      <w:r>
        <w:rPr>
          <w:rFonts w:ascii="Arial" w:cs="Arial" w:eastAsia="Arial" w:hAnsi="Arial"/>
          <w:b/>
          <w:bCs/>
          <w:color w:val="1F3864"/>
          <w:sz w:val="22"/>
          <w:szCs w:val="22"/>
        </w:rPr>
        <w:t xml:space="preserve">[H3]</w:t>
      </w:r>
      <w:r>
        <w:t xml:space="preserve">  </w:t>
      </w:r>
      <w:r>
        <w:rPr>
          <w:rFonts w:ascii="Arial" w:cs="Arial" w:eastAsia="Arial" w:hAnsi="Arial"/>
          <w:b/>
          <w:bCs/>
          <w:color w:val="375623"/>
          <w:sz w:val="20"/>
          <w:szCs w:val="20"/>
        </w:rPr>
        <w:t xml:space="preserve">[Secondary]</w:t>
      </w:r>
      <w:r>
        <w:rPr>
          <w:rFonts w:ascii="Arial" w:cs="Arial" w:eastAsia="Arial" w:hAnsi="Arial"/>
          <w:sz w:val="20"/>
          <w:szCs w:val="20"/>
        </w:rPr>
        <w:t xml:space="preserve">  Armstrong, M. P., &amp; Densham, P. J. (2020). High performance computing for geospatial applications. In HPC for Geospatial Applications, Springer.</w:t>
      </w:r>
    </w:p>
    <w:p>
      <w:pPr>
        <w:spacing w:before="0" w:after="20"/>
      </w:pPr>
      <w:r>
        <w:rPr>
          <w:rFonts w:ascii="Arial" w:cs="Arial" w:eastAsia="Arial" w:hAnsi="Arial"/>
          <w:b/>
          <w:bCs/>
          <w:sz w:val="19"/>
          <w:szCs w:val="19"/>
        </w:rPr>
        <w:t xml:space="preserve">URL: </w:t>
      </w:r>
      <w:hyperlink w:history="1" r:id="rIdlknx8w1bffxvxuh4qbb5x">
        <w:r>
          <w:rPr>
            <w:rFonts w:ascii="Arial" w:cs="Arial" w:eastAsia="Arial" w:hAnsi="Arial"/>
            <w:color w:val="1155CC"/>
            <w:sz w:val="19"/>
            <w:szCs w:val="19"/>
            <w:u w:val="single"/>
          </w:rPr>
          <w:t xml:space="preserve">https://link.springer.com/chapter/10.1007/978-3-030-47998-5_15</w:t>
        </w:r>
      </w:hyperlink>
    </w:p>
    <w:p>
      <w:pPr>
        <w:pBdr>
          <w:left w:val="single" w:color="2E74B5" w:sz="12" w:space="8"/>
        </w:pBdr>
        <w:spacing w:before="20" w:after="100"/>
        <w:ind w:left="360"/>
      </w:pPr>
      <w:r>
        <w:rPr>
          <w:rFonts w:ascii="Arial" w:cs="Arial" w:eastAsia="Arial" w:hAnsi="Arial"/>
          <w:color w:val="333333"/>
          <w:sz w:val="20"/>
          <w:szCs w:val="20"/>
        </w:rPr>
        <w:t xml:space="preserve">This chapter provides foundational HPC context for geospatial workloads, reviewing parallel approaches to spatial indexing, proximity query processing, and large-scale spatial join operations. It discusses both MPI-based cluster computing and GPU-accelerated spatial processing, and situates geospatial HPC within the broader landscape of scientific computing. For understanding the full computational pipeline of a GCAE-based spatial shape retrieval system — from data ingestion through graph construction, encoder inference, embedding indexing, and interactive query serving — this chapter provides the systems-level framing within which the deep learning components must be integrated.</w:t>
      </w:r>
    </w:p>
    <w:p>
      <w:pPr>
        <w:spacing w:before="200" w:after="60"/>
      </w:pPr>
      <w:r>
        <w:t xml:space="preserve"/>
      </w:r>
    </w:p>
    <w:p>
      <w:pPr>
        <w:pBdr>
          <w:bottom w:val="single" w:color="AAAAAA" w:sz="6" w:space="2"/>
        </w:pBdr>
        <w:spacing w:before="0" w:after="0"/>
      </w:pPr>
      <w:r>
        <w:t xml:space="preserve"/>
      </w:r>
    </w:p>
    <w:p>
      <w:pPr>
        <w:spacing w:before="60" w:after="60"/>
      </w:pPr>
      <w:r>
        <w:rPr>
          <w:rFonts w:ascii="Arial" w:cs="Arial" w:eastAsia="Arial" w:hAnsi="Arial"/>
          <w:i/>
          <w:iCs/>
          <w:color w:val="666666"/>
          <w:sz w:val="18"/>
          <w:szCs w:val="18"/>
        </w:rPr>
        <w:t xml:space="preserve">Note: This annotated bibliography covers 27 papers selected for thorough reading. Literature search is ongoing; updates will be reflected at: https://github.com/shetu94/cs5463-survey-graph-autoencoder-spatial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puomddh_mfvrjux6cpzs" Type="http://schemas.openxmlformats.org/officeDocument/2006/relationships/hyperlink" Target="https://arxiv.org/abs/1611.07308" TargetMode="External"/><Relationship Id="rIdwyff8ugstsy_i9z7iuf5w" Type="http://schemas.openxmlformats.org/officeDocument/2006/relationships/hyperlink" Target="https://doi.org/10.1080/13658816.2020.1768260" TargetMode="External"/><Relationship Id="rIdpyf5rugwaonwt2gfk9bx9" Type="http://schemas.openxmlformats.org/officeDocument/2006/relationships/hyperlink" Target="https://arxiv.org/abs/1908.02441" TargetMode="External"/><Relationship Id="rIdo-4dnw7z3fes_n5b1z3nn" Type="http://schemas.openxmlformats.org/officeDocument/2006/relationships/hyperlink" Target="https://dl.acm.org/doi/10.1145/3637528.3671738" TargetMode="External"/><Relationship Id="rIdnzbt-v7nosi6bxqomrerz" Type="http://schemas.openxmlformats.org/officeDocument/2006/relationships/hyperlink" Target="https://dl.acm.org/doi/10.1145/3459637.3482215" TargetMode="External"/><Relationship Id="rIdldvjinjm6x-ikiggog2ct" Type="http://schemas.openxmlformats.org/officeDocument/2006/relationships/hyperlink" Target="https://arxiv.org/abs/1712.00268" TargetMode="External"/><Relationship Id="rIdl-4w4lg85yl300dyy4-ib" Type="http://schemas.openxmlformats.org/officeDocument/2006/relationships/hyperlink" Target="https://arxiv.org/abs/1609.02907" TargetMode="External"/><Relationship Id="rIdhmr6zrw1tfdoih11jftpq" Type="http://schemas.openxmlformats.org/officeDocument/2006/relationships/hyperlink" Target="https://arxiv.org/abs/1312.6114" TargetMode="External"/><Relationship Id="rIdnwuogno9llsiv7_bmfxd8" Type="http://schemas.openxmlformats.org/officeDocument/2006/relationships/hyperlink" Target="https://www.mdpi.com/2220-9964/11/10/527" TargetMode="External"/><Relationship Id="rIdqt_irsx8myojc6yxbncha" Type="http://schemas.openxmlformats.org/officeDocument/2006/relationships/hyperlink" Target="https://doi.org/10.1080/15230406.2023.2273397" TargetMode="External"/><Relationship Id="rIdv6gcnc2ax5ci1_-adnba8" Type="http://schemas.openxmlformats.org/officeDocument/2006/relationships/hyperlink" Target="https://arxiv.org/abs/2408.14806" TargetMode="External"/><Relationship Id="rIdsul3zrr1vjhmku8rbpvdx" Type="http://schemas.openxmlformats.org/officeDocument/2006/relationships/hyperlink" Target="https://www.mdpi.com/2076-3417/15/5/2383" TargetMode="External"/><Relationship Id="rIdf-jzx3oq3o0otoxuz8or1" Type="http://schemas.openxmlformats.org/officeDocument/2006/relationships/hyperlink" Target="https://arxiv.org/abs/2304.09157" TargetMode="External"/><Relationship Id="rIdaf_qyzqc1zi3qvl0cp2gg" Type="http://schemas.openxmlformats.org/officeDocument/2006/relationships/hyperlink" Target="https://doi.org/10.3390/ijgi8060258" TargetMode="External"/><Relationship Id="rIdejwuhshzjpwpt8xwwdjkj" Type="http://schemas.openxmlformats.org/officeDocument/2006/relationships/hyperlink" Target="https://arxiv.org/abs/2304.04224" TargetMode="External"/><Relationship Id="rIdeq9kdnx-_fa9-sdbvfszz" Type="http://schemas.openxmlformats.org/officeDocument/2006/relationships/hyperlink" Target="https://www.tandfonline.com/doi/full/10.1080/19475683.2025.2552157" TargetMode="External"/><Relationship Id="rId-vbu3nyg_mzqzlq1bzg_e" Type="http://schemas.openxmlformats.org/officeDocument/2006/relationships/hyperlink" Target="https://dl.acm.org/doi/10.1145/3663474" TargetMode="External"/><Relationship Id="rIdo1erlxotgyskyitm9cmen" Type="http://schemas.openxmlformats.org/officeDocument/2006/relationships/hyperlink" Target="https://arxiv.org/abs/1603.09320" TargetMode="External"/><Relationship Id="rIdzdaegnakslg81m0ptpyeu" Type="http://schemas.openxmlformats.org/officeDocument/2006/relationships/hyperlink" Target="https://arxiv.org/abs/1702.08734" TargetMode="External"/><Relationship Id="rId5giehu5pgeyzfl-i13br_" Type="http://schemas.openxmlformats.org/officeDocument/2006/relationships/hyperlink" Target="https://arxiv.org/abs/2401.08281" TargetMode="External"/><Relationship Id="rIds46zgigqzm-_hzxwxkrl9" Type="http://schemas.openxmlformats.org/officeDocument/2006/relationships/hyperlink" Target="https://doi.org/10.1007/s41651-024-00174-4" TargetMode="External"/><Relationship Id="rIdhlmqde1ql8mviapahg4pd" Type="http://schemas.openxmlformats.org/officeDocument/2006/relationships/hyperlink" Target="https://doi.org/10.1080/10106049.2024.2306265" TargetMode="External"/><Relationship Id="rId779hw7iritoanr5xys16s" Type="http://schemas.openxmlformats.org/officeDocument/2006/relationships/hyperlink" Target="https://doi.org/10.1080/13658816.2024.2369535" TargetMode="External"/><Relationship Id="rIdz_cf03vhppsl6kfizujnm" Type="http://schemas.openxmlformats.org/officeDocument/2006/relationships/hyperlink" Target="https://dl.acm.org/doi/10.1145/3648358" TargetMode="External"/><Relationship Id="rIdaiws7-rxyr7c7gu30mzlm" Type="http://schemas.openxmlformats.org/officeDocument/2006/relationships/hyperlink" Target="https://link.springer.com/chapter/10.1007/978-3-031-69766-1_24" TargetMode="External"/><Relationship Id="rIdlknx8w1bffxvxuh4qbb5x" Type="http://schemas.openxmlformats.org/officeDocument/2006/relationships/hyperlink" Target="https://link.springer.com/chapter/10.1007/978-3-030-47998-5_15" TargetMode="External"/><Relationship Id="rId3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2026-03-27T10:17:18.307Z</dcterms:created>
  <dcterms:modified xsi:type="dcterms:W3CDTF">2026-03-27T10:17:18.308Z</dcterms:modified>
</cp:coreProperties>
</file>

<file path=docProps/custom.xml><?xml version="1.0" encoding="utf-8"?>
<Properties xmlns="http://schemas.openxmlformats.org/officeDocument/2006/custom-properties" xmlns:vt="http://schemas.openxmlformats.org/officeDocument/2006/docPropsVTypes"/>
</file>