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7.png" ContentType="image/png"/>
  <Override PartName="/word/media/rId44.png" ContentType="image/png"/>
  <Override PartName="/word/media/rId50.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Density Via Rom Compiler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35" w:name="chapter-1-product-overview"/>
    <w:p>
      <w:pPr>
        <w:pStyle w:val="2"/>
      </w:pPr>
      <w:r>
        <w:t xml:space="preserve">Chapter 1 Product Overview</w:t>
      </w:r>
    </w:p>
    <w:p>
      <w:pPr>
        <w:pStyle w:val="FirstParagraph"/>
      </w:pPr>
      <w:r>
        <w:t xml:space="preserve">This chapter provides an overview of the embedded memories of High Density Via Rom Compiler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“XYZHDVOSR”</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HD</w:t>
            </w:r>
          </w:p>
        </w:tc>
        <w:tc>
          <w:tcPr/>
          <w:p>
            <w:pPr>
              <w:pStyle w:val="Compact"/>
            </w:pPr>
            <w:r>
              <w:t xml:space="preserve">High Density</w:t>
            </w:r>
          </w:p>
        </w:tc>
      </w:tr>
      <w:tr>
        <w:tc>
          <w:tcPr/>
          <w:p>
            <w:pPr>
              <w:pStyle w:val="Compact"/>
            </w:pPr>
            <w:r>
              <w:t xml:space="preserve">Ports</w:t>
            </w:r>
          </w:p>
        </w:tc>
        <w:tc>
          <w:tcPr/>
          <w:p>
            <w:pPr>
              <w:pStyle w:val="Compact"/>
            </w:pPr>
            <w:r>
              <w:t xml:space="preserve">VO</w:t>
            </w:r>
          </w:p>
        </w:tc>
        <w:tc>
          <w:tcPr/>
          <w:p>
            <w:pPr>
              <w:pStyle w:val="Compact"/>
            </w:pPr>
            <w:r>
              <w:t xml:space="preserve">Via Rom</w:t>
            </w:r>
          </w:p>
        </w:tc>
      </w:tr>
      <w:tr>
        <w:tc>
          <w:tcPr/>
          <w:p>
            <w:pPr>
              <w:pStyle w:val="Compact"/>
            </w:pPr>
            <w:r>
              <w:t xml:space="preserve">Product</w:t>
            </w:r>
            <w:r>
              <w:t xml:space="preserve"> </w:t>
            </w:r>
            <w:r>
              <w:t xml:space="preserve">subfamily</w:t>
            </w:r>
          </w:p>
        </w:tc>
        <w:tc>
          <w:tcPr/>
          <w:p>
            <w:pPr>
              <w:pStyle w:val="Compact"/>
            </w:pPr>
            <w:r>
              <w:t xml:space="preserve">SR</w:t>
            </w:r>
          </w:p>
        </w:tc>
        <w:tc>
          <w:tcPr/>
          <w:p>
            <w:pPr>
              <w:pStyle w:val="Compact"/>
            </w:pPr>
            <w:r>
              <w:t xml:space="preserve">Compiler</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34"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3611"/>
        <w:tblLayout w:type="fixed"/>
        <w:tblLook w:firstRow="1" w:lastRow="0" w:firstColumn="0" w:lastColumn="0" w:noHBand="0" w:noVBand="0" w:val="0020"/>
        <w:tblCaption w:val="Table 1-3 Periphery Vt Settings"/>
      </w:tblPr>
      <w:tblGrid>
        <w:gridCol w:w="1980"/>
        <w:gridCol w:w="3740"/>
      </w:tblGrid>
      <w:tr>
        <w:trPr>
          <w:tblHeader w:val="on"/>
        </w:trPr>
        <w:tc>
          <w:tcPr/>
          <w:p>
            <w:pPr>
              <w:pStyle w:val="Compact"/>
            </w:pPr>
            <w:r>
              <w:t xml:space="preserve">Compiler Name</w:t>
            </w:r>
          </w:p>
        </w:tc>
        <w:tc>
          <w:tcPr/>
          <w:p>
            <w:pPr>
              <w:pStyle w:val="Compact"/>
            </w:pPr>
            <w:r>
              <w:t xml:space="preserve">High Density Via Rom Compiler</w:t>
            </w:r>
          </w:p>
        </w:tc>
      </w:tr>
      <w:tr>
        <w:tc>
          <w:tcPr/>
          <w:p>
            <w:pPr>
              <w:pStyle w:val="Compact"/>
            </w:pPr>
            <w:r>
              <w:t xml:space="preserve">SVT</w:t>
            </w:r>
          </w:p>
        </w:tc>
        <w:tc>
          <w:tcPr/>
          <w:p>
            <w:pPr>
              <w:pStyle w:val="Compact"/>
            </w:pPr>
            <w:r>
              <w:t xml:space="preserve">Default</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3611"/>
        <w:tblLayout w:type="fixed"/>
        <w:tblLook w:firstRow="1" w:lastRow="0" w:firstColumn="0" w:lastColumn="0" w:noHBand="0" w:noVBand="0" w:val="0020"/>
        <w:tblCaption w:val="Table 1-4 Devices in Periphery Vt"/>
      </w:tblPr>
      <w:tblGrid>
        <w:gridCol w:w="1980"/>
        <w:gridCol w:w="3740"/>
      </w:tblGrid>
      <w:tr>
        <w:trPr>
          <w:tblHeader w:val="on"/>
        </w:trPr>
        <w:tc>
          <w:tcPr/>
          <w:p>
            <w:pPr>
              <w:pStyle w:val="Compact"/>
            </w:pPr>
            <w:r>
              <w:t xml:space="preserve">Compiler Name</w:t>
            </w:r>
          </w:p>
        </w:tc>
        <w:tc>
          <w:tcPr/>
          <w:p>
            <w:pPr>
              <w:pStyle w:val="Compact"/>
            </w:pPr>
            <w:r>
              <w:t xml:space="preserve">High Density Via Rom Compiler</w:t>
            </w:r>
          </w:p>
        </w:tc>
      </w:tr>
      <w:tr>
        <w:tc>
          <w:tcPr/>
          <w:p>
            <w:pPr>
              <w:pStyle w:val="Compact"/>
            </w:pPr>
            <w:r>
              <w:t xml:space="preserve">SVT</w:t>
            </w:r>
          </w:p>
        </w:tc>
        <w:tc>
          <w:tcPr/>
          <w:p>
            <w:pPr>
              <w:pStyle w:val="Compact"/>
            </w:pPr>
            <w:r>
              <w:t xml:space="preserve">lvtll and lvt,</w:t>
            </w:r>
            <w:r>
              <w:t xml:space="preserve"> </w:t>
            </w:r>
            <w:r>
              <w:t xml:space="preserve">ulvtll, ulvt</w:t>
            </w:r>
          </w:p>
        </w:tc>
      </w:tr>
      <w:tr>
        <w:tc>
          <w:tcPr/>
          <w:p>
            <w:pPr>
              <w:pStyle w:val="Compact"/>
            </w:pPr>
            <w:r>
              <w:t xml:space="preserve">LVT</w:t>
            </w:r>
          </w:p>
        </w:tc>
        <w:tc>
          <w:tcPr/>
          <w:p>
            <w:pPr>
              <w:pStyle w:val="Compact"/>
            </w:pPr>
            <w:r>
              <w:t xml:space="preserve">lvt and lvtll,</w:t>
            </w:r>
            <w:r>
              <w:t xml:space="preserve"> </w:t>
            </w:r>
            <w:r>
              <w:t xml:space="preserve">ulvtll, ulvt</w:t>
            </w:r>
          </w:p>
        </w:tc>
      </w:tr>
      <w:tr>
        <w:tc>
          <w:tcPr/>
          <w:p>
            <w:pPr>
              <w:pStyle w:val="Compact"/>
            </w:pPr>
            <w:r>
              <w:t xml:space="preserve">ULVT</w:t>
            </w:r>
          </w:p>
        </w:tc>
        <w:tc>
          <w:tcPr/>
          <w:p>
            <w:pPr>
              <w:pStyle w:val="Compact"/>
            </w:pPr>
            <w:r>
              <w:t xml:space="preserve">ulvt and lvtll,</w:t>
            </w:r>
            <w:r>
              <w:t xml:space="preserve"> </w:t>
            </w:r>
            <w:r>
              <w:t xml:space="preserve">lvt, ulvtll</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cen-gating"/>
    <w:p>
      <w:pPr>
        <w:pStyle w:val="4"/>
      </w:pPr>
      <w:r>
        <w:t xml:space="preserve">1.4.3 CEN-Gating</w:t>
      </w:r>
    </w:p>
    <w:p>
      <w:pPr>
        <w:pStyle w:val="TableCaption"/>
      </w:pPr>
      <w:r>
        <w:rPr>
          <w:b/>
          <w:bCs/>
        </w:rPr>
        <w:t xml:space="preserve">Table 1-6 CEN-Gating</w:t>
      </w:r>
    </w:p>
    <w:tbl>
      <w:tblPr>
        <w:tblStyle w:val="Table"/>
        <w:tblW w:type="pct" w:w="5000"/>
        <w:tblLayout w:type="fixed"/>
        <w:tblLook w:firstRow="1" w:lastRow="0" w:firstColumn="0" w:lastColumn="0" w:noHBand="0" w:noVBand="0" w:val="0020"/>
        <w:tblCaption w:val="Table 1-6 CEN-Gating"/>
      </w:tblPr>
      <w:tblGrid>
        <w:gridCol w:w="1197"/>
        <w:gridCol w:w="6722"/>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 input pins are not gated by the CEN pin may increase</w:t>
            </w:r>
            <w:r>
              <w:t xml:space="preserve"> </w:t>
            </w:r>
            <w:r>
              <w:t xml:space="preserve">toggle power. In this case, CEN requires a relatively small setup</w:t>
            </w:r>
            <w:r>
              <w:t xml:space="preserve"> </w:t>
            </w:r>
            <w:r>
              <w:t xml:space="preserve">time.</w:t>
            </w:r>
            <w:r>
              <w:br/>
            </w:r>
            <w:r>
              <w:t xml:space="preserve">To reduce the toggle power of the input pins, users can enable the</w:t>
            </w:r>
            <w:r>
              <w:t xml:space="preserve"> </w:t>
            </w:r>
            <w:r>
              <w:t xml:space="preserve">CEN-Gating feature; however, the setup time of CEN may increase.</w:t>
            </w:r>
          </w:p>
        </w:tc>
      </w:tr>
    </w:tbl>
    <w:bookmarkEnd w:id="30"/>
    <w:bookmarkStart w:id="31" w:name="power-gating"/>
    <w:p>
      <w:pPr>
        <w:pStyle w:val="4"/>
      </w:pPr>
      <w:r>
        <w:t xml:space="preserve">1.4.4 Power Gating</w:t>
      </w:r>
    </w:p>
    <w:p>
      <w:pPr>
        <w:pStyle w:val="TableCaption"/>
      </w:pPr>
      <w:r>
        <w:rPr>
          <w:b/>
          <w:bCs/>
        </w:rPr>
        <w:t xml:space="preserve">Table 1-7 Power Gating Mode</w:t>
      </w:r>
    </w:p>
    <w:tbl>
      <w:tblPr>
        <w:tblStyle w:val="Table"/>
        <w:tblW w:type="pct" w:w="4957"/>
        <w:tblLayout w:type="fixed"/>
        <w:tblLook w:firstRow="1" w:lastRow="0" w:firstColumn="0" w:lastColumn="0" w:noHBand="0" w:noVBand="0" w:val="0020"/>
        <w:tblCaption w:val="Table 1-7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1"/>
    <w:bookmarkStart w:id="32" w:name="self-time-bypass"/>
    <w:p>
      <w:pPr>
        <w:pStyle w:val="4"/>
      </w:pPr>
      <w:r>
        <w:t xml:space="preserve">1.4.5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32"/>
    <w:bookmarkStart w:id="33" w:name="timing-margin-control"/>
    <w:p>
      <w:pPr>
        <w:pStyle w:val="4"/>
      </w:pPr>
      <w:r>
        <w:t xml:space="preserve">1.4.6 Timing Margin Control</w:t>
      </w:r>
    </w:p>
    <w:p>
      <w:pPr>
        <w:pStyle w:val="FirstParagraph"/>
      </w:pPr>
      <w:r>
        <w:t xml:space="preserve">Memory compilers provide the Timing Margin Control feature.</w:t>
      </w:r>
    </w:p>
    <w:p>
      <w:pPr>
        <w:pStyle w:val="BodyText"/>
      </w:pPr>
      <w:r>
        <w:t xml:space="preserve">The read operation time of ROM is controlled by Timing Margin.The read operation process of single-end ROM is as follows:</w:t>
      </w:r>
    </w:p>
    <w:p>
      <w:pPr>
        <w:pStyle w:val="Compact"/>
        <w:numPr>
          <w:ilvl w:val="0"/>
          <w:numId w:val="1001"/>
        </w:numPr>
      </w:pPr>
      <w:r>
        <w:t xml:space="preserve">The read bit line be precharged to logic 1.</w:t>
      </w:r>
    </w:p>
    <w:p>
      <w:pPr>
        <w:pStyle w:val="Compact"/>
        <w:numPr>
          <w:ilvl w:val="0"/>
          <w:numId w:val="1001"/>
        </w:numPr>
      </w:pPr>
      <w:r>
        <w:t xml:space="preserve">The word line transitions to a high voltage level, and the read bit line precharge signal is disabled.</w:t>
      </w:r>
    </w:p>
    <w:p>
      <w:pPr>
        <w:pStyle w:val="Compact"/>
        <w:numPr>
          <w:ilvl w:val="0"/>
          <w:numId w:val="1001"/>
        </w:numPr>
      </w:pPr>
      <w:r>
        <w:t xml:space="preserve">The internal signal of the bitcell pulls down or keep the corresponding bit line through the transmission gate, then read bit line will pulled down to logic 0 or keep logic 1.</w:t>
      </w:r>
    </w:p>
    <w:p>
      <w:pPr>
        <w:pStyle w:val="Compact"/>
        <w:numPr>
          <w:ilvl w:val="0"/>
          <w:numId w:val="1001"/>
        </w:numPr>
      </w:pPr>
      <w:r>
        <w:t xml:space="preserve">The single end sense amplifier is activated to drive read bit line`s voltage to output data.</w:t>
      </w:r>
    </w:p>
    <w:p>
      <w:pPr>
        <w:pStyle w:val="FirstParagraph"/>
      </w:pPr>
      <w:r>
        <w:t xml:space="preserve">Read operations in ROM require a certain amount of time to ensure their completion. In fact, there is a negative correlation between the capacity and yield of ROM, meaning that a larger capacity often indicates a lower yield.</w:t>
      </w:r>
    </w:p>
    <w:p>
      <w:pPr>
        <w:pStyle w:val="BodyText"/>
      </w:pPr>
      <w:r>
        <w:t xml:space="preserve">As the capacity increases, ROM bitcell exhibits varying variability, leading to distinct characteristics in its read capabilities. This variability can be mitigated by extending the duration of read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ROM read operations through</w:t>
      </w:r>
      <w:r>
        <w:t xml:space="preserve"> </w:t>
      </w:r>
      <w:r>
        <w:rPr>
          <w:rStyle w:val="VerbatimChar"/>
        </w:rPr>
        <w:t xml:space="preserve">Timing Margin Control</w:t>
      </w:r>
      <w:r>
        <w:t xml:space="preserve">.</w:t>
      </w:r>
    </w:p>
    <w:p>
      <w:pPr>
        <w:pStyle w:val="TableCaption"/>
      </w:pPr>
      <w:r>
        <w:rPr>
          <w:b/>
          <w:bCs/>
        </w:rPr>
        <w:t xml:space="preserve">Table 1-8 Timing Mode Settings</w:t>
      </w:r>
    </w:p>
    <w:tbl>
      <w:tblPr>
        <w:tblStyle w:val="Table"/>
        <w:tblW w:type="pct" w:w="5000"/>
        <w:tblLayout w:type="fixed"/>
        <w:tblLook w:firstRow="1" w:lastRow="0" w:firstColumn="0" w:lastColumn="0" w:noHBand="0" w:noVBand="0" w:val="0020"/>
        <w:tblCaption w:val="Table 1-8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TMEH/TMEL</w:t>
      </w:r>
      <w:r>
        <w:t xml:space="preserve"> </w:t>
      </w:r>
      <w:r>
        <w:t xml:space="preserve">pin. The</w:t>
      </w:r>
      <w:r>
        <w:t xml:space="preserve"> </w:t>
      </w:r>
      <w:r>
        <w:rPr>
          <w:rStyle w:val="VerbatimChar"/>
        </w:rPr>
        <w:t xml:space="preserve">TMEH/TMEL</w:t>
      </w:r>
      <w:r>
        <w:t xml:space="preserve"> </w:t>
      </w:r>
      <w:r>
        <w:t xml:space="preserve">pin allows for the selection between internal default margin control and external margin control. When</w:t>
      </w:r>
      <w:r>
        <w:t xml:space="preserve"> </w:t>
      </w:r>
      <w:r>
        <w:rPr>
          <w:rStyle w:val="VerbatimChar"/>
        </w:rPr>
        <w:t xml:space="preserve">TMEH/TMEL</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TMH/TML</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TMH/TML</w:t>
      </w:r>
      <w:r>
        <w:t xml:space="preserve"> </w:t>
      </w:r>
      <w:r>
        <w:t xml:space="preserve">pins, including</w:t>
      </w:r>
      <w:r>
        <w:t xml:space="preserve"> </w:t>
      </w:r>
      <w:r>
        <w:rPr>
          <w:rStyle w:val="VerbatimChar"/>
        </w:rPr>
        <w:t xml:space="preserve">TMEH/TMEL</w:t>
      </w:r>
      <w:r>
        <w:t xml:space="preserve">, is provided for debug and yield analysis purposes.</w:t>
      </w:r>
    </w:p>
    <w:p>
      <w:pPr>
        <w:pStyle w:val="BodyText"/>
      </w:pPr>
      <w:r>
        <w:t xml:space="preserve">When</w:t>
      </w:r>
      <w:r>
        <w:t xml:space="preserve"> </w:t>
      </w:r>
      <w:r>
        <w:rPr>
          <w:rStyle w:val="VerbatimChar"/>
        </w:rPr>
        <w:t xml:space="preserve">TMEH/TMEL</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TMH/TML</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TMH/TML</w:t>
      </w:r>
      <w:r>
        <w:t xml:space="preserve"> </w:t>
      </w:r>
      <w:r>
        <w:t xml:space="preserve">interface is uniformly encoded, ensuring that all compilers have the same default</w:t>
      </w:r>
      <w:r>
        <w:t xml:space="preserve"> </w:t>
      </w:r>
      <w:r>
        <w:rPr>
          <w:rStyle w:val="VerbatimChar"/>
        </w:rPr>
        <w:t xml:space="preserve">TMH/TML</w:t>
      </w:r>
      <w:r>
        <w:t xml:space="preserve"> </w:t>
      </w:r>
      <w:r>
        <w:t xml:space="preserve">value. Users can configure the settings from the options shown in the table below according to their application requirements.</w:t>
      </w:r>
    </w:p>
    <w:p>
      <w:pPr>
        <w:pStyle w:val="TableCaption"/>
      </w:pPr>
      <w:r>
        <w:rPr>
          <w:b/>
          <w:bCs/>
        </w:rPr>
        <w:t xml:space="preserve">Table 1-9 Default TM Bus Settings</w:t>
      </w:r>
    </w:p>
    <w:tbl>
      <w:tblPr>
        <w:tblStyle w:val="Table"/>
        <w:tblW w:type="pct" w:w="4653"/>
        <w:tblLayout w:type="fixed"/>
        <w:tblLook w:firstRow="1" w:lastRow="0" w:firstColumn="0" w:lastColumn="0" w:noHBand="0" w:noVBand="0" w:val="0020"/>
        <w:tblCaption w:val="Table 1-9 Default TM Bus Settings"/>
      </w:tblPr>
      <w:tblGrid>
        <w:gridCol w:w="1870"/>
        <w:gridCol w:w="880"/>
        <w:gridCol w:w="2310"/>
        <w:gridCol w:w="231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TMH[3:0]</w:t>
            </w:r>
          </w:p>
        </w:tc>
        <w:tc>
          <w:tcPr/>
          <w:p>
            <w:pPr>
              <w:pStyle w:val="Compact"/>
            </w:pPr>
            <w:r>
              <w:t xml:space="preserve">Default TML[5:0]</w:t>
            </w:r>
          </w:p>
        </w:tc>
      </w:tr>
      <w:tr>
        <w:tc>
          <w:tcPr/>
          <w:p>
            <w:pPr>
              <w:pStyle w:val="Compact"/>
            </w:pPr>
            <w:r>
              <w:t xml:space="preserve">SVT</w:t>
            </w:r>
          </w:p>
        </w:tc>
        <w:tc>
          <w:tcPr/>
          <w:p>
            <w:pPr>
              <w:pStyle w:val="Compact"/>
            </w:pPr>
            <w:r>
              <w:t xml:space="preserve">8</w:t>
            </w:r>
          </w:p>
        </w:tc>
        <w:tc>
          <w:tcPr/>
          <w:p>
            <w:pPr>
              <w:pStyle w:val="Compact"/>
            </w:pPr>
            <w:r>
              <w:t xml:space="preserve">1000</w:t>
            </w:r>
          </w:p>
        </w:tc>
        <w:tc>
          <w:tcPr/>
          <w:p>
            <w:pPr>
              <w:pStyle w:val="SourceCode"/>
            </w:pPr>
            <w:r>
              <w:rPr>
                <w:rStyle w:val="VerbatimChar"/>
              </w:rPr>
              <w:t xml:space="preserve">        000100</w:t>
            </w:r>
          </w:p>
        </w:tc>
      </w:tr>
      <w:tr>
        <w:tc>
          <w:tcPr/>
          <w:p>
            <w:pPr>
              <w:pStyle w:val="Compact"/>
            </w:pPr>
            <w:r>
              <w:t xml:space="preserve">SVT</w:t>
            </w:r>
          </w:p>
        </w:tc>
        <w:tc>
          <w:tcPr/>
          <w:p>
            <w:pPr>
              <w:pStyle w:val="Compact"/>
            </w:pPr>
            <w:r>
              <w:t xml:space="preserve">16</w:t>
            </w:r>
          </w:p>
        </w:tc>
        <w:tc>
          <w:tcPr/>
          <w:p>
            <w:pPr>
              <w:pStyle w:val="Compact"/>
            </w:pPr>
            <w:r>
              <w:t xml:space="preserve">1000</w:t>
            </w:r>
          </w:p>
        </w:tc>
        <w:tc>
          <w:tcPr/>
          <w:p>
            <w:pPr>
              <w:pStyle w:val="SourceCode"/>
            </w:pPr>
            <w:r>
              <w:rPr>
                <w:rStyle w:val="VerbatimChar"/>
              </w:rPr>
              <w:t xml:space="preserve">        000100</w:t>
            </w:r>
          </w:p>
        </w:tc>
      </w:tr>
      <w:tr>
        <w:tc>
          <w:tcPr/>
          <w:p>
            <w:pPr>
              <w:pStyle w:val="Compact"/>
            </w:pPr>
            <w:r>
              <w:t xml:space="preserve">SVT</w:t>
            </w:r>
          </w:p>
        </w:tc>
        <w:tc>
          <w:tcPr/>
          <w:p>
            <w:pPr>
              <w:pStyle w:val="Compact"/>
            </w:pPr>
            <w:r>
              <w:t xml:space="preserve">32</w:t>
            </w:r>
          </w:p>
        </w:tc>
        <w:tc>
          <w:tcPr/>
          <w:p>
            <w:pPr>
              <w:pStyle w:val="Compact"/>
            </w:pPr>
            <w:r>
              <w:t xml:space="preserve">1000</w:t>
            </w:r>
          </w:p>
        </w:tc>
        <w:tc>
          <w:tcPr/>
          <w:p>
            <w:pPr>
              <w:pStyle w:val="SourceCode"/>
            </w:pPr>
            <w:r>
              <w:rPr>
                <w:rStyle w:val="VerbatimChar"/>
              </w:rPr>
              <w:t xml:space="preserve">        000100</w:t>
            </w:r>
          </w:p>
        </w:tc>
      </w:tr>
      <w:tr>
        <w:tc>
          <w:tcPr/>
          <w:p>
            <w:pPr>
              <w:pStyle w:val="Compact"/>
            </w:pPr>
            <w:r>
              <w:t xml:space="preserve">SVT</w:t>
            </w:r>
          </w:p>
        </w:tc>
        <w:tc>
          <w:tcPr/>
          <w:p>
            <w:pPr>
              <w:pStyle w:val="Compact"/>
            </w:pPr>
            <w:r>
              <w:t xml:space="preserve">64</w:t>
            </w:r>
          </w:p>
        </w:tc>
        <w:tc>
          <w:tcPr/>
          <w:p>
            <w:pPr>
              <w:pStyle w:val="Compact"/>
            </w:pPr>
            <w:r>
              <w:t xml:space="preserve">1000</w:t>
            </w:r>
          </w:p>
        </w:tc>
        <w:tc>
          <w:tcPr/>
          <w:p>
            <w:pPr>
              <w:pStyle w:val="SourceCode"/>
            </w:pPr>
            <w:r>
              <w:rPr>
                <w:rStyle w:val="VerbatimChar"/>
              </w:rPr>
              <w:t xml:space="preserve">        000100</w:t>
            </w:r>
          </w:p>
        </w:tc>
      </w:tr>
      <w:tr>
        <w:tc>
          <w:tcPr/>
          <w:p>
            <w:pPr>
              <w:pStyle w:val="Compact"/>
            </w:pPr>
            <w:r>
              <w:t xml:space="preserve">LVT</w:t>
            </w:r>
          </w:p>
        </w:tc>
        <w:tc>
          <w:tcPr/>
          <w:p>
            <w:pPr>
              <w:pStyle w:val="Compact"/>
            </w:pPr>
            <w:r>
              <w:t xml:space="preserve">8</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LVT</w:t>
            </w:r>
          </w:p>
        </w:tc>
        <w:tc>
          <w:tcPr/>
          <w:p>
            <w:pPr>
              <w:pStyle w:val="Compact"/>
            </w:pPr>
            <w:r>
              <w:t xml:space="preserve">16</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LVT</w:t>
            </w:r>
          </w:p>
        </w:tc>
        <w:tc>
          <w:tcPr/>
          <w:p>
            <w:pPr>
              <w:pStyle w:val="Compact"/>
            </w:pPr>
            <w:r>
              <w:t xml:space="preserve">32</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LVT</w:t>
            </w:r>
          </w:p>
        </w:tc>
        <w:tc>
          <w:tcPr/>
          <w:p>
            <w:pPr>
              <w:pStyle w:val="Compact"/>
            </w:pPr>
            <w:r>
              <w:t xml:space="preserve">64</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ULVT</w:t>
            </w:r>
          </w:p>
        </w:tc>
        <w:tc>
          <w:tcPr/>
          <w:p>
            <w:pPr>
              <w:pStyle w:val="Compact"/>
            </w:pPr>
            <w:r>
              <w:t xml:space="preserve">8</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ULVT</w:t>
            </w:r>
          </w:p>
        </w:tc>
        <w:tc>
          <w:tcPr/>
          <w:p>
            <w:pPr>
              <w:pStyle w:val="Compact"/>
            </w:pPr>
            <w:r>
              <w:t xml:space="preserve">16</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ULVT</w:t>
            </w:r>
          </w:p>
        </w:tc>
        <w:tc>
          <w:tcPr/>
          <w:p>
            <w:pPr>
              <w:pStyle w:val="Compact"/>
            </w:pPr>
            <w:r>
              <w:t xml:space="preserve">32</w:t>
            </w:r>
          </w:p>
        </w:tc>
        <w:tc>
          <w:tcPr/>
          <w:p>
            <w:pPr>
              <w:pStyle w:val="Compact"/>
            </w:pPr>
            <w:r>
              <w:t xml:space="preserve">1100</w:t>
            </w:r>
          </w:p>
        </w:tc>
        <w:tc>
          <w:tcPr/>
          <w:p>
            <w:pPr>
              <w:pStyle w:val="SourceCode"/>
            </w:pPr>
            <w:r>
              <w:rPr>
                <w:rStyle w:val="VerbatimChar"/>
              </w:rPr>
              <w:t xml:space="preserve">        001100</w:t>
            </w:r>
          </w:p>
        </w:tc>
      </w:tr>
      <w:tr>
        <w:tc>
          <w:tcPr/>
          <w:p>
            <w:pPr>
              <w:pStyle w:val="Compact"/>
            </w:pPr>
            <w:r>
              <w:t xml:space="preserve">ULVT</w:t>
            </w:r>
          </w:p>
        </w:tc>
        <w:tc>
          <w:tcPr/>
          <w:p>
            <w:pPr>
              <w:pStyle w:val="Compact"/>
            </w:pPr>
            <w:r>
              <w:t xml:space="preserve">64</w:t>
            </w:r>
          </w:p>
        </w:tc>
        <w:tc>
          <w:tcPr/>
          <w:p>
            <w:pPr>
              <w:pStyle w:val="Compact"/>
            </w:pPr>
            <w:r>
              <w:t xml:space="preserve">1100</w:t>
            </w:r>
          </w:p>
        </w:tc>
        <w:tc>
          <w:tcPr/>
          <w:p>
            <w:pPr>
              <w:pStyle w:val="SourceCode"/>
            </w:pPr>
            <w:r>
              <w:rPr>
                <w:rStyle w:val="VerbatimChar"/>
              </w:rPr>
              <w:t xml:space="preserve">        001100</w:t>
            </w:r>
          </w:p>
        </w:tc>
      </w:tr>
    </w:tbl>
    <w:p>
      <w:pPr>
        <w:pStyle w:val="aff1"/>
      </w:pPr>
      <w:r>
        <w:t xml:space="preserve">Note: For additional characterization data of TM settings, users can contact the Support Team.</w:t>
      </w:r>
    </w:p>
    <w:bookmarkEnd w:id="33"/>
    <w:bookmarkEnd w:id="34"/>
    <w:bookmarkEnd w:id="35"/>
    <w:bookmarkStart w:id="56" w:name="chapter-2-compiler-profile"/>
    <w:p>
      <w:pPr>
        <w:pStyle w:val="2"/>
      </w:pPr>
      <w:r>
        <w:t xml:space="preserve">Chapter 2 Compiler Profile</w:t>
      </w:r>
    </w:p>
    <w:bookmarkStart w:id="55" w:name="specifications"/>
    <w:p>
      <w:pPr>
        <w:pStyle w:val="3"/>
      </w:pPr>
      <w:r>
        <w:t xml:space="preserve">2.1 Specifications</w:t>
      </w:r>
    </w:p>
    <w:p>
      <w:pPr>
        <w:pStyle w:val="FirstParagraph"/>
      </w:pPr>
      <w:r>
        <w:t xml:space="preserve">The specifications of High Density Via Rom Compiler.</w:t>
      </w:r>
    </w:p>
    <w:bookmarkStart w:id="36" w:name="pin-description"/>
    <w:p>
      <w:pPr>
        <w:pStyle w:val="4"/>
      </w:pPr>
      <w:r>
        <w:t xml:space="preserve">2.1.1 Pin Description</w:t>
      </w:r>
    </w:p>
    <w:p>
      <w:pPr>
        <w:pStyle w:val="TableCaption"/>
      </w:pPr>
      <w:r>
        <w:rPr>
          <w:b/>
          <w:bCs/>
        </w:rPr>
        <w:t xml:space="preserve">Table 2-1 Input Pin Description</w:t>
      </w:r>
    </w:p>
    <w:tbl>
      <w:tblPr>
        <w:tblStyle w:val="Table"/>
        <w:tblW w:type="pct" w:w="4952"/>
        <w:tblLayout w:type="fixed"/>
        <w:tblLook w:firstRow="1" w:lastRow="0" w:firstColumn="0" w:lastColumn="0" w:noHBand="0" w:noVBand="0" w:val="0020"/>
        <w:tblCaption w:val="Table 2-1 Input Pin Description"/>
      </w:tblPr>
      <w:tblGrid>
        <w:gridCol w:w="913"/>
        <w:gridCol w:w="1446"/>
        <w:gridCol w:w="5483"/>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 [m-1:0]</w:t>
            </w:r>
          </w:p>
        </w:tc>
        <w:tc>
          <w:tcPr/>
          <w:p>
            <w:pPr>
              <w:pStyle w:val="Compact"/>
            </w:pPr>
            <w:r>
              <w:t xml:space="preserve">Always</w:t>
            </w:r>
          </w:p>
        </w:tc>
        <w:tc>
          <w:tcPr/>
          <w:p>
            <w:pPr>
              <w:pStyle w:val="Compact"/>
            </w:pPr>
            <w:r>
              <w:t xml:space="preserve">Address input.</w:t>
            </w:r>
          </w:p>
        </w:tc>
      </w:tr>
      <w:tr>
        <w:tc>
          <w:tcPr/>
          <w:p>
            <w:pPr>
              <w:pStyle w:val="Compact"/>
            </w:pPr>
            <w:r>
              <w:t xml:space="preserve">CEN</w:t>
            </w:r>
          </w:p>
        </w:tc>
        <w:tc>
          <w:tcPr/>
          <w:p>
            <w:pPr>
              <w:pStyle w:val="Compact"/>
            </w:pPr>
            <w:r>
              <w:t xml:space="preserve">Always</w:t>
            </w:r>
          </w:p>
        </w:tc>
        <w:tc>
          <w:tcPr/>
          <w:p>
            <w:pPr>
              <w:pStyle w:val="Compact"/>
            </w:pPr>
            <w:r>
              <w:t xml:space="preserve">Chip Enable input. The memory is enabled and can perform read/write</w:t>
            </w:r>
            <w:r>
              <w:t xml:space="preserve"> </w:t>
            </w:r>
            <w:r>
              <w:t xml:space="preserve">operations when CEN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Enable input.</w:t>
            </w:r>
            <w:r>
              <w:br/>
            </w:r>
            <w:r>
              <w:t xml:space="preserve">TME = 0, select the default Timing Margin Control setting;</w:t>
            </w:r>
            <w:r>
              <w:br/>
            </w:r>
            <w:r>
              <w:t xml:space="preserve">TME = 1, select the external Timing Margin Control pin setting.</w:t>
            </w:r>
          </w:p>
        </w:tc>
      </w:tr>
      <w:tr>
        <w:tc>
          <w:tcPr/>
          <w:p>
            <w:pPr>
              <w:pStyle w:val="Compact"/>
            </w:pPr>
            <w:r>
              <w:t xml:space="preserve">TMH [3:0]</w:t>
            </w:r>
          </w:p>
        </w:tc>
        <w:tc>
          <w:tcPr/>
          <w:p>
            <w:pPr>
              <w:pStyle w:val="Compact"/>
            </w:pPr>
            <w:r>
              <w:t xml:space="preserve">Always</w:t>
            </w:r>
          </w:p>
        </w:tc>
        <w:tc>
          <w:tcPr/>
          <w:p>
            <w:pPr>
              <w:pStyle w:val="Compact"/>
            </w:pPr>
            <w:r>
              <w:t xml:space="preserve">This pin must be controlled by software/firmware in silicon.</w:t>
            </w:r>
            <w:r>
              <w:br/>
            </w:r>
            <w:r>
              <w:t xml:space="preserve">Precharge Timing Margin Control Input bus.</w:t>
            </w:r>
            <w:r>
              <w:br/>
            </w:r>
            <w:r>
              <w:t xml:space="preserve">The setting of TMH[3:0] controls the Tcq and Tcyc value of memory.</w:t>
            </w:r>
            <w:r>
              <w:br/>
            </w:r>
            <w:r>
              <w:t xml:space="preserve">TMH[3:0] = 4’b0000 is the slowest operating mode.</w:t>
            </w:r>
          </w:p>
        </w:tc>
      </w:tr>
      <w:tr>
        <w:tc>
          <w:tcPr/>
          <w:p>
            <w:pPr>
              <w:pStyle w:val="Compact"/>
            </w:pPr>
            <w:r>
              <w:t xml:space="preserve">TML [5:0]</w:t>
            </w:r>
          </w:p>
        </w:tc>
        <w:tc>
          <w:tcPr/>
          <w:p>
            <w:pPr>
              <w:pStyle w:val="Compact"/>
            </w:pPr>
            <w:r>
              <w:t xml:space="preserve">Always</w:t>
            </w:r>
          </w:p>
        </w:tc>
        <w:tc>
          <w:tcPr/>
          <w:p>
            <w:pPr>
              <w:pStyle w:val="Compact"/>
            </w:pPr>
            <w:r>
              <w:t xml:space="preserve">This pin must be controlled by software/firmware in silicon.</w:t>
            </w:r>
            <w:r>
              <w:br/>
            </w:r>
            <w:r>
              <w:t xml:space="preserve">Discharge Timing Margin Control Input bus.</w:t>
            </w:r>
            <w:r>
              <w:br/>
            </w:r>
            <w:r>
              <w:t xml:space="preserve">The setting of TML[5:0] controls the Tcq and Tcyc value of memory.</w:t>
            </w:r>
            <w:r>
              <w:br/>
            </w:r>
            <w:r>
              <w:t xml:space="preserve">TML[5:0] = 6’b001000 is the slowest operating mode.</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Rom can always retain the memory data.</w:t>
            </w:r>
          </w:p>
        </w:tc>
      </w:tr>
      <w:tr>
        <w:tc>
          <w:tcPr/>
          <w:p>
            <w:pPr>
              <w:pStyle w:val="Compact"/>
            </w:pPr>
            <w:r>
              <w:t xml:space="preserve">ASE</w:t>
            </w:r>
          </w:p>
        </w:tc>
        <w:tc>
          <w:tcPr/>
          <w:p>
            <w:pPr>
              <w:pStyle w:val="Compact"/>
            </w:pPr>
            <w:r>
              <w:t xml:space="preserve">Anti Signature</w:t>
            </w:r>
            <w:r>
              <w:t xml:space="preserve"> </w:t>
            </w:r>
            <w:r>
              <w:t xml:space="preserve">feature</w:t>
            </w:r>
          </w:p>
        </w:tc>
        <w:tc>
          <w:tcPr/>
          <w:p>
            <w:pPr>
              <w:pStyle w:val="Compact"/>
            </w:pPr>
            <w:r>
              <w:t xml:space="preserve">Anti Signature Enable Input. When user specify the programmed rom</w:t>
            </w:r>
            <w:r>
              <w:t xml:space="preserve"> </w:t>
            </w:r>
            <w:r>
              <w:t xml:space="preserve">code, ROM will store the anti signature code. Anti signature code is</w:t>
            </w:r>
            <w:r>
              <w:t xml:space="preserve"> </w:t>
            </w:r>
            <w:r>
              <w:t xml:space="preserve">calculated using a dedicated encryption algorithm. When ASE set to</w:t>
            </w:r>
            <w:r>
              <w:t xml:space="preserve"> </w:t>
            </w:r>
            <w:r>
              <w:t xml:space="preserve">logic HIGH, the anti signature code will be available on the output</w:t>
            </w:r>
            <w:r>
              <w:t xml:space="preserve"> </w:t>
            </w:r>
            <w:r>
              <w:t xml:space="preserve">pins independent of address being applied.</w:t>
            </w:r>
          </w:p>
        </w:tc>
      </w:tr>
    </w:tbl>
    <w:p/>
    <w:p>
      <w:pPr>
        <w:pStyle w:val="TableCaption"/>
      </w:pPr>
      <w:r>
        <w:rPr>
          <w:b/>
          <w:bCs/>
        </w:rPr>
        <w:t xml:space="preserve">Table 2-2 Output Pin Description</w:t>
      </w:r>
    </w:p>
    <w:tbl>
      <w:tblPr>
        <w:tblStyle w:val="Table"/>
        <w:tblW w:type="pct" w:w="4953"/>
        <w:tblLayout w:type="fixed"/>
        <w:tblLook w:firstRow="1" w:lastRow="0" w:firstColumn="0" w:lastColumn="0" w:noHBand="0" w:noVBand="0" w:val="0020"/>
        <w:tblCaption w:val="Table 2-2 Output Pin Description"/>
      </w:tblPr>
      <w:tblGrid>
        <w:gridCol w:w="888"/>
        <w:gridCol w:w="1702"/>
        <w:gridCol w:w="5255"/>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 [n-1:0]</w:t>
            </w:r>
          </w:p>
        </w:tc>
        <w:tc>
          <w:tcPr/>
          <w:p>
            <w:pPr>
              <w:pStyle w:val="Compact"/>
            </w:pPr>
            <w:r>
              <w:t xml:space="preserve">always</w:t>
            </w:r>
          </w:p>
        </w:tc>
        <w:tc>
          <w:tcPr/>
          <w:p>
            <w:pPr>
              <w:pStyle w:val="Compact"/>
            </w:pPr>
            <w:r>
              <w:t xml:space="preserve">Data Output bus.</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36"/>
    <w:bookmarkStart w:id="37"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SourceCode"/>
            </w:pPr>
            <w:r>
              <w:rPr>
                <w:rStyle w:val="VerbatimChar"/>
              </w:rPr>
              <w:t xml:space="preserve">512</w:t>
            </w:r>
          </w:p>
        </w:tc>
        <w:tc>
          <w:tcPr/>
          <w:p>
            <w:pPr>
              <w:pStyle w:val="Compact"/>
            </w:pPr>
            <w:r>
              <w:t xml:space="preserve">8192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160</w:t>
            </w:r>
          </w:p>
        </w:tc>
        <w:tc>
          <w:tcPr/>
          <w:p>
            <w:pPr>
              <w:pStyle w:val="Compact"/>
            </w:pPr>
            <w:r>
              <w:t xml:space="preserve">1.25Mb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SourceCode"/>
            </w:pPr>
            <w:r>
              <w:rPr>
                <w:rStyle w:val="VerbatimChar"/>
              </w:rPr>
              <w:t xml:space="preserve">512</w:t>
            </w:r>
          </w:p>
        </w:tc>
        <w:tc>
          <w:tcPr/>
          <w:p>
            <w:pPr>
              <w:pStyle w:val="Compact"/>
            </w:pPr>
            <w:r>
              <w:t xml:space="preserve">16384</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16384</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80</w:t>
            </w:r>
          </w:p>
        </w:tc>
        <w:tc>
          <w:tcPr/>
          <w:p>
            <w:pPr>
              <w:pStyle w:val="Compact"/>
            </w:pPr>
            <w:r>
              <w:t xml:space="preserve">1.25Mb</w:t>
            </w:r>
          </w:p>
        </w:tc>
      </w:tr>
      <w:tr>
        <w:tc>
          <w:tcPr/>
          <w:p>
            <w:pPr>
              <w:pStyle w:val="Compact"/>
            </w:pPr>
            <w:r>
              <w:t xml:space="preserve">32</w:t>
            </w:r>
          </w:p>
        </w:tc>
        <w:tc>
          <w:tcPr/>
          <w:p>
            <w:pPr>
              <w:pStyle w:val="Compact"/>
            </w:pPr>
            <w:r>
              <w:t xml:space="preserve">1</w:t>
            </w:r>
          </w:p>
        </w:tc>
        <w:tc>
          <w:tcPr/>
          <w:p>
            <w:pPr>
              <w:pStyle w:val="Compact"/>
            </w:pPr>
            <w:r>
              <w:t xml:space="preserve">128</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40</w:t>
            </w:r>
          </w:p>
        </w:tc>
        <w:tc>
          <w:tcPr/>
          <w:p>
            <w:pPr>
              <w:pStyle w:val="Compact"/>
            </w:pPr>
            <w:r>
              <w:t xml:space="preserve">320Kb</w:t>
            </w:r>
          </w:p>
        </w:tc>
      </w:tr>
      <w:tr>
        <w:tc>
          <w:tcPr/>
          <w:p>
            <w:pPr>
              <w:pStyle w:val="Compact"/>
            </w:pPr>
            <w:r>
              <w:t xml:space="preserve">32</w:t>
            </w:r>
          </w:p>
        </w:tc>
        <w:tc>
          <w:tcPr/>
          <w:p>
            <w:pPr>
              <w:pStyle w:val="Compact"/>
            </w:pPr>
            <w:r>
              <w:t xml:space="preserve">2</w:t>
            </w:r>
          </w:p>
        </w:tc>
        <w:tc>
          <w:tcPr/>
          <w:p>
            <w:pPr>
              <w:pStyle w:val="Compact"/>
            </w:pPr>
            <w:r>
              <w:t xml:space="preserve">128</w:t>
            </w:r>
          </w:p>
        </w:tc>
        <w:tc>
          <w:tcPr/>
          <w:p>
            <w:pPr>
              <w:pStyle w:val="SourceCode"/>
            </w:pPr>
            <w:r>
              <w:rPr>
                <w:rStyle w:val="VerbatimChar"/>
              </w:rPr>
              <w:t xml:space="preserve">512</w:t>
            </w:r>
          </w:p>
        </w:tc>
        <w:tc>
          <w:tcPr/>
          <w:p>
            <w:pPr>
              <w:pStyle w:val="Compact"/>
            </w:pPr>
            <w:r>
              <w:t xml:space="preserve">16384</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40</w:t>
            </w:r>
          </w:p>
        </w:tc>
        <w:tc>
          <w:tcPr/>
          <w:p>
            <w:pPr>
              <w:pStyle w:val="Compact"/>
            </w:pPr>
            <w:r>
              <w:t xml:space="preserve">640Kb</w:t>
            </w:r>
          </w:p>
        </w:tc>
      </w:tr>
      <w:tr>
        <w:tc>
          <w:tcPr/>
          <w:p>
            <w:pPr>
              <w:pStyle w:val="Compact"/>
            </w:pPr>
            <w:r>
              <w:t xml:space="preserve">32</w:t>
            </w:r>
          </w:p>
        </w:tc>
        <w:tc>
          <w:tcPr/>
          <w:p>
            <w:pPr>
              <w:pStyle w:val="Compact"/>
            </w:pPr>
            <w:r>
              <w:t xml:space="preserve">4</w:t>
            </w:r>
          </w:p>
        </w:tc>
        <w:tc>
          <w:tcPr/>
          <w:p>
            <w:pPr>
              <w:pStyle w:val="Compact"/>
            </w:pPr>
            <w:r>
              <w:t xml:space="preserve">128</w:t>
            </w:r>
          </w:p>
        </w:tc>
        <w:tc>
          <w:tcPr/>
          <w:p>
            <w:pPr>
              <w:pStyle w:val="Compact"/>
            </w:pPr>
            <w:r>
              <w:t xml:space="preserve">1024</w:t>
            </w:r>
          </w:p>
        </w:tc>
        <w:tc>
          <w:tcPr/>
          <w:p>
            <w:pPr>
              <w:pStyle w:val="Compact"/>
            </w:pPr>
            <w:r>
              <w:t xml:space="preserve">32768</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40</w:t>
            </w:r>
          </w:p>
        </w:tc>
        <w:tc>
          <w:tcPr/>
          <w:p>
            <w:pPr>
              <w:pStyle w:val="Compact"/>
            </w:pPr>
            <w:r>
              <w:t xml:space="preserve">1.25Mb</w:t>
            </w:r>
          </w:p>
        </w:tc>
      </w:tr>
      <w:tr>
        <w:tc>
          <w:tcPr/>
          <w:p>
            <w:pPr>
              <w:pStyle w:val="Compact"/>
            </w:pPr>
            <w:r>
              <w:t xml:space="preserve">32</w:t>
            </w:r>
          </w:p>
        </w:tc>
        <w:tc>
          <w:tcPr/>
          <w:p>
            <w:pPr>
              <w:pStyle w:val="Compact"/>
            </w:pPr>
            <w:r>
              <w:t xml:space="preserve">8</w:t>
            </w:r>
          </w:p>
        </w:tc>
        <w:tc>
          <w:tcPr/>
          <w:p>
            <w:pPr>
              <w:pStyle w:val="Compact"/>
            </w:pPr>
            <w:r>
              <w:t xml:space="preserve">128</w:t>
            </w:r>
          </w:p>
        </w:tc>
        <w:tc>
          <w:tcPr/>
          <w:p>
            <w:pPr>
              <w:pStyle w:val="Compact"/>
            </w:pPr>
            <w:r>
              <w:t xml:space="preserve">2048</w:t>
            </w:r>
          </w:p>
        </w:tc>
        <w:tc>
          <w:tcPr/>
          <w:p>
            <w:pPr>
              <w:pStyle w:val="Compact"/>
            </w:pPr>
            <w:r>
              <w:t xml:space="preserve">32768</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40</w:t>
            </w:r>
          </w:p>
        </w:tc>
        <w:tc>
          <w:tcPr/>
          <w:p>
            <w:pPr>
              <w:pStyle w:val="Compact"/>
            </w:pPr>
            <w:r>
              <w:t xml:space="preserve">1.25Mb</w:t>
            </w:r>
          </w:p>
        </w:tc>
      </w:tr>
      <w:tr>
        <w:tc>
          <w:tcPr/>
          <w:p>
            <w:pPr>
              <w:pStyle w:val="Compact"/>
            </w:pPr>
            <w:r>
              <w:t xml:space="preserve">64</w:t>
            </w:r>
          </w:p>
        </w:tc>
        <w:tc>
          <w:tcPr/>
          <w:p>
            <w:pPr>
              <w:pStyle w:val="Compact"/>
            </w:pPr>
            <w:r>
              <w:t xml:space="preserve">1</w:t>
            </w:r>
          </w:p>
        </w:tc>
        <w:tc>
          <w:tcPr/>
          <w:p>
            <w:pPr>
              <w:pStyle w:val="Compact"/>
            </w:pPr>
            <w:r>
              <w:t xml:space="preserve">256</w:t>
            </w:r>
          </w:p>
        </w:tc>
        <w:tc>
          <w:tcPr/>
          <w:p>
            <w:pPr>
              <w:pStyle w:val="SourceCode"/>
            </w:pPr>
            <w:r>
              <w:rPr>
                <w:rStyle w:val="VerbatimChar"/>
              </w:rPr>
              <w:t xml:space="preserve">512</w:t>
            </w:r>
          </w:p>
        </w:tc>
        <w:tc>
          <w:tcPr/>
          <w:p>
            <w:pPr>
              <w:pStyle w:val="Compact"/>
            </w:pPr>
            <w:r>
              <w:t xml:space="preserve">16384</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20</w:t>
            </w:r>
          </w:p>
        </w:tc>
        <w:tc>
          <w:tcPr/>
          <w:p>
            <w:pPr>
              <w:pStyle w:val="Compact"/>
            </w:pPr>
            <w:r>
              <w:t xml:space="preserve">320Kb</w:t>
            </w:r>
          </w:p>
        </w:tc>
      </w:tr>
      <w:tr>
        <w:tc>
          <w:tcPr/>
          <w:p>
            <w:pPr>
              <w:pStyle w:val="Compact"/>
            </w:pPr>
            <w:r>
              <w:t xml:space="preserve">64</w:t>
            </w:r>
          </w:p>
        </w:tc>
        <w:tc>
          <w:tcPr/>
          <w:p>
            <w:pPr>
              <w:pStyle w:val="Compact"/>
            </w:pPr>
            <w:r>
              <w:t xml:space="preserve">2</w:t>
            </w:r>
          </w:p>
        </w:tc>
        <w:tc>
          <w:tcPr/>
          <w:p>
            <w:pPr>
              <w:pStyle w:val="Compact"/>
            </w:pPr>
            <w:r>
              <w:t xml:space="preserve">256</w:t>
            </w:r>
          </w:p>
        </w:tc>
        <w:tc>
          <w:tcPr/>
          <w:p>
            <w:pPr>
              <w:pStyle w:val="Compact"/>
            </w:pPr>
            <w:r>
              <w:t xml:space="preserve">1024</w:t>
            </w:r>
          </w:p>
        </w:tc>
        <w:tc>
          <w:tcPr/>
          <w:p>
            <w:pPr>
              <w:pStyle w:val="Compact"/>
            </w:pPr>
            <w:r>
              <w:t xml:space="preserve">32768</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20</w:t>
            </w:r>
          </w:p>
        </w:tc>
        <w:tc>
          <w:tcPr/>
          <w:p>
            <w:pPr>
              <w:pStyle w:val="Compact"/>
            </w:pPr>
            <w:r>
              <w:t xml:space="preserve">640Kb</w:t>
            </w:r>
          </w:p>
        </w:tc>
      </w:tr>
      <w:tr>
        <w:tc>
          <w:tcPr/>
          <w:p>
            <w:pPr>
              <w:pStyle w:val="Compact"/>
            </w:pPr>
            <w:r>
              <w:t xml:space="preserve">64</w:t>
            </w:r>
          </w:p>
        </w:tc>
        <w:tc>
          <w:tcPr/>
          <w:p>
            <w:pPr>
              <w:pStyle w:val="Compact"/>
            </w:pPr>
            <w:r>
              <w:t xml:space="preserve">4</w:t>
            </w:r>
          </w:p>
        </w:tc>
        <w:tc>
          <w:tcPr/>
          <w:p>
            <w:pPr>
              <w:pStyle w:val="Compact"/>
            </w:pPr>
            <w:r>
              <w:t xml:space="preserve">256</w:t>
            </w:r>
          </w:p>
        </w:tc>
        <w:tc>
          <w:tcPr/>
          <w:p>
            <w:pPr>
              <w:pStyle w:val="Compact"/>
            </w:pPr>
            <w:r>
              <w:t xml:space="preserve">2048</w:t>
            </w:r>
          </w:p>
        </w:tc>
        <w:tc>
          <w:tcPr/>
          <w:p>
            <w:pPr>
              <w:pStyle w:val="Compact"/>
            </w:pPr>
            <w:r>
              <w:t xml:space="preserve">65536</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20</w:t>
            </w:r>
          </w:p>
        </w:tc>
        <w:tc>
          <w:tcPr/>
          <w:p>
            <w:pPr>
              <w:pStyle w:val="Compact"/>
            </w:pPr>
            <w:r>
              <w:t xml:space="preserve">1.25Mb</w:t>
            </w:r>
          </w:p>
        </w:tc>
      </w:tr>
      <w:tr>
        <w:tc>
          <w:tcPr/>
          <w:p>
            <w:pPr>
              <w:pStyle w:val="Compact"/>
            </w:pPr>
            <w:r>
              <w:t xml:space="preserve">64</w:t>
            </w:r>
          </w:p>
        </w:tc>
        <w:tc>
          <w:tcPr/>
          <w:p>
            <w:pPr>
              <w:pStyle w:val="Compact"/>
            </w:pPr>
            <w:r>
              <w:t xml:space="preserve">8</w:t>
            </w:r>
          </w:p>
        </w:tc>
        <w:tc>
          <w:tcPr/>
          <w:p>
            <w:pPr>
              <w:pStyle w:val="Compact"/>
            </w:pPr>
            <w:r>
              <w:t xml:space="preserve">256</w:t>
            </w:r>
          </w:p>
        </w:tc>
        <w:tc>
          <w:tcPr/>
          <w:p>
            <w:pPr>
              <w:pStyle w:val="Compact"/>
            </w:pPr>
            <w:r>
              <w:t xml:space="preserve">4096</w:t>
            </w:r>
          </w:p>
        </w:tc>
        <w:tc>
          <w:tcPr/>
          <w:p>
            <w:pPr>
              <w:pStyle w:val="Compact"/>
            </w:pPr>
            <w:r>
              <w:t xml:space="preserve">65536</w:t>
            </w:r>
          </w:p>
        </w:tc>
        <w:tc>
          <w:tcPr/>
          <w:p>
            <w:pPr>
              <w:pStyle w:val="SourceCode"/>
            </w:pPr>
            <w:r>
              <w:rPr>
                <w:rStyle w:val="VerbatimChar"/>
              </w:rPr>
              <w:t xml:space="preserve"> 2</w:t>
            </w:r>
          </w:p>
        </w:tc>
        <w:tc>
          <w:tcPr/>
          <w:p>
            <w:pPr>
              <w:pStyle w:val="SourceCode"/>
            </w:pPr>
            <w:r>
              <w:rPr>
                <w:rStyle w:val="VerbatimChar"/>
              </w:rPr>
              <w:t xml:space="preserve"> 4</w:t>
            </w:r>
          </w:p>
        </w:tc>
        <w:tc>
          <w:tcPr/>
          <w:p>
            <w:pPr>
              <w:pStyle w:val="SourceCode"/>
            </w:pPr>
            <w:r>
              <w:rPr>
                <w:rStyle w:val="VerbatimChar"/>
              </w:rPr>
              <w:t xml:space="preserve">20</w:t>
            </w:r>
          </w:p>
        </w:tc>
        <w:tc>
          <w:tcPr/>
          <w:p>
            <w:pPr>
              <w:pStyle w:val="Compact"/>
            </w:pPr>
            <w:r>
              <w:t xml:space="preserve">1.25Mb</w:t>
            </w:r>
          </w:p>
        </w:tc>
      </w:tr>
    </w:tbl>
    <w:bookmarkEnd w:id="37"/>
    <w:bookmarkStart w:id="40" w:name="logic-truth-tables"/>
    <w:p>
      <w:pPr>
        <w:pStyle w:val="4"/>
      </w:pPr>
      <w:r>
        <w:t xml:space="preserve">2.1.3 Logic Truth Tables</w:t>
      </w:r>
    </w:p>
    <w:bookmarkStart w:id="38"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3333"/>
        <w:tblLayout w:type="fixed"/>
        <w:tblLook w:firstRow="1" w:lastRow="0" w:firstColumn="0" w:lastColumn="0" w:noHBand="0" w:noVBand="0" w:val="0020"/>
        <w:tblCaption w:val="Table 2-4 Memory Function Truth Table"/>
      </w:tblPr>
      <w:tblGrid>
        <w:gridCol w:w="1430"/>
        <w:gridCol w:w="880"/>
        <w:gridCol w:w="880"/>
        <w:gridCol w:w="660"/>
        <w:gridCol w:w="1430"/>
      </w:tblGrid>
      <w:tr>
        <w:trPr>
          <w:tblHeader w:val="on"/>
        </w:trPr>
        <w:tc>
          <w:tcPr/>
          <w:p>
            <w:pPr>
              <w:pStyle w:val="Compact"/>
            </w:pPr>
            <w:r>
              <w:t xml:space="preserve">Function</w:t>
            </w:r>
          </w:p>
        </w:tc>
        <w:tc>
          <w:tcPr/>
          <w:p>
            <w:pPr>
              <w:pStyle w:val="Compact"/>
            </w:pPr>
            <w:r>
              <w:t xml:space="preserve">CLK</w:t>
            </w:r>
          </w:p>
        </w:tc>
        <w:tc>
          <w:tcPr/>
          <w:p>
            <w:pPr>
              <w:pStyle w:val="Compact"/>
            </w:pPr>
            <w:r>
              <w:t xml:space="preserve">CEN</w:t>
            </w:r>
          </w:p>
        </w:tc>
        <w:tc>
          <w:tcPr/>
          <w:p>
            <w:pPr>
              <w:pStyle w:val="Compact"/>
            </w:pPr>
            <w:r>
              <w:t xml:space="preserve">Q</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L</w:t>
            </w:r>
          </w:p>
        </w:tc>
        <w:tc>
          <w:tcPr/>
          <w:p>
            <w:pPr>
              <w:pStyle w:val="Compact"/>
            </w:pPr>
            <w:r>
              <w:t xml:space="preserve">Q</w:t>
            </w:r>
          </w:p>
        </w:tc>
        <w:tc>
          <w:tcPr/>
          <w:p>
            <w:pPr>
              <w:pStyle w:val="Compact"/>
            </w:pPr>
            <w:r>
              <w:t xml:space="preserve">NCM</w:t>
            </w:r>
          </w:p>
        </w:tc>
      </w:tr>
    </w:tbl>
    <w:bookmarkEnd w:id="38"/>
    <w:bookmarkStart w:id="39"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p>
    <w:p>
      <w:pPr>
        <w:pStyle w:val="TableCaption"/>
      </w:pPr>
      <w:r>
        <w:rPr>
          <w:b/>
          <w:bCs/>
        </w:rPr>
        <w:t xml:space="preserve">Table 2-5 Power Mode Truth Table</w:t>
      </w:r>
    </w:p>
    <w:tbl>
      <w:tblPr>
        <w:tblStyle w:val="Table"/>
        <w:tblW w:type="pct" w:w="4679"/>
        <w:tblLayout w:type="fixed"/>
        <w:tblLook w:firstRow="1" w:lastRow="0" w:firstColumn="0" w:lastColumn="0" w:noHBand="0" w:noVBand="0" w:val="0020"/>
        <w:tblCaption w:val="Table 2-5 Power Mode Truth Table"/>
      </w:tblPr>
      <w:tblGrid>
        <w:gridCol w:w="1421"/>
        <w:gridCol w:w="812"/>
        <w:gridCol w:w="710"/>
        <w:gridCol w:w="710"/>
        <w:gridCol w:w="812"/>
        <w:gridCol w:w="609"/>
        <w:gridCol w:w="2335"/>
      </w:tblGrid>
      <w:tr>
        <w:trPr>
          <w:tblHeader w:val="on"/>
        </w:trPr>
        <w:tc>
          <w:tcPr/>
          <w:p>
            <w:pPr>
              <w:pStyle w:val="Compact"/>
            </w:pPr>
            <w:r>
              <w:t xml:space="preserve">Mode</w:t>
            </w:r>
          </w:p>
        </w:tc>
        <w:tc>
          <w:tcPr/>
          <w:p>
            <w:pPr>
              <w:pStyle w:val="Compact"/>
            </w:pPr>
            <w:r>
              <w:t xml:space="preserve">CEN</w:t>
            </w:r>
          </w:p>
        </w:tc>
        <w:tc>
          <w:tcPr/>
          <w:p>
            <w:pPr>
              <w:pStyle w:val="Compact"/>
            </w:pPr>
            <w:r>
              <w:t xml:space="preserve">LS</w:t>
            </w:r>
          </w:p>
        </w:tc>
        <w:tc>
          <w:tcPr/>
          <w:p>
            <w:pPr>
              <w:pStyle w:val="Compact"/>
            </w:pPr>
            <w:r>
              <w:t xml:space="preserve">SD</w:t>
            </w:r>
          </w:p>
        </w:tc>
        <w:tc>
          <w:tcPr/>
          <w:p>
            <w:pPr>
              <w:pStyle w:val="Compact"/>
            </w:pPr>
            <w:r>
              <w:t xml:space="preserve">PUR</w:t>
            </w:r>
          </w:p>
        </w:tc>
        <w:tc>
          <w:tcPr/>
          <w:p>
            <w:pPr>
              <w:pStyle w:val="Compact"/>
            </w:pPr>
            <w:r>
              <w:t xml:space="preserve">Q</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39"/>
    <w:bookmarkEnd w:id="40"/>
    <w:bookmarkStart w:id="53"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5090"/>
            <wp:effectExtent b="0" l="0" r="0" t="0"/>
            <wp:docPr descr="Figure 2-1 Waveform Conventions" title="" id="42" name="Picture"/>
            <a:graphic>
              <a:graphicData uri="http://schemas.openxmlformats.org/drawingml/2006/picture">
                <pic:pic>
                  <pic:nvPicPr>
                    <pic:cNvPr descr="../Template/SC/V02/Figure\High%20Density%20Via%20Rom%20Compiler\waveform_conventions.png" id="43" name="Picture"/>
                    <pic:cNvPicPr>
                      <a:picLocks noChangeArrowheads="1" noChangeAspect="1"/>
                    </pic:cNvPicPr>
                  </pic:nvPicPr>
                  <pic:blipFill>
                    <a:blip r:embed="rId41"/>
                    <a:stretch>
                      <a:fillRect/>
                    </a:stretch>
                  </pic:blipFill>
                  <pic:spPr bwMode="auto">
                    <a:xfrm>
                      <a:off x="0" y="0"/>
                      <a:ext cx="5181600" cy="1935090"/>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1299"/>
            <wp:effectExtent b="0" l="0" r="0" t="0"/>
            <wp:docPr descr="Figure 2-2 Read Cycle Timing Diagram" title="" id="45" name="Picture"/>
            <a:graphic>
              <a:graphicData uri="http://schemas.openxmlformats.org/drawingml/2006/picture">
                <pic:pic>
                  <pic:nvPicPr>
                    <pic:cNvPr descr="../Template/SC/V02/Figure\High%20Density%20Via%20Rom%20Compiler\read_cycle_timing_diagram.png" id="46" name="Picture"/>
                    <pic:cNvPicPr>
                      <a:picLocks noChangeArrowheads="1" noChangeAspect="1"/>
                    </pic:cNvPicPr>
                  </pic:nvPicPr>
                  <pic:blipFill>
                    <a:blip r:embed="rId44"/>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105611"/>
            <wp:effectExtent b="0" l="0" r="0" t="0"/>
            <wp:docPr descr="Figure 2-3 Light Sleep Mode Work Function Diagram" title="" id="48" name="Picture"/>
            <a:graphic>
              <a:graphicData uri="http://schemas.openxmlformats.org/drawingml/2006/picture">
                <pic:pic>
                  <pic:nvPicPr>
                    <pic:cNvPr descr="../Template/SC/V02/Figure\High%20Density%20Via%20Rom%20Compiler\light_sleep_mode_work_function_diagram.png" id="49" name="Picture"/>
                    <pic:cNvPicPr>
                      <a:picLocks noChangeArrowheads="1" noChangeAspect="1"/>
                    </pic:cNvPicPr>
                  </pic:nvPicPr>
                  <pic:blipFill>
                    <a:blip r:embed="rId47"/>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2-3 Light Sleep Mode Work Function Diagram</w:t>
      </w:r>
    </w:p>
    <w:p>
      <w:pPr>
        <w:pStyle w:val="CaptionedFigure"/>
      </w:pPr>
      <w:r>
        <w:drawing>
          <wp:inline>
            <wp:extent cx="5181600" cy="3107920"/>
            <wp:effectExtent b="0" l="0" r="0" t="0"/>
            <wp:docPr descr="Figure 2-4 Shut Down Mode Work Function Diagram" title="" id="51" name="Picture"/>
            <a:graphic>
              <a:graphicData uri="http://schemas.openxmlformats.org/drawingml/2006/picture">
                <pic:pic>
                  <pic:nvPicPr>
                    <pic:cNvPr descr="../Template/SC/V02/Figure\High%20Density%20Via%20Rom%20Compiler\shut_down_mode_work_function_diagram.png" id="52" name="Picture"/>
                    <pic:cNvPicPr>
                      <a:picLocks noChangeArrowheads="1" noChangeAspect="1"/>
                    </pic:cNvPicPr>
                  </pic:nvPicPr>
                  <pic:blipFill>
                    <a:blip r:embed="rId50"/>
                    <a:stretch>
                      <a:fillRect/>
                    </a:stretch>
                  </pic:blipFill>
                  <pic:spPr bwMode="auto">
                    <a:xfrm>
                      <a:off x="0" y="0"/>
                      <a:ext cx="5181600" cy="3107920"/>
                    </a:xfrm>
                    <a:prstGeom prst="rect">
                      <a:avLst/>
                    </a:prstGeom>
                    <a:noFill/>
                    <a:ln w="9525">
                      <a:noFill/>
                      <a:headEnd/>
                      <a:tailEnd/>
                    </a:ln>
                  </pic:spPr>
                </pic:pic>
              </a:graphicData>
            </a:graphic>
          </wp:inline>
        </w:drawing>
      </w:r>
    </w:p>
    <w:p>
      <w:pPr>
        <w:pStyle w:val="ImageCaption"/>
      </w:pPr>
      <w:r>
        <w:rPr>
          <w:b/>
          <w:bCs/>
        </w:rPr>
        <w:t xml:space="preserve">Figure 2-4 Shut Down Mode Work Function Diagram</w:t>
      </w:r>
    </w:p>
    <w:bookmarkEnd w:id="53"/>
    <w:bookmarkStart w:id="54" w:name="Xb52e4091027942f97a6814f9b4b2c980100506a"/>
    <w:p>
      <w:pPr>
        <w:pStyle w:val="4"/>
      </w:pPr>
      <w:r>
        <w:t xml:space="preserve">2.1.5 Standard Operating Characterization Conditions</w:t>
      </w:r>
    </w:p>
    <w:p>
      <w:pPr>
        <w:pStyle w:val="TableCaption"/>
      </w:pPr>
      <w:r>
        <w:rPr>
          <w:b/>
          <w:bCs/>
        </w:rPr>
        <w:t xml:space="preserve">Table 2-6 Standard PVT Corners - Single Rail</w:t>
      </w:r>
    </w:p>
    <w:tbl>
      <w:tblPr>
        <w:tblStyle w:val="Table"/>
        <w:tblW w:type="pct" w:w="4825"/>
        <w:tblLayout w:type="fixed"/>
        <w:tblLook w:firstRow="1" w:lastRow="0" w:firstColumn="0" w:lastColumn="0" w:noHBand="0" w:noVBand="0" w:val="0020"/>
        <w:tblCaption w:val="Table 2-6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bookmarkEnd w:id="54"/>
    <w:bookmarkEnd w:id="55"/>
    <w:bookmarkEnd w:id="56"/>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Density Via Rom Compiler User Manual</dc:title>
  <dc:creator/>
  <cp:keywords/>
  <dcterms:created xsi:type="dcterms:W3CDTF">2026-06-11T12:28:33Z</dcterms:created>
  <dcterms:modified xsi:type="dcterms:W3CDTF">2026-06-11T12:28:33Z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