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Speed One Port Register File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High Speed One Port Register File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“XYZHS1PRF”</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HS</w:t>
            </w:r>
          </w:p>
        </w:tc>
        <w:tc>
          <w:tcPr/>
          <w:p>
            <w:pPr>
              <w:pStyle w:val="Compact"/>
            </w:pPr>
            <w:r>
              <w:t xml:space="preserve">High Speed</w:t>
            </w:r>
          </w:p>
        </w:tc>
      </w:tr>
      <w:tr>
        <w:tc>
          <w:tcPr/>
          <w:p>
            <w:pPr>
              <w:pStyle w:val="Compact"/>
            </w:pPr>
            <w:r>
              <w:t xml:space="preserve">Ports</w:t>
            </w:r>
          </w:p>
        </w:tc>
        <w:tc>
          <w:tcPr/>
          <w:p>
            <w:pPr>
              <w:pStyle w:val="Compact"/>
            </w:pPr>
            <w:r>
              <w:t xml:space="preserve">1P</w:t>
            </w:r>
          </w:p>
        </w:tc>
        <w:tc>
          <w:tcPr/>
          <w:p>
            <w:pPr>
              <w:pStyle w:val="Compact"/>
            </w:pPr>
            <w:r>
              <w:t xml:space="preserve">One Port</w:t>
            </w:r>
          </w:p>
        </w:tc>
      </w:tr>
      <w:tr>
        <w:tc>
          <w:tcPr/>
          <w:p>
            <w:pPr>
              <w:pStyle w:val="Compact"/>
            </w:pPr>
            <w:r>
              <w:t xml:space="preserve">Product</w:t>
            </w:r>
            <w:r>
              <w:t xml:space="preserve"> </w:t>
            </w:r>
            <w:r>
              <w:t xml:space="preserve">subfamily</w:t>
            </w:r>
          </w:p>
        </w:tc>
        <w:tc>
          <w:tcPr/>
          <w:p>
            <w:pPr>
              <w:pStyle w:val="Compact"/>
            </w:pPr>
            <w:r>
              <w:t xml:space="preserve">RF</w:t>
            </w:r>
          </w:p>
        </w:tc>
        <w:tc>
          <w:tcPr/>
          <w:p>
            <w:pPr>
              <w:pStyle w:val="Compact"/>
            </w:pPr>
            <w:r>
              <w:t xml:space="preserve">Register File</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3889"/>
        <w:tblLayout w:type="fixed"/>
        <w:tblLook w:firstRow="1" w:lastRow="0" w:firstColumn="0" w:lastColumn="0" w:noHBand="0" w:noVBand="0" w:val="0020"/>
        <w:tblCaption w:val="Table 1-3 Periphery Vt Settings"/>
      </w:tblPr>
      <w:tblGrid>
        <w:gridCol w:w="1980"/>
        <w:gridCol w:w="4180"/>
      </w:tblGrid>
      <w:tr>
        <w:trPr>
          <w:tblHeader w:val="on"/>
        </w:trPr>
        <w:tc>
          <w:tcPr/>
          <w:p>
            <w:pPr>
              <w:pStyle w:val="Compact"/>
            </w:pPr>
            <w:r>
              <w:t xml:space="preserve">Compiler Name</w:t>
            </w:r>
          </w:p>
        </w:tc>
        <w:tc>
          <w:tcPr/>
          <w:p>
            <w:pPr>
              <w:pStyle w:val="Compact"/>
            </w:pPr>
            <w:r>
              <w:t xml:space="preserve">High Speed One Port Register File</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3889"/>
        <w:tblLayout w:type="fixed"/>
        <w:tblLook w:firstRow="1" w:lastRow="0" w:firstColumn="0" w:lastColumn="0" w:noHBand="0" w:noVBand="0" w:val="0020"/>
        <w:tblCaption w:val="Table 1-4 Devices in Periphery Vt"/>
      </w:tblPr>
      <w:tblGrid>
        <w:gridCol w:w="1980"/>
        <w:gridCol w:w="4180"/>
      </w:tblGrid>
      <w:tr>
        <w:trPr>
          <w:tblHeader w:val="on"/>
        </w:trPr>
        <w:tc>
          <w:tcPr/>
          <w:p>
            <w:pPr>
              <w:pStyle w:val="Compact"/>
            </w:pPr>
            <w:r>
              <w:t xml:space="preserve">Compiler Name</w:t>
            </w:r>
          </w:p>
        </w:tc>
        <w:tc>
          <w:tcPr/>
          <w:p>
            <w:pPr>
              <w:pStyle w:val="Compact"/>
            </w:pPr>
            <w:r>
              <w:t xml:space="preserve">High Speed One Port Register File</w:t>
            </w:r>
          </w:p>
        </w:tc>
      </w:tr>
      <w:tr>
        <w:tc>
          <w:tcPr/>
          <w:p>
            <w:pPr>
              <w:pStyle w:val="Compact"/>
            </w:pPr>
            <w:r>
              <w:t xml:space="preserve">LVT</w:t>
            </w:r>
          </w:p>
        </w:tc>
        <w:tc>
          <w:tcPr/>
          <w:p>
            <w:pPr>
              <w:pStyle w:val="Compact"/>
            </w:pPr>
            <w:r>
              <w:t xml:space="preserve">lvt and lvtll,</w:t>
            </w:r>
            <w:r>
              <w:t xml:space="preserve"> </w:t>
            </w:r>
            <w:r>
              <w:t xml:space="preserve">ulvt, ulvtll,</w:t>
            </w:r>
            <w:r>
              <w:t xml:space="preserve"> </w:t>
            </w:r>
            <w:r>
              <w:t xml:space="preserve">elvt</w:t>
            </w:r>
          </w:p>
        </w:tc>
      </w:tr>
      <w:tr>
        <w:tc>
          <w:tcPr/>
          <w:p>
            <w:pPr>
              <w:pStyle w:val="Compact"/>
            </w:pPr>
            <w:r>
              <w:t xml:space="preserve">ULVT</w:t>
            </w:r>
          </w:p>
        </w:tc>
        <w:tc>
          <w:tcPr/>
          <w:p>
            <w:pPr>
              <w:pStyle w:val="Compact"/>
            </w:pPr>
            <w:r>
              <w:t xml:space="preserve">ulvt and</w:t>
            </w:r>
            <w:r>
              <w:t xml:space="preserve"> </w:t>
            </w:r>
            <w:r>
              <w:t xml:space="preserve">ulvtll, lvt,</w:t>
            </w:r>
            <w:r>
              <w:t xml:space="preserve"> </w:t>
            </w:r>
            <w:r>
              <w:t xml:space="preserve">lvtll, 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18"/>
        <w:gridCol w:w="6801"/>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 = 0, the corresponding bit’s data is written to the bit</w:t>
            </w:r>
            <w:r>
              <w:t xml:space="preserve"> </w:t>
            </w:r>
            <w:r>
              <w:t xml:space="preserve">cell array.</w:t>
            </w:r>
            <w:r>
              <w:br/>
            </w:r>
            <w:r>
              <w:t xml:space="preserve">- If the BWEN = 1, the corresponding bit’s data is not written to the</w:t>
            </w:r>
            <w:r>
              <w:t xml:space="preserve"> </w:t>
            </w:r>
            <w:r>
              <w:t xml:space="preserve">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225"/>
        <w:gridCol w:w="6694"/>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A/D/WEN/BWEN input pins are not gated by the CEN pin</w:t>
            </w:r>
            <w:r>
              <w:t xml:space="preserve"> </w:t>
            </w:r>
            <w:r>
              <w:t xml:space="preserve">may increase toggle power. In this case, CEN requires a relatively</w:t>
            </w:r>
            <w:r>
              <w:t xml:space="preserve"> </w:t>
            </w:r>
            <w:r>
              <w:t xml:space="preserve">small setup time.</w:t>
            </w:r>
            <w:r>
              <w:br/>
            </w:r>
            <w:r>
              <w:t xml:space="preserve">To reduce the toggle power of the input pins, users can enable the</w:t>
            </w:r>
            <w:r>
              <w:t xml:space="preserve"> </w:t>
            </w:r>
            <w:r>
              <w:t xml:space="preserve">CEN-Gating feature; however, the setup time of CEN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2677"/>
            <wp:effectExtent b="0" l="0" r="0" t="0"/>
            <wp:docPr descr="Figure 1-1 Column Redundancy Replace Mechanism" title="" id="35" name="Picture"/>
            <a:graphic>
              <a:graphicData uri="http://schemas.openxmlformats.org/drawingml/2006/picture">
                <pic:pic>
                  <pic:nvPicPr>
                    <pic:cNvPr descr="../Template/SC/V02/Figure\High%20Speed%20One%20Port%20Register%20File\Column_Redundancy_replace_mechanism.png" id="36" name="Picture"/>
                    <pic:cNvPicPr>
                      <a:picLocks noChangeArrowheads="1" noChangeAspect="1"/>
                    </pic:cNvPicPr>
                  </pic:nvPicPr>
                  <pic:blipFill>
                    <a:blip r:embed="rId34"/>
                    <a:stretch>
                      <a:fillRect/>
                    </a:stretch>
                  </pic:blipFill>
                  <pic:spPr bwMode="auto">
                    <a:xfrm>
                      <a:off x="0" y="0"/>
                      <a:ext cx="5181600" cy="250267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High%20Speed%20One%20Port%20Register%20File\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Margin.The read operation process of differential SRAM is as follows:</w:t>
      </w:r>
    </w:p>
    <w:p>
      <w:pPr>
        <w:pStyle w:val="Compact"/>
        <w:numPr>
          <w:ilvl w:val="0"/>
          <w:numId w:val="1001"/>
        </w:numPr>
      </w:pPr>
      <w:r>
        <w:t xml:space="preserve">The word line transitions to a high voltage level, and the bit line precharge signal is disabled.</w:t>
      </w:r>
    </w:p>
    <w:p>
      <w:pPr>
        <w:pStyle w:val="Compact"/>
        <w:numPr>
          <w:ilvl w:val="0"/>
          <w:numId w:val="1001"/>
        </w:numPr>
      </w:pPr>
      <w:r>
        <w:t xml:space="preserve">The internal signal of the bitcell pulls down the corresponding bit line through the transmission gate, creating a small voltage difference.</w:t>
      </w:r>
    </w:p>
    <w:p>
      <w:pPr>
        <w:pStyle w:val="Compact"/>
        <w:numPr>
          <w:ilvl w:val="0"/>
          <w:numId w:val="1001"/>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w:t>
      </w:r>
      <w:r>
        <w:t xml:space="preserve"> </w:t>
      </w:r>
      <w:r>
        <w:t xml:space="preserve">pin. The</w:t>
      </w:r>
      <w:r>
        <w:t xml:space="preserve"> </w:t>
      </w:r>
      <w:r>
        <w:rPr>
          <w:rStyle w:val="VerbatimChar"/>
        </w:rPr>
        <w:t xml:space="preserve">TME</w:t>
      </w:r>
      <w:r>
        <w:t xml:space="preserve"> </w:t>
      </w:r>
      <w:r>
        <w:t xml:space="preserve">pin allows for the selection between internal default margin control and external margin control. When</w:t>
      </w:r>
      <w:r>
        <w:t xml:space="preserve"> </w:t>
      </w:r>
      <w:r>
        <w:rPr>
          <w:rStyle w:val="VerbatimChar"/>
        </w:rPr>
        <w:t xml:space="preserve">TME</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w:t>
      </w:r>
      <w:r>
        <w:t xml:space="preserve"> </w:t>
      </w:r>
      <w:r>
        <w:t xml:space="preserve">pins, including</w:t>
      </w:r>
      <w:r>
        <w:t xml:space="preserve"> </w:t>
      </w:r>
      <w:r>
        <w:rPr>
          <w:rStyle w:val="VerbatimChar"/>
        </w:rPr>
        <w:t xml:space="preserve">TME</w:t>
      </w:r>
      <w:r>
        <w:t xml:space="preserve">, is provided for debug and yield analysis purposes.</w:t>
      </w:r>
    </w:p>
    <w:p>
      <w:pPr>
        <w:pStyle w:val="BodyText"/>
      </w:pPr>
      <w:r>
        <w:t xml:space="preserve">When</w:t>
      </w:r>
      <w:r>
        <w:t xml:space="preserve"> </w:t>
      </w:r>
      <w:r>
        <w:rPr>
          <w:rStyle w:val="VerbatimChar"/>
        </w:rPr>
        <w:t xml:space="preserve">TME</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w:t>
      </w:r>
      <w:r>
        <w:t xml:space="preserve"> </w:t>
      </w:r>
      <w:r>
        <w:t xml:space="preserve">interface is uniformly encoded, ensuring that all compilers have the same default</w:t>
      </w:r>
      <w:r>
        <w:t xml:space="preserve"> </w:t>
      </w:r>
      <w:r>
        <w:rPr>
          <w:rStyle w:val="VerbatimChar"/>
        </w:rPr>
        <w:t xml:space="preserve">TM</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3125"/>
        <w:tblLayout w:type="fixed"/>
        <w:tblLook w:firstRow="1" w:lastRow="0" w:firstColumn="0" w:lastColumn="0" w:noHBand="0" w:noVBand="0" w:val="0020"/>
        <w:tblCaption w:val="Table 1-11 Default TM Bus Settings"/>
      </w:tblPr>
      <w:tblGrid>
        <w:gridCol w:w="1870"/>
        <w:gridCol w:w="880"/>
        <w:gridCol w:w="220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TM[3:0]</w:t>
            </w:r>
          </w:p>
        </w:tc>
      </w:tr>
      <w:tr>
        <w:tc>
          <w:tcPr/>
          <w:p>
            <w:pPr>
              <w:pStyle w:val="Compact"/>
            </w:pPr>
            <w:r>
              <w:t xml:space="preserve">LVT</w:t>
            </w:r>
          </w:p>
        </w:tc>
        <w:tc>
          <w:tcPr/>
          <w:p>
            <w:pPr>
              <w:pStyle w:val="Compact"/>
            </w:pPr>
            <w:r>
              <w:t xml:space="preserve">2</w:t>
            </w:r>
          </w:p>
        </w:tc>
        <w:tc>
          <w:tcPr/>
          <w:p>
            <w:pPr>
              <w:pStyle w:val="Compact"/>
            </w:pPr>
            <w:r>
              <w:t xml:space="preserve">0100</w:t>
            </w:r>
          </w:p>
        </w:tc>
      </w:tr>
      <w:tr>
        <w:tc>
          <w:tcPr/>
          <w:p>
            <w:pPr>
              <w:pStyle w:val="Compact"/>
            </w:pPr>
            <w:r>
              <w:t xml:space="preserve">LVT</w:t>
            </w:r>
          </w:p>
        </w:tc>
        <w:tc>
          <w:tcPr/>
          <w:p>
            <w:pPr>
              <w:pStyle w:val="Compact"/>
            </w:pPr>
            <w:r>
              <w:t xml:space="preserve">4</w:t>
            </w:r>
          </w:p>
        </w:tc>
        <w:tc>
          <w:tcPr/>
          <w:p>
            <w:pPr>
              <w:pStyle w:val="Compact"/>
            </w:pPr>
            <w:r>
              <w:t xml:space="preserve">0100</w:t>
            </w:r>
          </w:p>
        </w:tc>
      </w:tr>
      <w:tr>
        <w:tc>
          <w:tcPr/>
          <w:p>
            <w:pPr>
              <w:pStyle w:val="Compact"/>
            </w:pPr>
            <w:r>
              <w:t xml:space="preserve">ULVT</w:t>
            </w:r>
          </w:p>
        </w:tc>
        <w:tc>
          <w:tcPr/>
          <w:p>
            <w:pPr>
              <w:pStyle w:val="Compact"/>
            </w:pPr>
            <w:r>
              <w:t xml:space="preserve">2</w:t>
            </w:r>
          </w:p>
        </w:tc>
        <w:tc>
          <w:tcPr/>
          <w:p>
            <w:pPr>
              <w:pStyle w:val="Compact"/>
            </w:pPr>
            <w:r>
              <w:t xml:space="preserve">0100</w:t>
            </w:r>
          </w:p>
        </w:tc>
      </w:tr>
      <w:tr>
        <w:tc>
          <w:tcPr/>
          <w:p>
            <w:pPr>
              <w:pStyle w:val="Compact"/>
            </w:pPr>
            <w:r>
              <w:t xml:space="preserve">ULVT</w:t>
            </w:r>
          </w:p>
        </w:tc>
        <w:tc>
          <w:tcPr/>
          <w:p>
            <w:pPr>
              <w:pStyle w:val="Compact"/>
            </w:pPr>
            <w:r>
              <w:t xml:space="preserve">4</w:t>
            </w:r>
          </w:p>
        </w:tc>
        <w:tc>
          <w:tcPr/>
          <w:p>
            <w:pPr>
              <w:pStyle w:val="Compact"/>
            </w:pPr>
            <w:r>
              <w:t xml:space="preserve">0011</w:t>
            </w:r>
          </w:p>
        </w:tc>
      </w:tr>
    </w:tbl>
    <w:p>
      <w:pPr>
        <w:pStyle w:val="aff1"/>
      </w:pPr>
      <w:r>
        <w:t xml:space="preserve">Note: For additional characterization data of TM settings, users can contact the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High Speed One Port Register File.</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5"/>
        <w:tblLayout w:type="fixed"/>
        <w:tblLook w:firstRow="1" w:lastRow="0" w:firstColumn="0" w:lastColumn="0" w:noHBand="0" w:noVBand="0" w:val="0020"/>
        <w:tblCaption w:val="Table 2-1 Input Pin Description"/>
      </w:tblPr>
      <w:tblGrid>
        <w:gridCol w:w="1080"/>
        <w:gridCol w:w="1512"/>
        <w:gridCol w:w="525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 [m-1:0]</w:t>
            </w:r>
          </w:p>
        </w:tc>
        <w:tc>
          <w:tcPr/>
          <w:p>
            <w:pPr>
              <w:pStyle w:val="Compact"/>
            </w:pPr>
            <w:r>
              <w:t xml:space="preserve">Always</w:t>
            </w:r>
          </w:p>
        </w:tc>
        <w:tc>
          <w:tcPr/>
          <w:p>
            <w:pPr>
              <w:pStyle w:val="Compact"/>
            </w:pPr>
            <w:r>
              <w:t xml:space="preserve">Address input.</w:t>
            </w:r>
          </w:p>
        </w:tc>
      </w:tr>
      <w:tr>
        <w:tc>
          <w:tcPr/>
          <w:p>
            <w:pPr>
              <w:pStyle w:val="Compact"/>
            </w:pPr>
            <w:r>
              <w:t xml:space="preserve">D [n-1:0]</w:t>
            </w:r>
          </w:p>
        </w:tc>
        <w:tc>
          <w:tcPr/>
          <w:p>
            <w:pPr>
              <w:pStyle w:val="Compact"/>
            </w:pPr>
            <w:r>
              <w:t xml:space="preserve">Always</w:t>
            </w:r>
          </w:p>
        </w:tc>
        <w:tc>
          <w:tcPr/>
          <w:p>
            <w:pPr>
              <w:pStyle w:val="Compact"/>
            </w:pPr>
            <w:r>
              <w:t xml:space="preserve">Data input.</w:t>
            </w:r>
          </w:p>
        </w:tc>
      </w:tr>
      <w:tr>
        <w:tc>
          <w:tcPr/>
          <w:p>
            <w:pPr>
              <w:pStyle w:val="Compact"/>
            </w:pPr>
            <w:r>
              <w:t xml:space="preserve">BWEN [n-1:0]</w:t>
            </w:r>
          </w:p>
        </w:tc>
        <w:tc>
          <w:tcPr/>
          <w:p>
            <w:pPr>
              <w:pStyle w:val="Compact"/>
            </w:pPr>
            <w:r>
              <w:t xml:space="preserve">Bit Write feature</w:t>
            </w:r>
          </w:p>
        </w:tc>
        <w:tc>
          <w:tcPr/>
          <w:p>
            <w:pPr>
              <w:pStyle w:val="Compact"/>
            </w:pPr>
            <w:r>
              <w:t xml:space="preserve">Bit Write Enable. Bit Write is enabled when BWEN is Logic Low. When</w:t>
            </w:r>
            <w:r>
              <w:t xml:space="preserve"> </w:t>
            </w:r>
            <w:r>
              <w:t xml:space="preserve">the Bit Write feature is included, write operation can be performed</w:t>
            </w:r>
            <w:r>
              <w:t xml:space="preserve"> </w:t>
            </w:r>
            <w:r>
              <w:t xml:space="preserve">by enabled I/Os bits.</w:t>
            </w:r>
          </w:p>
        </w:tc>
      </w:tr>
      <w:tr>
        <w:tc>
          <w:tcPr/>
          <w:p>
            <w:pPr>
              <w:pStyle w:val="Compact"/>
            </w:pPr>
            <w:r>
              <w:t xml:space="preserve">WEN</w:t>
            </w:r>
          </w:p>
        </w:tc>
        <w:tc>
          <w:tcPr/>
          <w:p>
            <w:pPr>
              <w:pStyle w:val="Compact"/>
            </w:pPr>
            <w:r>
              <w:t xml:space="preserve">Always</w:t>
            </w:r>
          </w:p>
        </w:tc>
        <w:tc>
          <w:tcPr/>
          <w:p>
            <w:pPr>
              <w:pStyle w:val="Compact"/>
            </w:pPr>
            <w:r>
              <w:t xml:space="preserve">Global Write Enable input. The memory is in the Write cycle when the</w:t>
            </w:r>
            <w:r>
              <w:t xml:space="preserve"> </w:t>
            </w:r>
            <w:r>
              <w:t xml:space="preserve">Global Write Enable input is Logic Low; the memory is in the Read</w:t>
            </w:r>
            <w:r>
              <w:t xml:space="preserve"> </w:t>
            </w:r>
            <w:r>
              <w:t xml:space="preserve">cycle when it is Logic High.</w:t>
            </w:r>
          </w:p>
        </w:tc>
      </w:tr>
      <w:tr>
        <w:tc>
          <w:tcPr/>
          <w:p>
            <w:pPr>
              <w:pStyle w:val="Compact"/>
            </w:pPr>
            <w:r>
              <w:t xml:space="preserve">CEN</w:t>
            </w:r>
          </w:p>
        </w:tc>
        <w:tc>
          <w:tcPr/>
          <w:p>
            <w:pPr>
              <w:pStyle w:val="Compact"/>
            </w:pPr>
            <w:r>
              <w:t xml:space="preserve">Always</w:t>
            </w:r>
          </w:p>
        </w:tc>
        <w:tc>
          <w:tcPr/>
          <w:p>
            <w:pPr>
              <w:pStyle w:val="Compact"/>
            </w:pPr>
            <w:r>
              <w:t xml:space="preserve">Chip Enable input. The memory is enabled and can perform read/write</w:t>
            </w:r>
            <w:r>
              <w:t xml:space="preserve"> </w:t>
            </w:r>
            <w:r>
              <w:t xml:space="preserve">operations when CEN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Enable input.</w:t>
            </w:r>
            <w:r>
              <w:br/>
            </w:r>
            <w:r>
              <w:t xml:space="preserve">TME = 0, select the default Timing Margin Control setting;</w:t>
            </w:r>
            <w:r>
              <w:br/>
            </w:r>
            <w:r>
              <w:t xml:space="preserve">TME = 1, select the external Timing Margin Control pin setting.</w:t>
            </w:r>
          </w:p>
        </w:tc>
      </w:tr>
      <w:tr>
        <w:tc>
          <w:tcPr/>
          <w:p>
            <w:pPr>
              <w:pStyle w:val="Compact"/>
            </w:pPr>
            <w:r>
              <w:t xml:space="preserve">TM[3:0]</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Input bus.</w:t>
            </w:r>
            <w:r>
              <w:br/>
            </w:r>
            <w:r>
              <w:t xml:space="preserve">The setting of TM[3:0] controls the Tcq and Tcyc value of memory.</w:t>
            </w:r>
            <w:r>
              <w:br/>
            </w:r>
            <w:r>
              <w:t xml:space="preserve">TM[3:0] = 4’b0000 is the slowest operating mode.</w:t>
            </w:r>
          </w:p>
        </w:tc>
      </w:tr>
      <w:tr>
        <w:tc>
          <w:tcPr/>
          <w:p>
            <w:pPr>
              <w:pStyle w:val="Compact"/>
            </w:pPr>
            <w:r>
              <w:t xml:space="preserve">LS</w:t>
            </w:r>
          </w:p>
        </w:tc>
        <w:tc>
          <w:tcPr/>
          <w:p>
            <w:pPr>
              <w:pStyle w:val="Compact"/>
            </w:pPr>
            <w:r>
              <w:t xml:space="preserve">Always</w:t>
            </w:r>
          </w:p>
        </w:tc>
        <w:tc>
          <w:tcPr/>
          <w:p>
            <w:pPr>
              <w:pStyle w:val="Compact"/>
            </w:pPr>
            <w:r>
              <w:t xml:space="preserve">Light Sleep Mode Contorl Input. When the memory is disabled and this</w:t>
            </w:r>
            <w:r>
              <w:t xml:space="preserve"> </w:t>
            </w:r>
            <w:r>
              <w:t xml:space="preserve">pin is set logic High, the memory enters low leakage mode. The output</w:t>
            </w:r>
            <w:r>
              <w:t xml:space="preserve"> </w:t>
            </w:r>
            <w:r>
              <w:t xml:space="preserve">state 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This pin turns off the periphery power</w:t>
            </w:r>
            <w:r>
              <w:t xml:space="preserve"> </w:t>
            </w:r>
            <w:r>
              <w:t xml:space="preserve">supply while retaining the memory contents. The outputs of the memory</w:t>
            </w:r>
            <w:r>
              <w:t xml:space="preserve"> </w:t>
            </w:r>
            <w:r>
              <w:t xml:space="preserve">are pulled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and memory core, and does not retain the memory data.</w:t>
            </w:r>
          </w:p>
        </w:tc>
      </w:tr>
    </w:tbl>
    <w:p/>
    <w:p>
      <w:pPr>
        <w:pStyle w:val="TableCaption"/>
      </w:pPr>
      <w:r>
        <w:rPr>
          <w:b/>
          <w:bCs/>
        </w:rPr>
        <w:t xml:space="preserve">Table 2-2 Output Pin Description</w:t>
      </w:r>
    </w:p>
    <w:tbl>
      <w:tblPr>
        <w:tblStyle w:val="Table"/>
        <w:tblW w:type="pct" w:w="4953"/>
        <w:tblLayout w:type="fixed"/>
        <w:tblLook w:firstRow="1" w:lastRow="0" w:firstColumn="0" w:lastColumn="0" w:noHBand="0" w:noVBand="0" w:val="0020"/>
        <w:tblCaption w:val="Table 2-2 Output Pin Description"/>
      </w:tblPr>
      <w:tblGrid>
        <w:gridCol w:w="888"/>
        <w:gridCol w:w="1702"/>
        <w:gridCol w:w="5255"/>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 [n-1:0]</w:t>
            </w:r>
          </w:p>
        </w:tc>
        <w:tc>
          <w:tcPr/>
          <w:p>
            <w:pPr>
              <w:pStyle w:val="Compact"/>
            </w:pPr>
            <w:r>
              <w:t xml:space="preserve">always</w:t>
            </w:r>
          </w:p>
        </w:tc>
        <w:tc>
          <w:tcPr/>
          <w:p>
            <w:pPr>
              <w:pStyle w:val="Compact"/>
            </w:pPr>
            <w:r>
              <w:t xml:space="preserve">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SourceCode"/>
            </w:pPr>
            <w:r>
              <w:rPr>
                <w:rStyle w:val="VerbatimChar"/>
              </w:rPr>
              <w:t xml:space="preserve"> 16</w:t>
            </w:r>
          </w:p>
        </w:tc>
        <w:tc>
          <w:tcPr/>
          <w:p>
            <w:pPr>
              <w:pStyle w:val="SourceCode"/>
            </w:pPr>
            <w:r>
              <w:rPr>
                <w:rStyle w:val="VerbatimChar"/>
              </w:rPr>
              <w:t xml:space="preserve">512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288</w:t>
            </w:r>
          </w:p>
        </w:tc>
        <w:tc>
          <w:tcPr/>
          <w:p>
            <w:pPr>
              <w:pStyle w:val="Compact"/>
            </w:pPr>
            <w:r>
              <w:t xml:space="preserve">144Kb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288</w:t>
            </w:r>
          </w:p>
        </w:tc>
        <w:tc>
          <w:tcPr/>
          <w:p>
            <w:pPr>
              <w:pStyle w:val="Compact"/>
            </w:pPr>
            <w:r>
              <w:t xml:space="preserve">288Kb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144</w:t>
            </w:r>
          </w:p>
        </w:tc>
        <w:tc>
          <w:tcPr/>
          <w:p>
            <w:pPr>
              <w:pStyle w:val="Compact"/>
            </w:pPr>
            <w:r>
              <w:t xml:space="preserve">144Kb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144</w:t>
            </w:r>
          </w:p>
        </w:tc>
        <w:tc>
          <w:tcPr/>
          <w:p>
            <w:pPr>
              <w:pStyle w:val="Compact"/>
            </w:pPr>
            <w:r>
              <w:t xml:space="preserve">288Kb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After Power up, 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TableCaption"/>
      </w:pPr>
      <w:r>
        <w:rPr>
          <w:b/>
          <w:bCs/>
        </w:rPr>
        <w:t xml:space="preserve">Table 2-4 Memory Function Truth Table</w:t>
      </w:r>
    </w:p>
    <w:tbl>
      <w:tblPr>
        <w:tblStyle w:val="Table"/>
        <w:tblW w:type="pct" w:w="4630"/>
        <w:tblLayout w:type="fixed"/>
        <w:tblLook w:firstRow="1" w:lastRow="0" w:firstColumn="0" w:lastColumn="0" w:noHBand="0" w:noVBand="0" w:val="0020"/>
        <w:tblCaption w:val="Table 2-4 Memory Function Truth Table"/>
      </w:tblPr>
      <w:tblGrid>
        <w:gridCol w:w="1271"/>
        <w:gridCol w:w="782"/>
        <w:gridCol w:w="782"/>
        <w:gridCol w:w="782"/>
        <w:gridCol w:w="880"/>
        <w:gridCol w:w="977"/>
        <w:gridCol w:w="586"/>
        <w:gridCol w:w="1271"/>
      </w:tblGrid>
      <w:tr>
        <w:trPr>
          <w:tblHeader w:val="on"/>
        </w:trPr>
        <w:tc>
          <w:tcPr/>
          <w:p>
            <w:pPr>
              <w:pStyle w:val="Compact"/>
            </w:pPr>
            <w:r>
              <w:t xml:space="preserve">Function</w:t>
            </w:r>
          </w:p>
        </w:tc>
        <w:tc>
          <w:tcPr/>
          <w:p>
            <w:pPr>
              <w:pStyle w:val="Compact"/>
            </w:pPr>
            <w:r>
              <w:t xml:space="preserve">CLK</w:t>
            </w:r>
          </w:p>
        </w:tc>
        <w:tc>
          <w:tcPr/>
          <w:p>
            <w:pPr>
              <w:pStyle w:val="Compact"/>
            </w:pPr>
            <w:r>
              <w:t xml:space="preserve">CEN</w:t>
            </w:r>
          </w:p>
        </w:tc>
        <w:tc>
          <w:tcPr/>
          <w:p>
            <w:pPr>
              <w:pStyle w:val="Compact"/>
            </w:pPr>
            <w:r>
              <w:t xml:space="preserve">WEN</w:t>
            </w:r>
          </w:p>
        </w:tc>
        <w:tc>
          <w:tcPr/>
          <w:p>
            <w:pPr>
              <w:pStyle w:val="Compact"/>
            </w:pPr>
            <w:r>
              <w:t xml:space="preserve">BWEN</w:t>
            </w:r>
          </w:p>
        </w:tc>
        <w:tc>
          <w:tcPr/>
          <w:p>
            <w:pPr>
              <w:pStyle w:val="Compact"/>
            </w:pPr>
            <w:r>
              <w:t xml:space="preserve">D</w:t>
            </w:r>
          </w:p>
        </w:tc>
        <w:tc>
          <w:tcPr/>
          <w:p>
            <w:pPr>
              <w:pStyle w:val="Compact"/>
            </w:pPr>
            <w:r>
              <w:t xml:space="preserve">Q</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p>
    <w:p>
      <w:pPr>
        <w:pStyle w:val="TableCaption"/>
      </w:pPr>
      <w:r>
        <w:rPr>
          <w:b/>
          <w:bCs/>
        </w:rPr>
        <w:t xml:space="preserve">Table 2-5 Power Mode Truth Table</w:t>
      </w:r>
    </w:p>
    <w:tbl>
      <w:tblPr>
        <w:tblStyle w:val="Table"/>
        <w:tblW w:type="pct" w:w="4651"/>
        <w:tblLayout w:type="fixed"/>
        <w:tblLook w:firstRow="1" w:lastRow="0" w:firstColumn="0" w:lastColumn="0" w:noHBand="0" w:noVBand="0" w:val="0020"/>
        <w:tblCaption w:val="Table 2-5 Power Mode Truth Table"/>
      </w:tblPr>
      <w:tblGrid>
        <w:gridCol w:w="1289"/>
        <w:gridCol w:w="736"/>
        <w:gridCol w:w="644"/>
        <w:gridCol w:w="644"/>
        <w:gridCol w:w="644"/>
        <w:gridCol w:w="736"/>
        <w:gridCol w:w="552"/>
        <w:gridCol w:w="2118"/>
      </w:tblGrid>
      <w:tr>
        <w:trPr>
          <w:tblHeader w:val="on"/>
        </w:trPr>
        <w:tc>
          <w:tcPr/>
          <w:p>
            <w:pPr>
              <w:pStyle w:val="Compact"/>
            </w:pPr>
            <w:r>
              <w:t xml:space="preserve">Mode</w:t>
            </w:r>
          </w:p>
        </w:tc>
        <w:tc>
          <w:tcPr/>
          <w:p>
            <w:pPr>
              <w:pStyle w:val="Compact"/>
            </w:pPr>
            <w:r>
              <w:t xml:space="preserve">CEN</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688"/>
        <w:tblLayout w:type="fixed"/>
        <w:tblLook w:firstRow="1" w:lastRow="0" w:firstColumn="0" w:lastColumn="0" w:noHBand="0" w:noVBand="0" w:val="0020"/>
        <w:tblCaption w:val="Table 2-6 Redundancy Scan Mode Truth Table"/>
      </w:tblPr>
      <w:tblGrid>
        <w:gridCol w:w="1287"/>
        <w:gridCol w:w="1089"/>
        <w:gridCol w:w="891"/>
        <w:gridCol w:w="1188"/>
        <w:gridCol w:w="792"/>
        <w:gridCol w:w="1089"/>
        <w:gridCol w:w="1089"/>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7764"/>
            <wp:effectExtent b="0" l="0" r="0" t="0"/>
            <wp:docPr descr="Figure 2-1 Waveform Conventions" title="" id="52" name="Picture"/>
            <a:graphic>
              <a:graphicData uri="http://schemas.openxmlformats.org/drawingml/2006/picture">
                <pic:pic>
                  <pic:nvPicPr>
                    <pic:cNvPr descr="../Template/SC/V02/Figure\High%20Speed%20One%20Port%20Register%20File\waveform_conventions.png" id="53" name="Picture"/>
                    <pic:cNvPicPr>
                      <a:picLocks noChangeArrowheads="1" noChangeAspect="1"/>
                    </pic:cNvPicPr>
                  </pic:nvPicPr>
                  <pic:blipFill>
                    <a:blip r:embed="rId51"/>
                    <a:stretch>
                      <a:fillRect/>
                    </a:stretch>
                  </pic:blipFill>
                  <pic:spPr bwMode="auto">
                    <a:xfrm>
                      <a:off x="0" y="0"/>
                      <a:ext cx="5181600" cy="1937764"/>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1299"/>
            <wp:effectExtent b="0" l="0" r="0" t="0"/>
            <wp:docPr descr="Figure 2-2 Read Cycle Timing Diagram" title="" id="55" name="Picture"/>
            <a:graphic>
              <a:graphicData uri="http://schemas.openxmlformats.org/drawingml/2006/picture">
                <pic:pic>
                  <pic:nvPicPr>
                    <pic:cNvPr descr="../Template/SC/V02/Figure\High%20Speed%20One%20Port%20Register%20File\read_cycle_timing_diagram.png" id="56" name="Picture"/>
                    <pic:cNvPicPr>
                      <a:picLocks noChangeArrowheads="1" noChangeAspect="1"/>
                    </pic:cNvPicPr>
                  </pic:nvPicPr>
                  <pic:blipFill>
                    <a:blip r:embed="rId54"/>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46647"/>
            <wp:effectExtent b="0" l="0" r="0" t="0"/>
            <wp:docPr descr="Figure 2-3 Write Cycle Timing Diagram" title="" id="58" name="Picture"/>
            <a:graphic>
              <a:graphicData uri="http://schemas.openxmlformats.org/drawingml/2006/picture">
                <pic:pic>
                  <pic:nvPicPr>
                    <pic:cNvPr descr="../Template/SC/V02/Figure\High%20Speed%20One%20Port%20Register%20File\write_cycle_timing_diagram.png" id="59" name="Picture"/>
                    <pic:cNvPicPr>
                      <a:picLocks noChangeArrowheads="1" noChangeAspect="1"/>
                    </pic:cNvPicPr>
                  </pic:nvPicPr>
                  <pic:blipFill>
                    <a:blip r:embed="rId57"/>
                    <a:stretch>
                      <a:fillRect/>
                    </a:stretch>
                  </pic:blipFill>
                  <pic:spPr bwMode="auto">
                    <a:xfrm>
                      <a:off x="0" y="0"/>
                      <a:ext cx="5181600" cy="3446647"/>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High%20Speed%20One%20Port%20Register%20File\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4806"/>
            <wp:effectExtent b="0" l="0" r="0" t="0"/>
            <wp:docPr descr="Figure 2-5 Deep Sleep Mode Work Function Diagram" title="" id="64" name="Picture"/>
            <a:graphic>
              <a:graphicData uri="http://schemas.openxmlformats.org/drawingml/2006/picture">
                <pic:pic>
                  <pic:nvPicPr>
                    <pic:cNvPr descr="../Template/SC/V02/Figure\High%20Speed%20One%20Port%20Register%20File\deep_sleep_mode_work_function_diagram.png" id="65" name="Picture"/>
                    <pic:cNvPicPr>
                      <a:picLocks noChangeArrowheads="1" noChangeAspect="1"/>
                    </pic:cNvPicPr>
                  </pic:nvPicPr>
                  <pic:blipFill>
                    <a:blip r:embed="rId63"/>
                    <a:stretch>
                      <a:fillRect/>
                    </a:stretch>
                  </pic:blipFill>
                  <pic:spPr bwMode="auto">
                    <a:xfrm>
                      <a:off x="0" y="0"/>
                      <a:ext cx="5181600" cy="3104806"/>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03933"/>
            <wp:effectExtent b="0" l="0" r="0" t="0"/>
            <wp:docPr descr="Figure 2-6 Shut Down Mode Work Function Diagram" title="" id="67" name="Picture"/>
            <a:graphic>
              <a:graphicData uri="http://schemas.openxmlformats.org/drawingml/2006/picture">
                <pic:pic>
                  <pic:nvPicPr>
                    <pic:cNvPr descr="../Template/SC/V02/Figure\High%20Speed%20One%20Port%20Register%20File\shut_down_mode_work_function_diagram.png" id="68" name="Picture"/>
                    <pic:cNvPicPr>
                      <a:picLocks noChangeArrowheads="1" noChangeAspect="1"/>
                    </pic:cNvPicPr>
                  </pic:nvPicPr>
                  <pic:blipFill>
                    <a:blip r:embed="rId66"/>
                    <a:stretch>
                      <a:fillRect/>
                    </a:stretch>
                  </pic:blipFill>
                  <pic:spPr bwMode="auto">
                    <a:xfrm>
                      <a:off x="0" y="0"/>
                      <a:ext cx="5181600" cy="3103933"/>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Speed One Port Register File User Manual</dc:title>
  <dc:creator/>
  <cp:keywords/>
  <dcterms:created xsi:type="dcterms:W3CDTF">2026-06-11T12:28:15Z</dcterms:created>
  <dcterms:modified xsi:type="dcterms:W3CDTF">2026-06-11T12:28:15Z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