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40"/>
      </w:pPr>
      <w:r>
        <w:rPr>
          <w:rFonts w:ascii="Calibri" w:hAnsi="Calibri"/>
          <w:b/>
          <w:color w:val="B07A00"/>
          <w:sz w:val="22"/>
        </w:rPr>
        <w:t>CLASS EXERCISE</w:t>
      </w:r>
    </w:p>
    <w:p>
      <w:pPr>
        <w:spacing w:after="140"/>
      </w:pPr>
      <w:r>
        <w:rPr>
          <w:rFonts w:ascii="Calibri" w:hAnsi="Calibri"/>
          <w:b/>
          <w:color w:val="183B56"/>
          <w:sz w:val="56"/>
        </w:rPr>
        <w:t>End-to-End RNA-seq Differential Expression in R</w:t>
      </w:r>
    </w:p>
    <w:p>
      <w:pPr>
        <w:spacing w:after="360"/>
      </w:pPr>
      <w:r>
        <w:rPr>
          <w:rFonts w:ascii="Calibri" w:hAnsi="Calibri"/>
          <w:color w:val="5F6368"/>
          <w:sz w:val="27"/>
        </w:rPr>
        <w:t>A guided DESeq2 analysis of dexamethasone-treated and untreated human cell lines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B07A00"/>
                <w:sz w:val="17"/>
              </w:rPr>
              <w:t>FORMAT</w:t>
              <w:br/>
            </w:r>
            <w:r>
              <w:rPr>
                <w:rFonts w:ascii="Calibri" w:hAnsi="Calibri"/>
                <w:b/>
                <w:color w:val="183B56"/>
                <w:sz w:val="21"/>
              </w:rPr>
              <w:t>Hands-on lab</w:t>
            </w:r>
          </w:p>
        </w:tc>
        <w:tc>
          <w:tcPr>
            <w:tcW w:type="dxa" w:w="234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B07A00"/>
                <w:sz w:val="17"/>
              </w:rPr>
              <w:t>LEVEL</w:t>
              <w:br/>
            </w:r>
            <w:r>
              <w:rPr>
                <w:rFonts w:ascii="Calibri" w:hAnsi="Calibri"/>
                <w:b/>
                <w:color w:val="183B56"/>
                <w:sz w:val="21"/>
              </w:rPr>
              <w:t>Beginner</w:t>
            </w:r>
          </w:p>
        </w:tc>
        <w:tc>
          <w:tcPr>
            <w:tcW w:type="dxa" w:w="234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B07A00"/>
                <w:sz w:val="17"/>
              </w:rPr>
              <w:t>TIME</w:t>
              <w:br/>
            </w:r>
            <w:r>
              <w:rPr>
                <w:rFonts w:ascii="Calibri" w:hAnsi="Calibri"/>
                <w:b/>
                <w:color w:val="183B56"/>
                <w:sz w:val="21"/>
              </w:rPr>
              <w:t>3-4 hours</w:t>
            </w:r>
          </w:p>
        </w:tc>
        <w:tc>
          <w:tcPr>
            <w:tcW w:type="dxa" w:w="234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B07A00"/>
                <w:sz w:val="17"/>
              </w:rPr>
              <w:t>SAMPLES</w:t>
              <w:br/>
            </w:r>
            <w:r>
              <w:rPr>
                <w:rFonts w:ascii="Calibri" w:hAnsi="Calibri"/>
                <w:b/>
                <w:color w:val="183B56"/>
                <w:sz w:val="21"/>
              </w:rPr>
              <w:t>8 total</w:t>
            </w:r>
          </w:p>
        </w:tc>
      </w:tr>
    </w:tbl>
    <w:p>
      <w:pPr>
        <w:spacing w:before="360" w:after="100"/>
      </w:pPr>
      <w:r>
        <w:rPr>
          <w:rFonts w:ascii="Calibri" w:hAnsi="Calibri"/>
          <w:b/>
          <w:color w:val="183B56"/>
        </w:rPr>
        <w:t xml:space="preserve">Student: </w:t>
      </w:r>
      <w:r>
        <w:t>__________________________________</w:t>
      </w:r>
      <w:r>
        <w:rPr>
          <w:rFonts w:ascii="Calibri" w:hAnsi="Calibri"/>
          <w:b/>
          <w:color w:val="183B56"/>
        </w:rPr>
        <w:t xml:space="preserve">     Date: </w:t>
      </w:r>
      <w:r>
        <w:t>________________</w:t>
      </w:r>
    </w:p>
    <w:p>
      <w:pPr>
        <w:spacing w:before="100" w:after="160"/>
        <w:ind w:left="173" w:right="72"/>
        <w:shd w:fill="E8EEF5"/>
        <w:pBdr>
          <w:left w:val="single" w:sz="14" w:space="5" w:color="2E74B5"/>
        </w:pBdr>
      </w:pPr>
      <w:r>
        <w:rPr>
          <w:rFonts w:ascii="Calibri" w:hAnsi="Calibri"/>
          <w:b/>
          <w:color w:val="2E74B5"/>
        </w:rPr>
        <w:t xml:space="preserve">Case study: </w:t>
      </w:r>
      <w:r>
        <w:t>You will analyze RNA-seq counts from four human cell lines. Each cell line has one untreated sample and one dexamethasone-treated sample. The statistical model estimates a common treatment effect while adjusting for baseline differences among cell lines.</w:t>
      </w:r>
    </w:p>
    <w:p>
      <w:pPr>
        <w:pStyle w:val="Heading1"/>
      </w:pPr>
      <w:r>
        <w:t>How to use this exercise</w:t>
      </w:r>
    </w:p>
    <w:p>
      <w:r>
        <w:t>Work from the project root - the folder containing the RStudio project file. Run the scripts in the stated order. At each checkpoint, record both the command output and a short biological or statistical interpretation.</w:t>
      </w:r>
    </w:p>
    <w:p>
      <w:pPr>
        <w:spacing w:before="100" w:after="160"/>
        <w:ind w:left="173" w:right="72"/>
        <w:shd w:fill="FFF8E8"/>
        <w:pBdr>
          <w:left w:val="single" w:sz="14" w:space="5" w:color="B07A00"/>
        </w:pBdr>
      </w:pPr>
      <w:r>
        <w:rPr>
          <w:rFonts w:ascii="Calibri" w:hAnsi="Calibri"/>
          <w:b/>
          <w:color w:val="B07A00"/>
        </w:rPr>
        <w:t xml:space="preserve">Do not skip the alignment step: </w:t>
      </w:r>
      <w:r>
        <w:t>The original CSV headers contain a trailing blank field. The alignment script reads this format deliberately so that SRR1039508 is not dropped and sample labels are not shifted.</w:t>
      </w:r>
    </w:p>
    <w:p>
      <w:pPr>
        <w:pStyle w:val="Heading2"/>
      </w:pPr>
      <w:r>
        <w:t>Learning objectives</w:t>
      </w:r>
    </w:p>
    <w:p>
      <w:pPr>
        <w:spacing w:after="80" w:line="300" w:lineRule="auto"/>
        <w:numPr>
          <w:ilvl w:val="0"/>
          <w:numId w:val="10"/>
        </w:numPr>
      </w:pPr>
      <w:r>
        <w:t>Create and maintain a reproducible RNA-seq project structure.</w:t>
      </w:r>
    </w:p>
    <w:p>
      <w:pPr>
        <w:spacing w:after="80" w:line="300" w:lineRule="auto"/>
        <w:numPr>
          <w:ilvl w:val="0"/>
          <w:numId w:val="10"/>
        </w:numPr>
      </w:pPr>
      <w:r>
        <w:t>Distinguish CRAN packages from Bioconductor packages and install them manually or automatically.</w:t>
      </w:r>
    </w:p>
    <w:p>
      <w:pPr>
        <w:spacing w:after="80" w:line="300" w:lineRule="auto"/>
        <w:numPr>
          <w:ilvl w:val="0"/>
          <w:numId w:val="10"/>
        </w:numPr>
      </w:pPr>
      <w:r>
        <w:t>Validate and align a gene-count matrix with sample metadata.</w:t>
      </w:r>
    </w:p>
    <w:p>
      <w:pPr>
        <w:spacing w:after="80" w:line="300" w:lineRule="auto"/>
        <w:numPr>
          <w:ilvl w:val="0"/>
          <w:numId w:val="10"/>
        </w:numPr>
      </w:pPr>
      <w:r>
        <w:t>Build a DESeq2 model that adjusts for cell line while estimating the dexamethasone treatment effect.</w:t>
      </w:r>
    </w:p>
    <w:p>
      <w:pPr>
        <w:spacing w:after="80" w:line="300" w:lineRule="auto"/>
        <w:numPr>
          <w:ilvl w:val="0"/>
          <w:numId w:val="10"/>
        </w:numPr>
      </w:pPr>
      <w:r>
        <w:t>Interpret DESeq2 result columns, multiple-testing adjusted p-values, and fold-change thresholds.</w:t>
      </w:r>
    </w:p>
    <w:p>
      <w:pPr>
        <w:spacing w:after="80" w:line="300" w:lineRule="auto"/>
        <w:numPr>
          <w:ilvl w:val="0"/>
          <w:numId w:val="10"/>
        </w:numPr>
      </w:pPr>
      <w:r>
        <w:t>Create and interpret PCA, volcano, heatmap, MA, dispersion, p-value, and gene-expression plots.</w:t>
      </w:r>
    </w:p>
    <w:p>
      <w:pPr>
        <w:spacing w:after="80" w:line="300" w:lineRule="auto"/>
        <w:numPr>
          <w:ilvl w:val="0"/>
          <w:numId w:val="10"/>
        </w:numPr>
      </w:pPr>
      <w:r>
        <w:t>Run optional log2 fold-change shrinkage, GO enrichment, GSEA, and KEGG Pathview analyses.</w:t>
      </w:r>
    </w:p>
    <w:p>
      <w:pPr>
        <w:spacing w:after="80" w:line="300" w:lineRule="auto"/>
        <w:numPr>
          <w:ilvl w:val="0"/>
          <w:numId w:val="10"/>
        </w:numPr>
      </w:pPr>
      <w:r>
        <w:t>Export results and plots with enough metadata to reproduce the analysis.</w:t>
      </w:r>
    </w:p>
    <w:p>
      <w:pPr>
        <w:pStyle w:val="ExerciseCaption"/>
        <w:keepNext/>
      </w:pPr>
      <w:r>
        <w:t>Suggested session 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800"/>
        <w:gridCol w:w="45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Stage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Suggested time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Primary output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Project setup and packages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45 min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Organized folders and package-status report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Data validation and alignment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30 min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Aligned count and metadata CSV files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DESeq2 model and results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45 min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Treatment contrast and DEG summary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Core and QC plots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60 min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PCA, volcano, boxplot, heatmaps, MA and diagnostics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Optional interpretation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30-45 min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Shrinkage, GO/GSEA or KEGG output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Submission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15 min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Results table, figures and interpretation</w:t>
            </w:r>
          </w:p>
        </w:tc>
      </w:tr>
    </w:tbl>
    <w:p>
      <w:pPr>
        <w:pStyle w:val="Heading2"/>
      </w:pPr>
      <w:r>
        <w:t>Files used in the class</w:t>
      </w:r>
    </w:p>
    <w:p>
      <w:pPr>
        <w:spacing w:after="80" w:line="300" w:lineRule="auto"/>
        <w:numPr>
          <w:ilvl w:val="0"/>
          <w:numId w:val="10"/>
        </w:numPr>
      </w:pPr>
      <w:r>
        <w:t>counts.csv - raw gene counts; rows are Ensembl genes and columns are samples.</w:t>
      </w:r>
    </w:p>
    <w:p>
      <w:pPr>
        <w:spacing w:after="80" w:line="300" w:lineRule="auto"/>
        <w:numPr>
          <w:ilvl w:val="0"/>
          <w:numId w:val="10"/>
        </w:numPr>
      </w:pPr>
      <w:r>
        <w:t>metadata2.csv - sample IDs, cell-line labels and dexamethasone conditions.</w:t>
      </w:r>
    </w:p>
    <w:p>
      <w:pPr>
        <w:spacing w:after="80" w:line="300" w:lineRule="auto"/>
        <w:numPr>
          <w:ilvl w:val="0"/>
          <w:numId w:val="10"/>
        </w:numPr>
      </w:pPr>
      <w:r>
        <w:t>00_install_and_load_packages.R - explicit manual and automated package examples.</w:t>
      </w:r>
    </w:p>
    <w:p>
      <w:pPr>
        <w:spacing w:after="80" w:line="300" w:lineRule="auto"/>
        <w:numPr>
          <w:ilvl w:val="0"/>
          <w:numId w:val="10"/>
        </w:numPr>
      </w:pPr>
      <w:r>
        <w:t>00_manage_project_packages.R - package inventory, status and installation modes.</w:t>
      </w:r>
    </w:p>
    <w:p>
      <w:pPr>
        <w:spacing w:after="80" w:line="300" w:lineRule="auto"/>
        <w:numPr>
          <w:ilvl w:val="0"/>
          <w:numId w:val="10"/>
        </w:numPr>
      </w:pPr>
      <w:r>
        <w:t>01_create_project_directories.R and 02_organize_project_files.R - project organization.</w:t>
      </w:r>
    </w:p>
    <w:p>
      <w:pPr>
        <w:spacing w:after="80" w:line="300" w:lineRule="auto"/>
        <w:numPr>
          <w:ilvl w:val="0"/>
          <w:numId w:val="10"/>
        </w:numPr>
      </w:pPr>
      <w:r>
        <w:t>Aligning_meta_counts.R - repairs the supplied header layout and aligns samples.</w:t>
      </w:r>
    </w:p>
    <w:p>
      <w:pPr>
        <w:spacing w:after="80" w:line="300" w:lineRule="auto"/>
        <w:numPr>
          <w:ilvl w:val="0"/>
          <w:numId w:val="10"/>
        </w:numPr>
      </w:pPr>
      <w:r>
        <w:t>LOAD_CLEANED_ALIGNED_DATA.R - constructs and fits the DESeq2 model.</w:t>
      </w:r>
    </w:p>
    <w:p>
      <w:pPr>
        <w:spacing w:after="80" w:line="300" w:lineRule="auto"/>
        <w:numPr>
          <w:ilvl w:val="0"/>
          <w:numId w:val="10"/>
        </w:numPr>
      </w:pPr>
      <w:r>
        <w:t>VISUALIZE_DESeq2_RESULTS.R - PCA, volcano and top-gene boxplot.</w:t>
      </w:r>
    </w:p>
    <w:p>
      <w:pPr>
        <w:spacing w:after="80" w:line="300" w:lineRule="auto"/>
        <w:numPr>
          <w:ilvl w:val="0"/>
          <w:numId w:val="10"/>
        </w:numPr>
      </w:pPr>
      <w:r>
        <w:t>Additional_high-value_visualization_plots_commonly_used_in_RNA-seq_analyses.R - QC, profiles and optional enrichment.</w:t>
      </w:r>
    </w:p>
    <w:p>
      <w:r>
        <w:br w:type="page"/>
      </w:r>
    </w:p>
    <w:p>
      <w:pPr>
        <w:pStyle w:val="Heading1"/>
      </w:pPr>
      <w:r>
        <w:t>Exercise 1 - Create the project structure</w:t>
      </w:r>
    </w:p>
    <w:p>
      <w:r>
        <w:t>Goal: Create separate folders for code, data and figures before analysis begins.</w:t>
      </w:r>
    </w:p>
    <w:p>
      <w:pPr>
        <w:spacing w:after="80" w:line="300" w:lineRule="auto"/>
        <w:numPr>
          <w:ilvl w:val="0"/>
          <w:numId w:val="11"/>
        </w:numPr>
      </w:pPr>
      <w:r>
        <w:t>Open Differential_Gene_Expression_udy.Rproj in RStudio.</w:t>
      </w:r>
    </w:p>
    <w:p>
      <w:pPr>
        <w:spacing w:after="80" w:line="300" w:lineRule="auto"/>
        <w:numPr>
          <w:ilvl w:val="0"/>
          <w:numId w:val="11"/>
        </w:numPr>
      </w:pPr>
      <w:r>
        <w:t>Confirm that the Console working directory is the project root.</w:t>
      </w:r>
    </w:p>
    <w:p>
      <w:pPr>
        <w:spacing w:after="80" w:line="300" w:lineRule="auto"/>
        <w:numPr>
          <w:ilvl w:val="0"/>
          <w:numId w:val="11"/>
        </w:numPr>
      </w:pPr>
      <w:r>
        <w:t>Run the directory-creation script and inspect the result.</w:t>
      </w:r>
    </w:p>
    <w:p>
      <w:pPr>
        <w:pStyle w:val="ExerciseCaption"/>
        <w:keepNext/>
      </w:pPr>
      <w:r>
        <w:t>Run from the project root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getwd()</w:t>
      </w:r>
      <w:r>
        <w:br/>
      </w:r>
      <w:r>
        <w:rPr>
          <w:rFonts w:ascii="Consolas" w:hAnsi="Consolas"/>
          <w:color w:val="202124"/>
          <w:sz w:val="17"/>
        </w:rPr>
        <w:t>source("01_create_project_directories.R")</w:t>
      </w:r>
      <w:r>
        <w:br/>
      </w:r>
      <w:r>
        <w:rPr>
          <w:rFonts w:ascii="Consolas" w:hAnsi="Consolas"/>
          <w:color w:val="202124"/>
          <w:sz w:val="17"/>
        </w:rPr>
        <w:t>list.dirs(path = ".", recursive = FALSE)</w:t>
      </w:r>
    </w:p>
    <w:p>
      <w:pPr>
        <w:spacing w:before="100" w:after="160"/>
        <w:ind w:left="173" w:right="72"/>
        <w:shd w:fill="EAF4EE"/>
        <w:pBdr>
          <w:left w:val="single" w:sz="14" w:space="5" w:color="2D6A4F"/>
        </w:pBdr>
      </w:pPr>
      <w:r>
        <w:rPr>
          <w:rFonts w:ascii="Calibri" w:hAnsi="Calibri"/>
          <w:b/>
          <w:color w:val="2D6A4F"/>
        </w:rPr>
        <w:t xml:space="preserve">Expected structure: </w:t>
      </w:r>
      <w:r>
        <w:t>The root should now contain scripts, data and plots directories. Re-running the script is safe because existing directories are reported rather than recreated.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Why is it useful to separate raw data, analysis scripts and generated figures?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pStyle w:val="Heading1"/>
      </w:pPr>
      <w:r>
        <w:t>Exercise 2 - Organize project files safely</w:t>
      </w:r>
    </w:p>
    <w:p>
      <w:r>
        <w:t>Goal: Move top-level R files, CSV files and common plot formats into their appropriate directories without overwriting existing files.</w:t>
      </w:r>
    </w:p>
    <w:p>
      <w:pPr>
        <w:pStyle w:val="ExerciseCaption"/>
        <w:keepNext/>
      </w:pPr>
      <w:r>
        <w:t>Organize and verify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source("02_organize_project_files.R")</w:t>
      </w:r>
      <w:r>
        <w:br/>
      </w:r>
      <w:r>
        <w:rPr>
          <w:rFonts w:ascii="Consolas" w:hAnsi="Consolas"/>
          <w:color w:val="202124"/>
          <w:sz w:val="17"/>
        </w:rPr>
        <w:t>list.files("scripts")</w:t>
      </w:r>
      <w:r>
        <w:br/>
      </w:r>
      <w:r>
        <w:rPr>
          <w:rFonts w:ascii="Consolas" w:hAnsi="Consolas"/>
          <w:color w:val="202124"/>
          <w:sz w:val="17"/>
        </w:rPr>
        <w:t>list.files("data")</w:t>
      </w:r>
      <w:r>
        <w:br/>
      </w:r>
      <w:r>
        <w:rPr>
          <w:rFonts w:ascii="Consolas" w:hAnsi="Consolas"/>
          <w:color w:val="202124"/>
          <w:sz w:val="17"/>
        </w:rPr>
        <w:t>list.files("plots")</w:t>
      </w:r>
    </w:p>
    <w:p>
      <w:pPr>
        <w:spacing w:after="80" w:line="300" w:lineRule="auto"/>
        <w:numPr>
          <w:ilvl w:val="0"/>
          <w:numId w:val="10"/>
        </w:numPr>
      </w:pPr>
      <w:r>
        <w:t>R files move to scripts; the running organizer remains in the root and is also copied to scripts.</w:t>
      </w:r>
    </w:p>
    <w:p>
      <w:pPr>
        <w:spacing w:after="80" w:line="300" w:lineRule="auto"/>
        <w:numPr>
          <w:ilvl w:val="0"/>
          <w:numId w:val="10"/>
        </w:numPr>
      </w:pPr>
      <w:r>
        <w:t>CSV files move to data.</w:t>
      </w:r>
    </w:p>
    <w:p>
      <w:pPr>
        <w:spacing w:after="80" w:line="300" w:lineRule="auto"/>
        <w:numPr>
          <w:ilvl w:val="0"/>
          <w:numId w:val="10"/>
        </w:numPr>
      </w:pPr>
      <w:r>
        <w:t>PNG, JPG, JPEG, PDF, SVG, TIF, TIFF and BMP files move to plots.</w:t>
      </w:r>
    </w:p>
    <w:p>
      <w:pPr>
        <w:spacing w:after="80" w:line="300" w:lineRule="auto"/>
        <w:numPr>
          <w:ilvl w:val="0"/>
          <w:numId w:val="10"/>
        </w:numPr>
      </w:pPr>
      <w:r>
        <w:t>A file is skipped when a same-named destination already exists.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Why is skip-on-conflict safer than automatically overwriting the destination file?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pStyle w:val="Heading1"/>
      </w:pPr>
      <w:r>
        <w:t>Exercise 3 - Manage, install and load packages</w:t>
      </w:r>
    </w:p>
    <w:p>
      <w:r>
        <w:t>Goal: Recognize package sources and compare explicit manual installation with automated installation of missing packages.</w:t>
      </w:r>
    </w:p>
    <w:p>
      <w:pPr>
        <w:pStyle w:val="ExerciseCaption"/>
        <w:keepNext/>
      </w:pPr>
      <w:r>
        <w:t>Packages represented in the current scripts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1800"/>
        <w:gridCol w:w="4680"/>
      </w:tblGrid>
      <w:tr>
        <w:trPr>
          <w:tblHeader w:val="true"/>
        </w:trP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Packages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Source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Role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ggplot2, dplyr, tidyr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CRAN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Plotting, data manipulation and reshaping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pheatmap, RColorBrewer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CRAN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Heatmaps and color palettes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DESeq2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Bioconductor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Differential-expression model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apeglm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Bioconductor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Log2 fold-change shrinkage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clusterProfiler, enrichplot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Bioconductor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GO enrichment, GSEA and plots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org.Hs.eg.db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Bioconductor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Human gene identifier annotations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pathview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Bioconductor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KEGG pathway diagrams</w:t>
            </w:r>
          </w:p>
        </w:tc>
      </w:tr>
    </w:tbl>
    <w:p>
      <w:pPr>
        <w:pStyle w:val="Heading2"/>
      </w:pPr>
      <w:r>
        <w:t>3A. Inspect package status</w:t>
      </w:r>
    </w:p>
    <w:p>
      <w:pPr>
        <w:pStyle w:val="ExerciseCaption"/>
        <w:keepNext/>
      </w:pPr>
      <w:r>
        <w:t>List packages without installing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source("scripts/00_manage_project_packages.R")</w:t>
      </w:r>
      <w:r>
        <w:br/>
      </w:r>
      <w:r>
        <w:rPr>
          <w:rFonts w:ascii="Consolas" w:hAnsi="Consolas"/>
          <w:color w:val="202124"/>
          <w:sz w:val="17"/>
        </w:rPr>
        <w:t>manage_packages("list")</w:t>
      </w:r>
    </w:p>
    <w:p>
      <w:pPr>
        <w:pStyle w:val="Heading2"/>
      </w:pPr>
      <w:r>
        <w:t>3B. Manual method</w:t>
      </w:r>
    </w:p>
    <w:p>
      <w:r>
        <w:t>Source the teaching script, inspect the explicit install.packages(), BiocManager::install() and library() commands, then run the manual functions only if your instructor assigns this method.</w:t>
      </w:r>
    </w:p>
    <w:p>
      <w:pPr>
        <w:pStyle w:val="ExerciseCaption"/>
        <w:keepNext/>
      </w:pPr>
      <w:r>
        <w:t>Manual installation and loading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source("scripts/00_install_and_load_packages.R")</w:t>
      </w:r>
      <w:r>
        <w:br/>
      </w:r>
      <w:r>
        <w:rPr>
          <w:rFonts w:ascii="Consolas" w:hAnsi="Consolas"/>
          <w:color w:val="202124"/>
          <w:sz w:val="17"/>
        </w:rPr>
        <w:t>install_packages_manually()</w:t>
      </w:r>
      <w:r>
        <w:br/>
      </w:r>
      <w:r>
        <w:rPr>
          <w:rFonts w:ascii="Consolas" w:hAnsi="Consolas"/>
          <w:color w:val="202124"/>
          <w:sz w:val="17"/>
        </w:rPr>
        <w:t>load_packages_manually()</w:t>
      </w:r>
    </w:p>
    <w:p>
      <w:pPr>
        <w:pStyle w:val="Heading2"/>
      </w:pPr>
      <w:r>
        <w:t>3C. Automated method</w:t>
      </w:r>
    </w:p>
    <w:p>
      <w:r>
        <w:t>The automated installer tests each package with requireNamespace() and installs only those that are missing.</w:t>
      </w:r>
    </w:p>
    <w:p>
      <w:pPr>
        <w:pStyle w:val="ExerciseCaption"/>
        <w:keepNext/>
      </w:pPr>
      <w:r>
        <w:t>Automated installation and loading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source("scripts/00_install_and_load_packages.R")</w:t>
      </w:r>
      <w:r>
        <w:br/>
      </w:r>
      <w:r>
        <w:rPr>
          <w:rFonts w:ascii="Consolas" w:hAnsi="Consolas"/>
          <w:color w:val="202124"/>
          <w:sz w:val="17"/>
        </w:rPr>
        <w:t>install_packages_automatically()</w:t>
      </w:r>
      <w:r>
        <w:br/>
      </w:r>
      <w:r>
        <w:rPr>
          <w:rFonts w:ascii="Consolas" w:hAnsi="Consolas"/>
          <w:color w:val="202124"/>
          <w:sz w:val="17"/>
        </w:rPr>
        <w:t>load_packages_automatically()</w:t>
      </w:r>
    </w:p>
    <w:p>
      <w:pPr>
        <w:spacing w:before="100" w:after="160"/>
        <w:ind w:left="173" w:right="72"/>
        <w:shd w:fill="FFF8E8"/>
        <w:pBdr>
          <w:left w:val="single" w:sz="14" w:space="5" w:color="B07A00"/>
        </w:pBdr>
      </w:pPr>
      <w:r>
        <w:rPr>
          <w:rFonts w:ascii="Calibri" w:hAnsi="Calibri"/>
          <w:b/>
          <w:color w:val="B07A00"/>
        </w:rPr>
        <w:t xml:space="preserve">Installation time: </w:t>
      </w:r>
      <w:r>
        <w:t>Bioconductor packages can take several minutes and may require internet access. Do not interrupt a package while it is compiling or downloading dependencies.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What is the practical difference between install.packages() and BiocManager::install() in this workflow?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Why does the automated approach test for missing packages before installation?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pStyle w:val="Heading1"/>
      </w:pPr>
      <w:r>
        <w:t>Exercise 4 - Inspect and align counts with metadata</w:t>
      </w:r>
    </w:p>
    <w:p>
      <w:r>
        <w:t>Goal: Ensure every count column is paired with the correct metadata row and retain all eight samples.</w:t>
      </w:r>
    </w:p>
    <w:p>
      <w:pPr>
        <w:pStyle w:val="Heading2"/>
      </w:pPr>
      <w:r>
        <w:t>4A. Inspect the first lines</w:t>
      </w:r>
    </w:p>
    <w:p>
      <w:pPr>
        <w:pStyle w:val="ExerciseCaption"/>
        <w:keepNext/>
      </w:pPr>
      <w:r>
        <w:t>Look at the supplied header structure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readLines("data/counts.csv", n = 3)</w:t>
      </w:r>
      <w:r>
        <w:br/>
      </w:r>
      <w:r>
        <w:rPr>
          <w:rFonts w:ascii="Consolas" w:hAnsi="Consolas"/>
          <w:color w:val="202124"/>
          <w:sz w:val="17"/>
        </w:rPr>
        <w:t>readLines("data/metadata2.csv", n = 5)</w:t>
      </w:r>
    </w:p>
    <w:p>
      <w:r>
        <w:t>The supplied files store a blank identifier-column header as a trailing comma. A conventional read.csv(..., row.names = 1) call would misassign sample names. The alignment script reads the first count line separately, removes the blank name, and then assigns the eight sample IDs to the eight count columns.</w:t>
      </w:r>
    </w:p>
    <w:p>
      <w:pPr>
        <w:pStyle w:val="Heading2"/>
      </w:pPr>
      <w:r>
        <w:t>4B. Run the alignment script</w:t>
      </w:r>
    </w:p>
    <w:p>
      <w:pPr>
        <w:pStyle w:val="ExerciseCaption"/>
        <w:keepNext/>
      </w:pPr>
      <w:r>
        <w:t>Create aligned files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source("scripts/Aligning_meta_counts.R")</w:t>
      </w:r>
      <w:r>
        <w:br/>
      </w:r>
      <w:r>
        <w:rPr>
          <w:rFonts w:ascii="Consolas" w:hAnsi="Consolas"/>
          <w:color w:val="202124"/>
          <w:sz w:val="17"/>
        </w:rPr>
        <w:t>list.files("data", pattern = "aligned[.]csv$")</w:t>
      </w:r>
    </w:p>
    <w:p>
      <w:pPr>
        <w:spacing w:before="100" w:after="160"/>
        <w:ind w:left="173" w:right="72"/>
        <w:shd w:fill="EAF4EE"/>
        <w:pBdr>
          <w:left w:val="single" w:sz="14" w:space="5" w:color="2D6A4F"/>
        </w:pBdr>
      </w:pPr>
      <w:r>
        <w:rPr>
          <w:rFonts w:ascii="Calibri" w:hAnsi="Calibri"/>
          <w:b/>
          <w:color w:val="2D6A4F"/>
        </w:rPr>
        <w:t xml:space="preserve">Expected checkpoint: </w:t>
      </w:r>
      <w:r>
        <w:t>The Console should report 8 aligned samples and 64,102 genes. The files counts_aligned.csv and metadata_aligned.csv should appear in data.</w:t>
      </w:r>
    </w:p>
    <w:p>
      <w:pPr>
        <w:pStyle w:val="Heading2"/>
      </w:pPr>
      <w:r>
        <w:t>4C. Verify the output independently</w:t>
      </w:r>
    </w:p>
    <w:p>
      <w:pPr>
        <w:pStyle w:val="ExerciseCaption"/>
        <w:keepNext/>
      </w:pPr>
      <w:r>
        <w:t>Alignment checks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cnt_check &lt;- read.csv("data/counts_aligned.csv", row.names = 1, check.names = FALSE)</w:t>
      </w:r>
      <w:r>
        <w:br/>
      </w:r>
      <w:r>
        <w:rPr>
          <w:rFonts w:ascii="Consolas" w:hAnsi="Consolas"/>
          <w:color w:val="202124"/>
          <w:sz w:val="17"/>
        </w:rPr>
        <w:t>met_check &lt;- read.csv("data/metadata_aligned.csv", row.names = 1, check.names = FALSE)</w:t>
      </w:r>
      <w:r>
        <w:br/>
      </w:r>
      <w:r>
        <w:rPr>
          <w:rFonts w:ascii="Consolas" w:hAnsi="Consolas"/>
          <w:color w:val="202124"/>
          <w:sz w:val="17"/>
        </w:rPr>
      </w:r>
      <w:r>
        <w:br/>
      </w:r>
      <w:r>
        <w:rPr>
          <w:rFonts w:ascii="Consolas" w:hAnsi="Consolas"/>
          <w:color w:val="202124"/>
          <w:sz w:val="17"/>
        </w:rPr>
        <w:t>dim(cnt_check)</w:t>
      </w:r>
      <w:r>
        <w:br/>
      </w:r>
      <w:r>
        <w:rPr>
          <w:rFonts w:ascii="Consolas" w:hAnsi="Consolas"/>
          <w:color w:val="202124"/>
          <w:sz w:val="17"/>
        </w:rPr>
        <w:t>identical(colnames(cnt_check), rownames(met_check))</w:t>
      </w:r>
      <w:r>
        <w:br/>
      </w:r>
      <w:r>
        <w:rPr>
          <w:rFonts w:ascii="Consolas" w:hAnsi="Consolas"/>
          <w:color w:val="202124"/>
          <w:sz w:val="17"/>
        </w:rPr>
        <w:t>colnames(met_check)</w:t>
      </w:r>
      <w:r>
        <w:br/>
      </w:r>
      <w:r>
        <w:rPr>
          <w:rFonts w:ascii="Consolas" w:hAnsi="Consolas"/>
          <w:color w:val="202124"/>
          <w:sz w:val="17"/>
        </w:rPr>
        <w:t>head(cnt_check[, 1:4])</w:t>
      </w:r>
      <w:r>
        <w:br/>
      </w:r>
      <w:r>
        <w:rPr>
          <w:rFonts w:ascii="Consolas" w:hAnsi="Consolas"/>
          <w:color w:val="202124"/>
          <w:sz w:val="17"/>
        </w:rPr>
        <w:t>met_check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What would be the statistical consequence of assigning one sample's count column to another sample's treatment label?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Write the expected result of identical(colnames(cnt_check), rownames(met_check)).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pStyle w:val="Heading1"/>
      </w:pPr>
      <w:r>
        <w:t>Exercise 5 - Build and run the DESeq2 model</w:t>
      </w:r>
    </w:p>
    <w:p>
      <w:r>
        <w:t>Goal: Fit a treatment comparison that adjusts for differences among cell lines.</w:t>
      </w:r>
    </w:p>
    <w:p>
      <w:pPr>
        <w:pStyle w:val="ExerciseCaption"/>
        <w:keepNext/>
      </w:pPr>
      <w:r>
        <w:t>Run the model and inspect results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source("scripts/LOAD_CLEANED_ALIGNED_DATA.R")</w:t>
      </w:r>
      <w:r>
        <w:br/>
      </w:r>
      <w:r>
        <w:rPr>
          <w:rFonts w:ascii="Consolas" w:hAnsi="Consolas"/>
          <w:color w:val="202124"/>
          <w:sz w:val="17"/>
        </w:rPr>
      </w:r>
      <w:r>
        <w:br/>
      </w:r>
      <w:r>
        <w:rPr>
          <w:rFonts w:ascii="Consolas" w:hAnsi="Consolas"/>
          <w:color w:val="202124"/>
          <w:sz w:val="17"/>
        </w:rPr>
        <w:t>design(dds)</w:t>
      </w:r>
      <w:r>
        <w:br/>
      </w:r>
      <w:r>
        <w:rPr>
          <w:rFonts w:ascii="Consolas" w:hAnsi="Consolas"/>
          <w:color w:val="202124"/>
          <w:sz w:val="17"/>
        </w:rPr>
        <w:t>resultsNames(dds)</w:t>
      </w:r>
      <w:r>
        <w:br/>
      </w:r>
      <w:r>
        <w:rPr>
          <w:rFonts w:ascii="Consolas" w:hAnsi="Consolas"/>
          <w:color w:val="202124"/>
          <w:sz w:val="17"/>
        </w:rPr>
        <w:t>summary(res)</w:t>
      </w:r>
      <w:r>
        <w:br/>
      </w:r>
      <w:r>
        <w:rPr>
          <w:rFonts w:ascii="Consolas" w:hAnsi="Consolas"/>
          <w:color w:val="202124"/>
          <w:sz w:val="17"/>
        </w:rPr>
        <w:t>head(res[order(res$padj), ])</w:t>
      </w:r>
    </w:p>
    <w:p>
      <w:pPr>
        <w:pStyle w:val="Heading2"/>
      </w:pPr>
      <w:r>
        <w:t>Understand the design</w:t>
      </w:r>
    </w:p>
    <w:p>
      <w:pPr>
        <w:pStyle w:val="ExerciseCaption"/>
        <w:keepNext/>
      </w:pPr>
      <w:r>
        <w:t>Model terms used in the script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design = ~ cellline + dexamethasone</w:t>
      </w:r>
      <w:r>
        <w:br/>
      </w:r>
      <w:r>
        <w:rPr>
          <w:rFonts w:ascii="Consolas" w:hAnsi="Consolas"/>
          <w:color w:val="202124"/>
          <w:sz w:val="17"/>
        </w:rPr>
        <w:t>contrast = c("dexamethasone", "treated", "untreated")</w:t>
      </w:r>
    </w:p>
    <w:p>
      <w:r>
        <w:t>The cellline term accounts for baseline expression differences among cell lines. The dexamethasone coefficient estimates the treated-versus-untreated effect after that adjustment. Untreated is explicitly set as the reference level.</w:t>
      </w:r>
    </w:p>
    <w:p>
      <w:pPr>
        <w:spacing w:after="80" w:line="300" w:lineRule="auto"/>
        <w:numPr>
          <w:ilvl w:val="0"/>
          <w:numId w:val="10"/>
        </w:numPr>
      </w:pPr>
      <w:r>
        <w:t>Counts must be numeric, non-negative whole numbers with no missing values.</w:t>
      </w:r>
    </w:p>
    <w:p>
      <w:pPr>
        <w:spacing w:after="80" w:line="300" w:lineRule="auto"/>
        <w:numPr>
          <w:ilvl w:val="0"/>
          <w:numId w:val="10"/>
        </w:numPr>
      </w:pPr>
      <w:r>
        <w:t>Metadata rows must exactly match count columns.</w:t>
      </w:r>
    </w:p>
    <w:p>
      <w:pPr>
        <w:spacing w:after="80" w:line="300" w:lineRule="auto"/>
        <w:numPr>
          <w:ilvl w:val="0"/>
          <w:numId w:val="10"/>
        </w:numPr>
      </w:pPr>
      <w:r>
        <w:t>Genes with fewer than 10 total reads across all samples are removed before model fitting.</w:t>
      </w:r>
    </w:p>
    <w:p>
      <w:pPr>
        <w:spacing w:after="80" w:line="300" w:lineRule="auto"/>
        <w:numPr>
          <w:ilvl w:val="0"/>
          <w:numId w:val="10"/>
        </w:numPr>
      </w:pPr>
      <w:r>
        <w:t>The DESeq2 results use alpha = 0.05 for adjusted-p-value summaries.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Why is cellline included in the design instead of using only ~ dexamethasone?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What does a positive log2FoldChange mean for the treated-versus-untreated contrast?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pStyle w:val="Heading2"/>
      </w:pPr>
      <w:r>
        <w:t>Interpret the result columns</w:t>
      </w:r>
    </w:p>
    <w:p>
      <w:pPr>
        <w:pStyle w:val="ExerciseCaption"/>
        <w:keepNext/>
      </w:pPr>
      <w:r>
        <w:t>DESeq2 results object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Column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Meaning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Interpretation prompt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baseMean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Mean normalized expression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Is the gene lowly or highly expressed overall?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log2FoldChange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Estimated treated/untreated effect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Positive is higher in treated; negative is lower.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lfcSE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Standard error of the fold change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How uncertain is the effect estimate?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stat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Wald test statistic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How large is the effect relative to its uncertainty?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pvalue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Raw hypothesis-test p-value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Evidence before correcting for many genes.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padj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Benjamini-Hochberg adjusted p-value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Use this for the primary significance decision.</w:t>
            </w:r>
          </w:p>
        </w:tc>
      </w:tr>
    </w:tbl>
    <w:p>
      <w:pPr>
        <w:pStyle w:val="Heading1"/>
      </w:pPr>
      <w:r>
        <w:t>Exercise 6 - Summarize and export differential expression</w:t>
      </w:r>
    </w:p>
    <w:p>
      <w:r>
        <w:t>Goal: Count significant genes, separate directions and export a clearly named result table.</w:t>
      </w:r>
    </w:p>
    <w:p>
      <w:pPr>
        <w:pStyle w:val="ExerciseCaption"/>
        <w:keepNext/>
      </w:pPr>
      <w:r>
        <w:t>Create a DEG summary and export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res_df &lt;- as.data.frame(res)</w:t>
      </w:r>
      <w:r>
        <w:br/>
      </w:r>
      <w:r>
        <w:rPr>
          <w:rFonts w:ascii="Consolas" w:hAnsi="Consolas"/>
          <w:color w:val="202124"/>
          <w:sz w:val="17"/>
        </w:rPr>
        <w:t>res_df$gene &lt;- rownames(res_df)</w:t>
      </w:r>
      <w:r>
        <w:br/>
      </w:r>
      <w:r>
        <w:rPr>
          <w:rFonts w:ascii="Consolas" w:hAnsi="Consolas"/>
          <w:color w:val="202124"/>
          <w:sz w:val="17"/>
        </w:rPr>
      </w:r>
      <w:r>
        <w:br/>
      </w:r>
      <w:r>
        <w:rPr>
          <w:rFonts w:ascii="Consolas" w:hAnsi="Consolas"/>
          <w:color w:val="202124"/>
          <w:sz w:val="17"/>
        </w:rPr>
        <w:t>padj_cutoff &lt;- 0.05</w:t>
      </w:r>
      <w:r>
        <w:br/>
      </w:r>
      <w:r>
        <w:rPr>
          <w:rFonts w:ascii="Consolas" w:hAnsi="Consolas"/>
          <w:color w:val="202124"/>
          <w:sz w:val="17"/>
        </w:rPr>
        <w:t>lfc_cutoff &lt;- 1</w:t>
      </w:r>
      <w:r>
        <w:br/>
      </w:r>
      <w:r>
        <w:rPr>
          <w:rFonts w:ascii="Consolas" w:hAnsi="Consolas"/>
          <w:color w:val="202124"/>
          <w:sz w:val="17"/>
        </w:rPr>
      </w:r>
      <w:r>
        <w:br/>
      </w:r>
      <w:r>
        <w:rPr>
          <w:rFonts w:ascii="Consolas" w:hAnsi="Consolas"/>
          <w:color w:val="202124"/>
          <w:sz w:val="17"/>
        </w:rPr>
        <w:t>significant &lt;- subset(res_df, !is.na(padj) &amp; padj &lt; padj_cutoff)</w:t>
      </w:r>
      <w:r>
        <w:br/>
      </w:r>
      <w:r>
        <w:rPr>
          <w:rFonts w:ascii="Consolas" w:hAnsi="Consolas"/>
          <w:color w:val="202124"/>
          <w:sz w:val="17"/>
        </w:rPr>
        <w:t>up_genes &lt;- subset(significant, log2FoldChange &gt; lfc_cutoff)</w:t>
      </w:r>
      <w:r>
        <w:br/>
      </w:r>
      <w:r>
        <w:rPr>
          <w:rFonts w:ascii="Consolas" w:hAnsi="Consolas"/>
          <w:color w:val="202124"/>
          <w:sz w:val="17"/>
        </w:rPr>
        <w:t>down_genes &lt;- subset(significant, log2FoldChange &lt; -lfc_cutoff)</w:t>
      </w:r>
      <w:r>
        <w:br/>
      </w:r>
      <w:r>
        <w:rPr>
          <w:rFonts w:ascii="Consolas" w:hAnsi="Consolas"/>
          <w:color w:val="202124"/>
          <w:sz w:val="17"/>
        </w:rPr>
      </w:r>
      <w:r>
        <w:br/>
      </w:r>
      <w:r>
        <w:rPr>
          <w:rFonts w:ascii="Consolas" w:hAnsi="Consolas"/>
          <w:color w:val="202124"/>
          <w:sz w:val="17"/>
        </w:rPr>
        <w:t>c(total_tested = nrow(res_df),</w:t>
      </w:r>
      <w:r>
        <w:br/>
      </w:r>
      <w:r>
        <w:rPr>
          <w:rFonts w:ascii="Consolas" w:hAnsi="Consolas"/>
          <w:color w:val="202124"/>
          <w:sz w:val="17"/>
        </w:rPr>
        <w:t xml:space="preserve">  significant = nrow(significant),</w:t>
      </w:r>
      <w:r>
        <w:br/>
      </w:r>
      <w:r>
        <w:rPr>
          <w:rFonts w:ascii="Consolas" w:hAnsi="Consolas"/>
          <w:color w:val="202124"/>
          <w:sz w:val="17"/>
        </w:rPr>
        <w:t xml:space="preserve">  up = nrow(up_genes),</w:t>
      </w:r>
      <w:r>
        <w:br/>
      </w:r>
      <w:r>
        <w:rPr>
          <w:rFonts w:ascii="Consolas" w:hAnsi="Consolas"/>
          <w:color w:val="202124"/>
          <w:sz w:val="17"/>
        </w:rPr>
        <w:t xml:space="preserve">  down = nrow(down_genes))</w:t>
      </w:r>
      <w:r>
        <w:br/>
      </w:r>
      <w:r>
        <w:rPr>
          <w:rFonts w:ascii="Consolas" w:hAnsi="Consolas"/>
          <w:color w:val="202124"/>
          <w:sz w:val="17"/>
        </w:rPr>
      </w:r>
      <w:r>
        <w:br/>
      </w:r>
      <w:r>
        <w:rPr>
          <w:rFonts w:ascii="Consolas" w:hAnsi="Consolas"/>
          <w:color w:val="202124"/>
          <w:sz w:val="17"/>
        </w:rPr>
        <w:t>write.csv(</w:t>
      </w:r>
      <w:r>
        <w:br/>
      </w:r>
      <w:r>
        <w:rPr>
          <w:rFonts w:ascii="Consolas" w:hAnsi="Consolas"/>
          <w:color w:val="202124"/>
          <w:sz w:val="17"/>
        </w:rPr>
        <w:t xml:space="preserve">  res_df[order(res_df$padj), ],</w:t>
      </w:r>
      <w:r>
        <w:br/>
      </w:r>
      <w:r>
        <w:rPr>
          <w:rFonts w:ascii="Consolas" w:hAnsi="Consolas"/>
          <w:color w:val="202124"/>
          <w:sz w:val="17"/>
        </w:rPr>
        <w:t xml:space="preserve">  "data/DESeq2_dexamethasone_vs_untreated.csv",</w:t>
      </w:r>
      <w:r>
        <w:br/>
      </w:r>
      <w:r>
        <w:rPr>
          <w:rFonts w:ascii="Consolas" w:hAnsi="Consolas"/>
          <w:color w:val="202124"/>
          <w:sz w:val="17"/>
        </w:rPr>
        <w:t xml:space="preserve">  row.names = FALSE</w:t>
      </w:r>
      <w:r>
        <w:br/>
      </w:r>
      <w:r>
        <w:rPr>
          <w:rFonts w:ascii="Consolas" w:hAnsi="Consolas"/>
          <w:color w:val="202124"/>
          <w:sz w:val="17"/>
        </w:rPr>
        <w:t>)</w:t>
      </w:r>
    </w:p>
    <w:p>
      <w:pPr>
        <w:spacing w:before="100" w:after="160"/>
        <w:ind w:left="173" w:right="72"/>
        <w:shd w:fill="E8EEF5"/>
        <w:pBdr>
          <w:left w:val="single" w:sz="14" w:space="5" w:color="2E74B5"/>
        </w:pBdr>
      </w:pPr>
      <w:r>
        <w:rPr>
          <w:rFonts w:ascii="Calibri" w:hAnsi="Calibri"/>
          <w:b/>
          <w:color w:val="2E74B5"/>
        </w:rPr>
        <w:t xml:space="preserve">Threshold logic: </w:t>
      </w:r>
      <w:r>
        <w:t>padj &lt; 0.05 controls the multiple-testing decision. The additional absolute log2 fold-change threshold of 1 identifies changes greater than two-fold in either direction.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How many genes meet padj &lt; 0.05? Of those, how many also meet |log2FoldChange| &gt; 1?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Why should a raw p-value threshold not be used alone when thousands of genes are tested?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pStyle w:val="Heading1"/>
      </w:pPr>
      <w:r>
        <w:t>Exercise 7 - Create and interpret the main figures</w:t>
      </w:r>
    </w:p>
    <w:p>
      <w:r>
        <w:t>Goal: Use sample-level and gene-level visualizations to evaluate the experiment and summarize the treatment effect.</w:t>
      </w:r>
    </w:p>
    <w:p>
      <w:pPr>
        <w:pStyle w:val="ExerciseCaption"/>
        <w:keepNext/>
      </w:pPr>
      <w:r>
        <w:t>Generate PCA, volcano and top-gene plots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source("scripts/VISUALIZE_DESeq2_RESULTS.R")</w:t>
      </w:r>
    </w:p>
    <w:p>
      <w:pPr>
        <w:pStyle w:val="Heading2"/>
      </w:pPr>
      <w:r>
        <w:t>7A. PCA plot</w:t>
      </w:r>
    </w:p>
    <w:p>
      <w:pPr>
        <w:spacing w:after="80" w:line="300" w:lineRule="auto"/>
        <w:numPr>
          <w:ilvl w:val="0"/>
          <w:numId w:val="10"/>
        </w:numPr>
      </w:pPr>
      <w:r>
        <w:t>Each point is a sample represented by variance-stabilized expression values.</w:t>
      </w:r>
    </w:p>
    <w:p>
      <w:pPr>
        <w:spacing w:after="80" w:line="300" w:lineRule="auto"/>
        <w:numPr>
          <w:ilvl w:val="0"/>
          <w:numId w:val="10"/>
        </w:numPr>
      </w:pPr>
      <w:r>
        <w:t>Color represents dexamethasone treatment and shape represents cell line.</w:t>
      </w:r>
    </w:p>
    <w:p>
      <w:pPr>
        <w:spacing w:after="80" w:line="300" w:lineRule="auto"/>
        <w:numPr>
          <w:ilvl w:val="0"/>
          <w:numId w:val="10"/>
        </w:numPr>
      </w:pPr>
      <w:r>
        <w:t>Inspect whether paired samples are plausible and whether one sample is an obvious outlier.</w:t>
      </w:r>
    </w:p>
    <w:p>
      <w:pPr>
        <w:spacing w:after="80" w:line="300" w:lineRule="auto"/>
        <w:numPr>
          <w:ilvl w:val="0"/>
          <w:numId w:val="10"/>
        </w:numPr>
      </w:pPr>
      <w:r>
        <w:t>PC axis labels report the percentage of variance explained.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Does separation appear stronger by cell line, treatment, or neither? Support your answer using the plot.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pStyle w:val="Heading2"/>
      </w:pPr>
      <w:r>
        <w:t>7B. Volcano plot</w:t>
      </w:r>
    </w:p>
    <w:p>
      <w:pPr>
        <w:spacing w:after="80" w:line="300" w:lineRule="auto"/>
        <w:numPr>
          <w:ilvl w:val="0"/>
          <w:numId w:val="10"/>
        </w:numPr>
      </w:pPr>
      <w:r>
        <w:t>The x-axis is log2 fold change; the y-axis is -log10 adjusted p-value.</w:t>
      </w:r>
    </w:p>
    <w:p>
      <w:pPr>
        <w:spacing w:after="80" w:line="300" w:lineRule="auto"/>
        <w:numPr>
          <w:ilvl w:val="0"/>
          <w:numId w:val="10"/>
        </w:numPr>
      </w:pPr>
      <w:r>
        <w:t>Red points pass padj &lt; 0.05 and log2FoldChange &gt; 1.</w:t>
      </w:r>
    </w:p>
    <w:p>
      <w:pPr>
        <w:spacing w:after="80" w:line="300" w:lineRule="auto"/>
        <w:numPr>
          <w:ilvl w:val="0"/>
          <w:numId w:val="10"/>
        </w:numPr>
      </w:pPr>
      <w:r>
        <w:t>Blue points pass padj &lt; 0.05 and log2FoldChange &lt; -1.</w:t>
      </w:r>
    </w:p>
    <w:p>
      <w:pPr>
        <w:spacing w:after="80" w:line="300" w:lineRule="auto"/>
        <w:numPr>
          <w:ilvl w:val="0"/>
          <w:numId w:val="10"/>
        </w:numPr>
      </w:pPr>
      <w:r>
        <w:t>Gray points do not pass both statistical and effect-size thresholds.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Choose one up-regulated and one down-regulated gene. Record each gene ID, fold change and adjusted p-value.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pStyle w:val="Heading2"/>
      </w:pPr>
      <w:r>
        <w:t>7C. Top-gene boxplot</w:t>
      </w:r>
    </w:p>
    <w:p>
      <w:r>
        <w:t>The script selects the gene with the smallest non-missing adjusted p-value, retrieves normalized counts and plots count + 1 on a log10 scale. Jittered points preserve the individual samples and their cell-line identities.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Is the top gene's treatment effect consistent across all four cell lines? Describe any heterogeneity.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pStyle w:val="Heading2"/>
      </w:pPr>
      <w:r>
        <w:t>Save ggplot figures</w:t>
      </w:r>
    </w:p>
    <w:p>
      <w:pPr>
        <w:pStyle w:val="ExerciseCaption"/>
        <w:keepNext/>
      </w:pPr>
      <w:r>
        <w:t>Export the main ggplot objects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ggsave("plots/PCA_sample_clustering.png", pca_plot, width = 7, height = 5, dpi = 300)</w:t>
      </w:r>
      <w:r>
        <w:br/>
      </w:r>
      <w:r>
        <w:rPr>
          <w:rFonts w:ascii="Consolas" w:hAnsi="Consolas"/>
          <w:color w:val="202124"/>
          <w:sz w:val="17"/>
        </w:rPr>
        <w:t>ggsave("plots/Volcano_dexamethasone_vs_untreated.png", volcano_plot, width = 7, height = 5, dpi = 300)</w:t>
      </w:r>
      <w:r>
        <w:br/>
      </w:r>
      <w:r>
        <w:rPr>
          <w:rFonts w:ascii="Consolas" w:hAnsi="Consolas"/>
          <w:color w:val="202124"/>
          <w:sz w:val="17"/>
        </w:rPr>
      </w:r>
      <w:r>
        <w:br/>
      </w:r>
      <w:r>
        <w:rPr>
          <w:rFonts w:ascii="Consolas" w:hAnsi="Consolas"/>
          <w:color w:val="202124"/>
          <w:sz w:val="17"/>
        </w:rPr>
        <w:t>if (exists("top_gene_plot")) {</w:t>
      </w:r>
      <w:r>
        <w:br/>
      </w:r>
      <w:r>
        <w:rPr>
          <w:rFonts w:ascii="Consolas" w:hAnsi="Consolas"/>
          <w:color w:val="202124"/>
          <w:sz w:val="17"/>
        </w:rPr>
        <w:t xml:space="preserve">  ggsave("plots/Top_gene_expression.png", top_gene_plot, width = 7, height = 5, dpi = 300)</w:t>
      </w:r>
      <w:r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pStyle w:val="Heading1"/>
      </w:pPr>
      <w:r>
        <w:t>Exercise 8 - Run additional QC and expression plots</w:t>
      </w:r>
    </w:p>
    <w:p>
      <w:r>
        <w:t>Goal: Evaluate sample distances, high-ranking gene patterns, mean-dependent effects and DESeq2 model diagnostics.</w:t>
      </w:r>
    </w:p>
    <w:p>
      <w:pPr>
        <w:pStyle w:val="ExerciseCaption"/>
        <w:keepNext/>
      </w:pPr>
      <w:r>
        <w:t>Run the default additional plots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source("scripts/Additional_high-value_visualization_plots_commonly_used_in_RNA-seq_analyses.R")</w:t>
      </w:r>
    </w:p>
    <w:p>
      <w:pPr>
        <w:pStyle w:val="ExerciseCaption"/>
        <w:keepNext/>
      </w:pPr>
      <w:r>
        <w:t>Interpretation guide for the additional figures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600"/>
        <w:gridCol w:w="33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Plot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Question it answers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Warning sign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Sample-distance heatmap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Which samples have similar global expression?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A sample is distant from every biologically related sample.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Top-gene Z-score heatmap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Do significant genes show coherent relative patterns?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Patterns are driven by one isolated sample.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MA plot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Does fold change depend on average expression?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Extreme effects are concentrated only at very low counts.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Raw p-value histogram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Is there evidence of a signal beyond a null-like background?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Unexpected spikes away from zero or strong irregularity.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Dispersion plot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Does the fitted variance trend follow gene estimates?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The trend poorly represents the center of estimates.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Expression profiles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Are top-gene changes consistent across cell lines?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Opposite directions dominate different cell lines.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Do the PCA and sample-distance heatmap tell a consistent story about sample similarity?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Why are gene heatmap rows converted to Z-scores instead of plotting raw counts directly?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What information does the dispersion plot provide that the volcano plot does not?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pStyle w:val="Heading1"/>
      </w:pPr>
      <w:r>
        <w:t>Exercise 9 - Optional advanced analyses</w:t>
      </w:r>
    </w:p>
    <w:p>
      <w:pPr>
        <w:spacing w:before="100" w:after="160"/>
        <w:ind w:left="173" w:right="72"/>
        <w:shd w:fill="FFF8E8"/>
        <w:pBdr>
          <w:left w:val="single" w:sz="14" w:space="5" w:color="B07A00"/>
        </w:pBdr>
      </w:pPr>
      <w:r>
        <w:rPr>
          <w:rFonts w:ascii="Calibri" w:hAnsi="Calibri"/>
          <w:b/>
          <w:color w:val="B07A00"/>
        </w:rPr>
        <w:t xml:space="preserve">Run one extension at a time: </w:t>
      </w:r>
      <w:r>
        <w:t>Set one switch to TRUE, source the additional script, inspect the output, then return the switch to FALSE before testing another extension.</w:t>
      </w:r>
    </w:p>
    <w:p>
      <w:pPr>
        <w:pStyle w:val="Heading2"/>
      </w:pPr>
      <w:r>
        <w:t>9A. Log2 fold-change shrinkage</w:t>
      </w:r>
    </w:p>
    <w:p>
      <w:pPr>
        <w:pStyle w:val="ExerciseCaption"/>
        <w:keepNext/>
      </w:pPr>
      <w:r>
        <w:t>Switch in the additional visualization script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run_lfc_shrinkage &lt;- TRUE</w:t>
      </w:r>
    </w:p>
    <w:p>
      <w:r>
        <w:t>apeglm shrinkage moderates unstable fold-change estimates, especially for genes with low information, without redefining the original p-values. Compare the unshrunken and shrunken MA plots.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Which genes change most after shrinkage: high-count or low-count genes? What does that imply about uncertainty?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pStyle w:val="Heading2"/>
      </w:pPr>
      <w:r>
        <w:t>9B. GO enrichment and GSEA</w:t>
      </w:r>
    </w:p>
    <w:p>
      <w:pPr>
        <w:pStyle w:val="ExerciseCaption"/>
        <w:keepNext/>
      </w:pPr>
      <w:r>
        <w:t>Switch in the additional visualization script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run_enrichment &lt;- TRUE</w:t>
      </w:r>
    </w:p>
    <w:p>
      <w:pPr>
        <w:spacing w:after="80" w:line="300" w:lineRule="auto"/>
        <w:numPr>
          <w:ilvl w:val="0"/>
          <w:numId w:val="10"/>
        </w:numPr>
      </w:pPr>
      <w:r>
        <w:t>GO over-representation uses Ensembl IDs from genes passing padj &lt; 0.05.</w:t>
      </w:r>
    </w:p>
    <w:p>
      <w:pPr>
        <w:spacing w:after="80" w:line="300" w:lineRule="auto"/>
        <w:numPr>
          <w:ilvl w:val="0"/>
          <w:numId w:val="10"/>
        </w:numPr>
      </w:pPr>
      <w:r>
        <w:t>The analysis targets Biological Process terms and uses Benjamini-Hochberg correction.</w:t>
      </w:r>
    </w:p>
    <w:p>
      <w:pPr>
        <w:spacing w:after="80" w:line="300" w:lineRule="auto"/>
        <w:numPr>
          <w:ilvl w:val="0"/>
          <w:numId w:val="10"/>
        </w:numPr>
      </w:pPr>
      <w:r>
        <w:t>GSEA ranks all genes by the DESeq2 Wald statistic and can detect coordinated pathway shifts without a hard DEG cutoff.</w:t>
      </w:r>
    </w:p>
    <w:p>
      <w:pPr>
        <w:spacing w:after="80" w:line="300" w:lineRule="auto"/>
        <w:numPr>
          <w:ilvl w:val="0"/>
          <w:numId w:val="10"/>
        </w:numPr>
      </w:pPr>
      <w:r>
        <w:t>org.Hs.eg.db supplies human identifier annotations.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How does the input to over-representation analysis differ from the input to GSEA?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Report one enriched biological process and explain why it may be relevant to the treatment response. Treat this as a hypothesis, not proof of mechanism.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pStyle w:val="Heading2"/>
      </w:pPr>
      <w:r>
        <w:t>9C. KEGG Pathview</w:t>
      </w:r>
    </w:p>
    <w:p>
      <w:pPr>
        <w:pStyle w:val="ExerciseCaption"/>
        <w:keepNext/>
      </w:pPr>
      <w:r>
        <w:t>Switch and pathway ID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run_pathview &lt;- TRUE</w:t>
      </w:r>
      <w:r>
        <w:br/>
      </w:r>
      <w:r>
        <w:rPr>
          <w:rFonts w:ascii="Consolas" w:hAnsi="Consolas"/>
          <w:color w:val="202124"/>
          <w:sz w:val="17"/>
        </w:rPr>
        <w:t>pathway_id &lt;- "hsa04110"  # Cell cycle example</w:t>
      </w:r>
    </w:p>
    <w:p>
      <w:r>
        <w:t>The script converts Ensembl IDs to Entrez IDs, averages duplicate mappings and overlays fold changes on a human KEGG pathway. Pathview writes its output to plots.</w:t>
      </w:r>
    </w:p>
    <w:p>
      <w:pPr>
        <w:spacing w:before="100" w:after="160"/>
        <w:ind w:left="173" w:right="72"/>
        <w:shd w:fill="FFF8E8"/>
        <w:pBdr>
          <w:left w:val="single" w:sz="14" w:space="5" w:color="B07A00"/>
        </w:pBdr>
      </w:pPr>
      <w:r>
        <w:rPr>
          <w:rFonts w:ascii="Calibri" w:hAnsi="Calibri"/>
          <w:b/>
          <w:color w:val="B07A00"/>
        </w:rPr>
        <w:t xml:space="preserve">Network dependency: </w:t>
      </w:r>
      <w:r>
        <w:t>Pathview normally retrieves pathway files from KEGG. This extension can fail when the internet is unavailable or the selected pathway ID is invalid.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Why must Ensembl IDs be mapped to Entrez IDs before creating the KEGG overlay?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spacing w:before="100" w:after="160"/>
        <w:ind w:left="173" w:right="72"/>
        <w:shd w:fill="E8EEF5"/>
        <w:pBdr>
          <w:left w:val="single" w:sz="14" w:space="5" w:color="2E74B5"/>
        </w:pBdr>
      </w:pPr>
      <w:r>
        <w:rPr>
          <w:rFonts w:ascii="Calibri" w:hAnsi="Calibri"/>
          <w:b/>
          <w:color w:val="2E74B5"/>
        </w:rPr>
        <w:t xml:space="preserve">Why there is no UpSet plot: </w:t>
      </w:r>
      <w:r>
        <w:t>This project contains one treatment contrast. UpSet plots become useful only when comparing overlapping DEG sets from two or more contrasts.</w:t>
      </w:r>
    </w:p>
    <w:p>
      <w:pPr>
        <w:pStyle w:val="Heading1"/>
      </w:pPr>
      <w:r>
        <w:t>Exercise 10 - Reproducibility and final export</w:t>
      </w:r>
    </w:p>
    <w:p>
      <w:r>
        <w:t>Goal: Save enough information for another student to understand what was run and to reproduce the result.</w:t>
      </w:r>
    </w:p>
    <w:p>
      <w:pPr>
        <w:pStyle w:val="ExerciseCaption"/>
        <w:keepNext/>
      </w:pPr>
      <w:r>
        <w:t>Record software and analysis parameters</w:t>
      </w:r>
    </w:p>
    <w:p>
      <w:pPr>
        <w:pStyle w:val="CodeBlock"/>
        <w:shd w:fill="F4F6F9"/>
        <w:pBdr>
          <w:left w:val="single" w:sz="12" w:space="5" w:color="2E74B5"/>
        </w:pBdr>
      </w:pPr>
      <w:r>
        <w:rPr>
          <w:rFonts w:ascii="Consolas" w:hAnsi="Consolas"/>
          <w:color w:val="202124"/>
          <w:sz w:val="17"/>
        </w:rPr>
        <w:t>capture.output(sessionInfo(), file = "data/sessionInfo.txt")</w:t>
      </w:r>
      <w:r>
        <w:br/>
      </w:r>
      <w:r>
        <w:rPr>
          <w:rFonts w:ascii="Consolas" w:hAnsi="Consolas"/>
          <w:color w:val="202124"/>
          <w:sz w:val="17"/>
        </w:rPr>
      </w:r>
      <w:r>
        <w:br/>
      </w:r>
      <w:r>
        <w:rPr>
          <w:rFonts w:ascii="Consolas" w:hAnsi="Consolas"/>
          <w:color w:val="202124"/>
          <w:sz w:val="17"/>
        </w:rPr>
        <w:t>writeLines(</w:t>
      </w:r>
      <w:r>
        <w:br/>
      </w:r>
      <w:r>
        <w:rPr>
          <w:rFonts w:ascii="Consolas" w:hAnsi="Consolas"/>
          <w:color w:val="202124"/>
          <w:sz w:val="17"/>
        </w:rPr>
        <w:t xml:space="preserve">  c(</w:t>
      </w:r>
      <w:r>
        <w:br/>
      </w:r>
      <w:r>
        <w:rPr>
          <w:rFonts w:ascii="Consolas" w:hAnsi="Consolas"/>
          <w:color w:val="202124"/>
          <w:sz w:val="17"/>
        </w:rPr>
        <w:t xml:space="preserve">    "Design: ~ cellline + dexamethasone",</w:t>
      </w:r>
      <w:r>
        <w:br/>
      </w:r>
      <w:r>
        <w:rPr>
          <w:rFonts w:ascii="Consolas" w:hAnsi="Consolas"/>
          <w:color w:val="202124"/>
          <w:sz w:val="17"/>
        </w:rPr>
        <w:t xml:space="preserve">    "Contrast: treated vs untreated",</w:t>
      </w:r>
      <w:r>
        <w:br/>
      </w:r>
      <w:r>
        <w:rPr>
          <w:rFonts w:ascii="Consolas" w:hAnsi="Consolas"/>
          <w:color w:val="202124"/>
          <w:sz w:val="17"/>
        </w:rPr>
        <w:t xml:space="preserve">    "Adjusted p-value cutoff: 0.05",</w:t>
      </w:r>
      <w:r>
        <w:br/>
      </w:r>
      <w:r>
        <w:rPr>
          <w:rFonts w:ascii="Consolas" w:hAnsi="Consolas"/>
          <w:color w:val="202124"/>
          <w:sz w:val="17"/>
        </w:rPr>
        <w:t xml:space="preserve">    "Absolute log2 fold-change cutoff for volcano categories: 1",</w:t>
      </w:r>
      <w:r>
        <w:br/>
      </w:r>
      <w:r>
        <w:rPr>
          <w:rFonts w:ascii="Consolas" w:hAnsi="Consolas"/>
          <w:color w:val="202124"/>
          <w:sz w:val="17"/>
        </w:rPr>
        <w:t xml:space="preserve">    paste("Analysis date:", Sys.Date())</w:t>
      </w:r>
      <w:r>
        <w:br/>
      </w:r>
      <w:r>
        <w:rPr>
          <w:rFonts w:ascii="Consolas" w:hAnsi="Consolas"/>
          <w:color w:val="202124"/>
          <w:sz w:val="17"/>
        </w:rPr>
        <w:t xml:space="preserve">  ),</w:t>
      </w:r>
      <w:r>
        <w:br/>
      </w:r>
      <w:r>
        <w:rPr>
          <w:rFonts w:ascii="Consolas" w:hAnsi="Consolas"/>
          <w:color w:val="202124"/>
          <w:sz w:val="17"/>
        </w:rPr>
        <w:t xml:space="preserve">  "data/analysis_parameters.txt"</w:t>
      </w:r>
      <w:r>
        <w:br/>
      </w:r>
      <w:r>
        <w:rPr>
          <w:rFonts w:ascii="Consolas" w:hAnsi="Consolas"/>
          <w:color w:val="202124"/>
          <w:sz w:val="17"/>
        </w:rPr>
        <w:t>)</w:t>
      </w:r>
      <w:r>
        <w:br/>
      </w:r>
      <w:r>
        <w:rPr>
          <w:rFonts w:ascii="Consolas" w:hAnsi="Consolas"/>
          <w:color w:val="202124"/>
          <w:sz w:val="17"/>
        </w:rPr>
      </w:r>
      <w:r>
        <w:br/>
      </w:r>
      <w:r>
        <w:rPr>
          <w:rFonts w:ascii="Consolas" w:hAnsi="Consolas"/>
          <w:color w:val="202124"/>
          <w:sz w:val="17"/>
        </w:rPr>
        <w:t>list.files("data")</w:t>
      </w:r>
      <w:r>
        <w:br/>
      </w:r>
      <w:r>
        <w:rPr>
          <w:rFonts w:ascii="Consolas" w:hAnsi="Consolas"/>
          <w:color w:val="202124"/>
          <w:sz w:val="17"/>
        </w:rPr>
        <w:t>list.files("plots")</w:t>
      </w:r>
    </w:p>
    <w:p>
      <w:pPr>
        <w:spacing w:after="80" w:line="300" w:lineRule="auto"/>
        <w:numPr>
          <w:ilvl w:val="0"/>
          <w:numId w:val="10"/>
        </w:numPr>
      </w:pPr>
      <w:r>
        <w:t>Do not edit raw counts.csv or metadata2.csv after organization.</w:t>
      </w:r>
    </w:p>
    <w:p>
      <w:pPr>
        <w:spacing w:after="80" w:line="300" w:lineRule="auto"/>
        <w:numPr>
          <w:ilvl w:val="0"/>
          <w:numId w:val="10"/>
        </w:numPr>
      </w:pPr>
      <w:r>
        <w:t>Keep generated aligned files and result tables in data with descriptive names.</w:t>
      </w:r>
    </w:p>
    <w:p>
      <w:pPr>
        <w:spacing w:after="80" w:line="300" w:lineRule="auto"/>
        <w:numPr>
          <w:ilvl w:val="0"/>
          <w:numId w:val="10"/>
        </w:numPr>
      </w:pPr>
      <w:r>
        <w:t>Keep plot filenames tied to the contrast and plot type.</w:t>
      </w:r>
    </w:p>
    <w:p>
      <w:pPr>
        <w:spacing w:after="80" w:line="300" w:lineRule="auto"/>
        <w:numPr>
          <w:ilvl w:val="0"/>
          <w:numId w:val="10"/>
        </w:numPr>
      </w:pPr>
      <w:r>
        <w:t>Record package versions with sessionInfo().</w:t>
      </w:r>
    </w:p>
    <w:p>
      <w:pPr>
        <w:spacing w:after="80" w:line="300" w:lineRule="auto"/>
        <w:numPr>
          <w:ilvl w:val="0"/>
          <w:numId w:val="10"/>
        </w:numPr>
      </w:pPr>
      <w:r>
        <w:t>State all thresholds and the model design in the final report.</w:t>
      </w:r>
    </w:p>
    <w:p>
      <w:pPr>
        <w:spacing w:before="100" w:after="40"/>
      </w:pPr>
      <w:r>
        <w:rPr>
          <w:rFonts w:ascii="Calibri" w:hAnsi="Calibri"/>
          <w:b/>
          <w:color w:val="2E74B5"/>
        </w:rPr>
        <w:t xml:space="preserve">Checkpoint question: </w:t>
      </w:r>
      <w:r>
        <w:t>What information in sessionInfo() would help explain why results differ between two computers?</w:t>
      </w:r>
    </w:p>
    <w:p>
      <w:pPr>
        <w:spacing w:line="360" w:lineRule="exact" w:after="160"/>
        <w:pBdr>
          <w:bottom w:val="single" w:sz="4" w:space="2" w:color="D9E0E8"/>
        </w:pBdr>
      </w:pPr>
      <w:r>
        <w:t xml:space="preserve"> </w:t>
      </w:r>
    </w:p>
    <w:p>
      <w:pPr>
        <w:pStyle w:val="Heading1"/>
      </w:pPr>
      <w:r>
        <w:t>Final class submission</w:t>
      </w:r>
    </w:p>
    <w:p>
      <w:r>
        <w:t>Submit the following as one organized project folder plus a short interpretation document.</w:t>
      </w:r>
    </w:p>
    <w:p>
      <w:pPr>
        <w:spacing w:after="80" w:line="300" w:lineRule="auto"/>
        <w:numPr>
          <w:ilvl w:val="0"/>
          <w:numId w:val="10"/>
        </w:numPr>
      </w:pPr>
      <w:r>
        <w:t>A scripts directory containing the analysis and package-management R files.</w:t>
      </w:r>
    </w:p>
    <w:p>
      <w:pPr>
        <w:spacing w:after="80" w:line="300" w:lineRule="auto"/>
        <w:numPr>
          <w:ilvl w:val="0"/>
          <w:numId w:val="10"/>
        </w:numPr>
      </w:pPr>
      <w:r>
        <w:t>A data directory containing raw inputs, aligned inputs, the DESeq2 result CSV, sessionInfo.txt and analysis_parameters.txt.</w:t>
      </w:r>
    </w:p>
    <w:p>
      <w:pPr>
        <w:spacing w:after="80" w:line="300" w:lineRule="auto"/>
        <w:numPr>
          <w:ilvl w:val="0"/>
          <w:numId w:val="10"/>
        </w:numPr>
      </w:pPr>
      <w:r>
        <w:t>A plots directory containing at least PCA, volcano, top-gene, sample-distance, top-gene heatmap and MA figures.</w:t>
      </w:r>
    </w:p>
    <w:p>
      <w:pPr>
        <w:spacing w:after="80" w:line="300" w:lineRule="auto"/>
        <w:numPr>
          <w:ilvl w:val="0"/>
          <w:numId w:val="10"/>
        </w:numPr>
      </w:pPr>
      <w:r>
        <w:t>A one-page interpretation that states the model, contrast, thresholds, DEG totals, QC conclusions and two biological hypotheses.</w:t>
      </w:r>
    </w:p>
    <w:p>
      <w:pPr>
        <w:spacing w:after="80" w:line="300" w:lineRule="auto"/>
        <w:numPr>
          <w:ilvl w:val="0"/>
          <w:numId w:val="10"/>
        </w:numPr>
      </w:pPr>
      <w:r>
        <w:t>One optional advanced output: shrunken MA comparison, GO/GSEA result or KEGG pathway overlay.</w:t>
      </w:r>
    </w:p>
    <w:p>
      <w:pPr>
        <w:pStyle w:val="ExerciseCaption"/>
        <w:keepNext/>
      </w:pPr>
      <w:r>
        <w:t>Suggested 100-point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900"/>
        <w:gridCol w:w="54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Assessment area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Points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Evidence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Project organization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10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Correct folders and safe file placement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Package workflow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10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Package status plus manual or automated method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Data alignment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15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Eight samples, 64,102 genes and exact ID/order match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DESeq2 model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20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Correct factors, reference, design, filtering and contrast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Core figures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20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Readable plots with accurate interpretation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Additional QC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10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Heatmaps, MA, p-values or dispersion discussed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Reproducibility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10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Results, parameters and session information exported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Scientific reasoning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5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Claims distinguish evidence from hypothesis</w:t>
            </w:r>
          </w:p>
        </w:tc>
      </w:tr>
    </w:tbl>
    <w:p>
      <w:pPr>
        <w:pStyle w:val="Heading1"/>
      </w:pPr>
      <w:r>
        <w:t>Troubleshooting guide</w:t>
      </w:r>
    </w:p>
    <w:p>
      <w:pPr>
        <w:pStyle w:val="ExerciseCaption"/>
        <w:keepNext/>
      </w:pPr>
      <w:r>
        <w:t>Common errors and responses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Problem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Likely cause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Action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File not found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R is not running from the project root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Open the .Rproj file and confirm getwd().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Package not installed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Installation step was skipped or failed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Run manage_packages('list'), then the selected installer.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counts.csv missing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Files were organized but an old root-relative command was used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Use data/counts.csv or run the supplied scripts from root.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Sample names do not match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Metadata and count columns are not aligned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Rerun Aligning_meta_counts.R; do not reorder by hand.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dds or res not found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Visualization was run before model fitting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Run LOAD_CLEANED_ALIGNED_DATA.R first.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No top-gene plot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No gene passed padj &lt; 0.05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Report the result; do not relax thresholds silently.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GO/GSEA returns no terms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No enrichment passed the cutoff or IDs did not map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Inspect mapped IDs and report the null result.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Pathview fails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Network or pathway-ID issue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124"/>
                <w:sz w:val="18"/>
              </w:rPr>
              <w:t>Check internet access and the human hsa pathway ID.</w:t>
            </w:r>
          </w:p>
        </w:tc>
      </w:tr>
    </w:tbl>
    <w:p>
      <w:pPr>
        <w:pStyle w:val="Heading1"/>
      </w:pPr>
      <w:r>
        <w:t>Instructor and self-check checkpoints</w:t>
      </w:r>
    </w:p>
    <w:p>
      <w:pPr>
        <w:spacing w:after="80" w:line="300" w:lineRule="auto"/>
        <w:numPr>
          <w:ilvl w:val="0"/>
          <w:numId w:val="10"/>
        </w:numPr>
      </w:pPr>
      <w:r>
        <w:t>The raw alignment stage should retain 64,102 genes and all 8 sample IDs.</w:t>
      </w:r>
    </w:p>
    <w:p>
      <w:pPr>
        <w:spacing w:after="80" w:line="300" w:lineRule="auto"/>
        <w:numPr>
          <w:ilvl w:val="0"/>
          <w:numId w:val="10"/>
        </w:numPr>
      </w:pPr>
      <w:r>
        <w:t>The metadata should contain exactly cellline and dexamethasone columns after alignment.</w:t>
      </w:r>
    </w:p>
    <w:p>
      <w:pPr>
        <w:spacing w:after="80" w:line="300" w:lineRule="auto"/>
        <w:numPr>
          <w:ilvl w:val="0"/>
          <w:numId w:val="10"/>
        </w:numPr>
      </w:pPr>
      <w:r>
        <w:t>There should be four cell lines, each represented by one untreated and one treated sample.</w:t>
      </w:r>
    </w:p>
    <w:p>
      <w:pPr>
        <w:spacing w:after="80" w:line="300" w:lineRule="auto"/>
        <w:numPr>
          <w:ilvl w:val="0"/>
          <w:numId w:val="10"/>
        </w:numPr>
      </w:pPr>
      <w:r>
        <w:t>The DESeq2 design should be ~ cellline + dexamethasone, with untreated as the treatment reference.</w:t>
      </w:r>
    </w:p>
    <w:p>
      <w:pPr>
        <w:spacing w:after="80" w:line="300" w:lineRule="auto"/>
        <w:numPr>
          <w:ilvl w:val="0"/>
          <w:numId w:val="10"/>
        </w:numPr>
      </w:pPr>
      <w:r>
        <w:t>The primary contrast should be dexamethasone treated versus untreated.</w:t>
      </w:r>
    </w:p>
    <w:p>
      <w:pPr>
        <w:spacing w:after="80" w:line="300" w:lineRule="auto"/>
        <w:numPr>
          <w:ilvl w:val="0"/>
          <w:numId w:val="10"/>
        </w:numPr>
      </w:pPr>
      <w:r>
        <w:t>The number of genes retained after the total-count &gt;= 10 filter must be recorded from the student's run rather than assumed.</w:t>
      </w:r>
    </w:p>
    <w:p>
      <w:pPr>
        <w:spacing w:after="80" w:line="300" w:lineRule="auto"/>
        <w:numPr>
          <w:ilvl w:val="0"/>
          <w:numId w:val="10"/>
        </w:numPr>
      </w:pPr>
      <w:r>
        <w:t>Biological conclusions must be based on the generated results; the exercise intentionally does not pre-supply expected DEG or pathway answers.</w:t>
      </w:r>
    </w:p>
    <w:p>
      <w:pPr>
        <w:spacing w:before="100" w:after="160"/>
        <w:ind w:left="173" w:right="72"/>
        <w:shd w:fill="EAF4EE"/>
        <w:pBdr>
          <w:left w:val="single" w:sz="14" w:space="5" w:color="2D6A4F"/>
        </w:pBdr>
      </w:pPr>
      <w:r>
        <w:rPr>
          <w:rFonts w:ascii="Calibri" w:hAnsi="Calibri"/>
          <w:b/>
          <w:color w:val="2D6A4F"/>
        </w:rPr>
        <w:t xml:space="preserve">Completion standard: </w:t>
      </w:r>
      <w:r>
        <w:t>A technically successful analysis is not only one that runs. It must preserve sample identity, use an appropriate model, document thresholds, pass basic QC review and communicate uncertainty honestly.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left="0" w:right="0"/>
      <w:jc w:val="center"/>
    </w:pPr>
    <w:r>
      <w:rPr>
        <w:rFonts w:ascii="Calibri" w:hAnsi="Calibri"/>
        <w:color w:val="5F636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left="0" w:right="0"/>
      <w:jc w:val="center"/>
    </w:pPr>
    <w:r>
      <w:rPr>
        <w:rFonts w:ascii="Calibri" w:hAnsi="Calibri"/>
        <w:color w:val="5F636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left="0" w:right="0"/>
      <w:jc w:val="center"/>
    </w:pPr>
    <w:r>
      <w:rPr>
        <w:rFonts w:ascii="Calibri" w:hAnsi="Calibri"/>
        <w:color w:val="5F636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60"/>
      <w:ind w:left="0" w:right="0"/>
      <w:jc w:val="left"/>
      <w:pBdr>
        <w:bottom w:val="single" w:sz="4" w:space="2" w:color="D9E0E8"/>
      </w:pBdr>
    </w:pPr>
    <w:r>
      <w:rPr>
        <w:rFonts w:ascii="Calibri" w:hAnsi="Calibri"/>
        <w:b/>
        <w:color w:val="5F6368"/>
        <w:sz w:val="18"/>
      </w:rPr>
      <w:t>RNA-seq Class Exercise</w:t>
    </w:r>
    <w:r>
      <w:tab/>
      <w:t>DESeq2 | Dexamethasone vs Untreated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60"/>
      <w:ind w:left="0" w:right="0"/>
      <w:jc w:val="left"/>
      <w:pBdr>
        <w:bottom w:val="single" w:sz="4" w:space="2" w:color="D9E0E8"/>
      </w:pBdr>
    </w:pPr>
    <w:r>
      <w:rPr>
        <w:rFonts w:ascii="Calibri" w:hAnsi="Calibri"/>
        <w:b/>
        <w:color w:val="5F6368"/>
        <w:sz w:val="18"/>
      </w:rPr>
      <w:t>RNA-seq Class Exercise</w:t>
    </w:r>
    <w:r>
      <w:tab/>
      <w:t>DESeq2 | Dexamethasone vs Untreated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ind w:left="0" w:right="0" w:firstLine="0"/>
      <w:jc w:val="left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ind w:left="0" w:right="0" w:firstLine="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left="0" w:right="0" w:firstLine="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ind w:left="0" w:right="0" w:firstLine="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60" w:line="240" w:lineRule="auto"/>
      <w:ind w:left="230" w:right="115"/>
    </w:pPr>
    <w:rPr>
      <w:rFonts w:ascii="Consolas" w:hAnsi="Consolas"/>
      <w:color w:val="202124"/>
      <w:sz w:val="17"/>
    </w:rPr>
  </w:style>
  <w:style w:type="paragraph" w:customStyle="1" w:styleId="ExerciseCaption">
    <w:name w:val="Exercise Caption"/>
    <w:pPr>
      <w:spacing w:before="80" w:after="120"/>
    </w:pPr>
    <w:rPr>
      <w:rFonts w:ascii="Calibri" w:hAnsi="Calibri"/>
      <w:i/>
      <w:color w:val="5F636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RNA-seq Differential Expression in R</dc:title>
  <dc:subject>Beginner class exercise using DESeq2</dc:subject>
  <dc:creator>Course Instructor</dc:creator>
  <cp:keywords>RNA-seq, DESeq2, R, differential expression, class exercise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