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595959"/>
          <w:sz w:val="30"/>
          <w:szCs w:val="30"/>
        </w:rPr>
        <w:t xml:space="preserve">RNA-SEQ PIPELINE</w:t>
      </w:r>
    </w:p>
    <w:p>
      <w:pPr>
        <w:spacing w:after="120" w:before="120"/>
        <w:jc w:val="center"/>
      </w:pPr>
      <w:r>
        <w:rPr>
          <w:b/>
          <w:bCs/>
          <w:color w:val="1F3864"/>
          <w:sz w:val="64"/>
          <w:szCs w:val="64"/>
        </w:rPr>
        <w:t xml:space="preserve">Master Runbook</w:t>
      </w:r>
    </w:p>
    <w:p>
      <w:pPr>
        <w:spacing w:after="600"/>
        <w:jc w:val="center"/>
      </w:pPr>
      <w:r>
        <w:rPr>
          <w:color w:val="2E74B5"/>
          <w:sz w:val="26"/>
          <w:szCs w:val="26"/>
        </w:rPr>
        <w:t xml:space="preserve">PRJNA229998 — Airway Smooth Muscle Glucocorticoid-Response Study</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tblGrid>
      <w:tr>
        <w:tc>
          <w:tcPr>
            <w:tcW w:type="dxa" w:w="2400"/>
            <w:shd w:fill="F2F2F2" w:val="clear"/>
            <w:tcMar>
              <w:top w:type="dxa" w:w="80"/>
              <w:left w:type="dxa" w:w="120"/>
              <w:bottom w:type="dxa" w:w="80"/>
              <w:right w:type="dxa" w:w="120"/>
            </w:tcMar>
          </w:tcPr>
          <w:p>
            <w:pPr>
              <w:jc w:val="left"/>
            </w:pPr>
            <w:r>
              <w:rPr>
                <w:b/>
                <w:bCs/>
                <w:color w:val="000000"/>
                <w:sz w:val="20"/>
                <w:szCs w:val="20"/>
              </w:rPr>
              <w:t xml:space="preserve">Project</w:t>
            </w:r>
          </w:p>
        </w:tc>
        <w:tc>
          <w:tcPr>
            <w:tcW w:type="dxa" w:w="4600"/>
            <w:tcMar>
              <w:top w:type="dxa" w:w="80"/>
              <w:left w:type="dxa" w:w="120"/>
              <w:bottom w:type="dxa" w:w="80"/>
              <w:right w:type="dxa" w:w="120"/>
            </w:tcMar>
          </w:tcPr>
          <w:p>
            <w:pPr>
              <w:jc w:val="left"/>
            </w:pPr>
            <w:r>
              <w:rPr>
                <w:b w:val="false"/>
                <w:bCs w:val="false"/>
                <w:color w:val="000000"/>
                <w:sz w:val="20"/>
                <w:szCs w:val="20"/>
              </w:rPr>
              <w:t xml:space="preserve">PRJNA229998 Airway RNA-Seq Pipeline (Himes et al. 2014 / GSE52778)</w:t>
            </w:r>
          </w:p>
        </w:tc>
      </w:tr>
      <w:tr>
        <w:tc>
          <w:tcPr>
            <w:tcW w:type="dxa" w:w="2400"/>
            <w:shd w:fill="F2F2F2" w:val="clear"/>
            <w:tcMar>
              <w:top w:type="dxa" w:w="80"/>
              <w:left w:type="dxa" w:w="120"/>
              <w:bottom w:type="dxa" w:w="80"/>
              <w:right w:type="dxa" w:w="120"/>
            </w:tcMar>
          </w:tcPr>
          <w:p>
            <w:pPr>
              <w:jc w:val="left"/>
            </w:pPr>
            <w:r>
              <w:rPr>
                <w:b/>
                <w:bCs/>
                <w:color w:val="000000"/>
                <w:sz w:val="20"/>
                <w:szCs w:val="20"/>
              </w:rPr>
              <w:t xml:space="preserve">Environment</w:t>
            </w:r>
          </w:p>
        </w:tc>
        <w:tc>
          <w:tcPr>
            <w:tcW w:type="dxa" w:w="4600"/>
            <w:tcMar>
              <w:top w:type="dxa" w:w="80"/>
              <w:left w:type="dxa" w:w="120"/>
              <w:bottom w:type="dxa" w:w="80"/>
              <w:right w:type="dxa" w:w="120"/>
            </w:tcMar>
          </w:tcPr>
          <w:p>
            <w:pPr>
              <w:jc w:val="left"/>
            </w:pPr>
            <w:r>
              <w:rPr>
                <w:b w:val="false"/>
                <w:bCs w:val="false"/>
                <w:color w:val="000000"/>
                <w:sz w:val="20"/>
                <w:szCs w:val="20"/>
              </w:rPr>
              <w:t xml:space="preserve">Slurm-managed HPC cluster</w:t>
            </w:r>
          </w:p>
        </w:tc>
      </w:tr>
      <w:tr>
        <w:tc>
          <w:tcPr>
            <w:tcW w:type="dxa" w:w="2400"/>
            <w:shd w:fill="F2F2F2" w:val="clear"/>
            <w:tcMar>
              <w:top w:type="dxa" w:w="80"/>
              <w:left w:type="dxa" w:w="120"/>
              <w:bottom w:type="dxa" w:w="80"/>
              <w:right w:type="dxa" w:w="120"/>
            </w:tcMar>
          </w:tcPr>
          <w:p>
            <w:pPr>
              <w:jc w:val="left"/>
            </w:pPr>
            <w:r>
              <w:rPr>
                <w:b/>
                <w:bCs/>
                <w:color w:val="000000"/>
                <w:sz w:val="20"/>
                <w:szCs w:val="20"/>
              </w:rPr>
              <w:t xml:space="preserve">Curriculum</w:t>
            </w:r>
          </w:p>
        </w:tc>
        <w:tc>
          <w:tcPr>
            <w:tcW w:type="dxa" w:w="4600"/>
            <w:tcMar>
              <w:top w:type="dxa" w:w="80"/>
              <w:left w:type="dxa" w:w="120"/>
              <w:bottom w:type="dxa" w:w="80"/>
              <w:right w:type="dxa" w:w="120"/>
            </w:tcMar>
          </w:tcPr>
          <w:p>
            <w:pPr>
              <w:jc w:val="left"/>
            </w:pPr>
            <w:r>
              <w:rPr>
                <w:b w:val="false"/>
                <w:bCs w:val="false"/>
                <w:color w:val="000000"/>
                <w:sz w:val="20"/>
                <w:szCs w:val="20"/>
              </w:rPr>
              <w:t xml:space="preserve">MIBO8110 Applied Omics — Comprehensive Bulk RNA-seq module</w:t>
            </w:r>
          </w:p>
        </w:tc>
      </w:tr>
      <w:tr>
        <w:tc>
          <w:tcPr>
            <w:tcW w:type="dxa" w:w="2400"/>
            <w:shd w:fill="F2F2F2" w:val="clear"/>
            <w:tcMar>
              <w:top w:type="dxa" w:w="80"/>
              <w:left w:type="dxa" w:w="120"/>
              <w:bottom w:type="dxa" w:w="80"/>
              <w:right w:type="dxa" w:w="120"/>
            </w:tcMar>
          </w:tcPr>
          <w:p>
            <w:pPr>
              <w:jc w:val="left"/>
            </w:pPr>
            <w:r>
              <w:rPr>
                <w:b/>
                <w:bCs/>
                <w:color w:val="000000"/>
                <w:sz w:val="20"/>
                <w:szCs w:val="20"/>
              </w:rPr>
              <w:t xml:space="preserve">Document type</w:t>
            </w:r>
          </w:p>
        </w:tc>
        <w:tc>
          <w:tcPr>
            <w:tcW w:type="dxa" w:w="4600"/>
            <w:tcMar>
              <w:top w:type="dxa" w:w="80"/>
              <w:left w:type="dxa" w:w="120"/>
              <w:bottom w:type="dxa" w:w="80"/>
              <w:right w:type="dxa" w:w="120"/>
            </w:tcMar>
          </w:tcPr>
          <w:p>
            <w:pPr>
              <w:jc w:val="left"/>
            </w:pPr>
            <w:r>
              <w:rPr>
                <w:b w:val="false"/>
                <w:bCs w:val="false"/>
                <w:color w:val="000000"/>
                <w:sz w:val="20"/>
                <w:szCs w:val="20"/>
              </w:rPr>
              <w:t xml:space="preserve">Operational Standard Operating Procedure (SOP) Runbook</w:t>
            </w:r>
          </w:p>
        </w:tc>
      </w:tr>
      <w:tr>
        <w:tc>
          <w:tcPr>
            <w:tcW w:type="dxa" w:w="2400"/>
            <w:shd w:fill="F2F2F2" w:val="clear"/>
            <w:tcMar>
              <w:top w:type="dxa" w:w="80"/>
              <w:left w:type="dxa" w:w="120"/>
              <w:bottom w:type="dxa" w:w="80"/>
              <w:right w:type="dxa" w:w="120"/>
            </w:tcMar>
          </w:tcPr>
          <w:p>
            <w:pPr>
              <w:jc w:val="left"/>
            </w:pPr>
            <w:r>
              <w:rPr>
                <w:b/>
                <w:bCs/>
                <w:color w:val="000000"/>
                <w:sz w:val="20"/>
                <w:szCs w:val="20"/>
              </w:rPr>
              <w:t xml:space="preserve">Companion document</w:t>
            </w:r>
          </w:p>
        </w:tc>
        <w:tc>
          <w:tcPr>
            <w:tcW w:type="dxa" w:w="4600"/>
            <w:tcMar>
              <w:top w:type="dxa" w:w="80"/>
              <w:left w:type="dxa" w:w="120"/>
              <w:bottom w:type="dxa" w:w="80"/>
              <w:right w:type="dxa" w:w="120"/>
            </w:tcMar>
          </w:tcPr>
          <w:p>
            <w:pPr>
              <w:jc w:val="left"/>
            </w:pPr>
            <w:r>
              <w:rPr>
                <w:b w:val="false"/>
                <w:bCs w:val="false"/>
                <w:color w:val="000000"/>
                <w:sz w:val="20"/>
                <w:szCs w:val="20"/>
              </w:rPr>
              <w:t xml:space="preserve">README.md (repository overview, architecture, citation)</w:t>
            </w:r>
          </w:p>
        </w:tc>
      </w:tr>
    </w:tbl>
    <w:p>
      <w:pPr>
        <w:spacing w:after="800"/>
      </w:pPr>
    </w:p>
    <w:p>
      <w:pPr>
        <w:jc w:val="center"/>
      </w:pPr>
      <w:r>
        <w:rPr>
          <w:i/>
          <w:iCs/>
          <w:color w:val="595959"/>
          <w:sz w:val="20"/>
          <w:szCs w:val="20"/>
        </w:rPr>
        <w:t xml:space="preserve">Generated for internal course and reproducibility use.</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4B5" w:sz="8" w:space="4"/>
        </w:pBdr>
        <w:spacing w:after="200" w:before="480"/>
      </w:pPr>
      <w:r>
        <w:t xml:space="preserve">0.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20"/>
              <w:bottom w:type="dxa" w:w="80"/>
              <w:right w:type="dxa" w:w="120"/>
            </w:tcMar>
          </w:tcPr>
          <w:p>
            <w:pPr>
              <w:jc w:val="left"/>
            </w:pPr>
            <w:r>
              <w:rPr>
                <w:b/>
                <w:bCs/>
                <w:color w:val="FFFFFF"/>
                <w:sz w:val="20"/>
                <w:szCs w:val="20"/>
              </w:rPr>
              <w:t xml:space="preserve">Field</w:t>
            </w:r>
          </w:p>
        </w:tc>
        <w:tc>
          <w:tcPr>
            <w:tcW w:type="dxa" w:w="6960"/>
            <w:shd w:fill="1F3864" w:val="clear"/>
            <w:tcMar>
              <w:top w:type="dxa" w:w="80"/>
              <w:left w:type="dxa" w:w="120"/>
              <w:bottom w:type="dxa" w:w="80"/>
              <w:right w:type="dxa" w:w="120"/>
            </w:tcMar>
          </w:tcPr>
          <w:p>
            <w:pPr>
              <w:jc w:val="left"/>
            </w:pPr>
            <w:r>
              <w:rPr>
                <w:b/>
                <w:bCs/>
                <w:color w:val="FFFFFF"/>
                <w:sz w:val="20"/>
                <w:szCs w:val="20"/>
              </w:rPr>
              <w:t xml:space="preserve">Value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Scope</w:t>
            </w:r>
          </w:p>
        </w:tc>
        <w:tc>
          <w:tcPr>
            <w:tcW w:type="dxa" w:w="6960"/>
            <w:tcMar>
              <w:top w:type="dxa" w:w="80"/>
              <w:left w:type="dxa" w:w="120"/>
              <w:bottom w:type="dxa" w:w="80"/>
              <w:right w:type="dxa" w:w="120"/>
            </w:tcMar>
          </w:tcPr>
          <w:p>
            <w:pPr>
              <w:jc w:val="left"/>
            </w:pPr>
            <w:r>
              <w:rPr>
                <w:b w:val="false"/>
                <w:bCs w:val="false"/>
                <w:color w:val="000000"/>
                <w:sz w:val="20"/>
                <w:szCs w:val="20"/>
              </w:rPr>
              <w:t xml:space="preserve">Execution and troubleshooting of the PRJNA229998 airway RNA-seq pipeline, scripts 1–9</w:t>
            </w:r>
          </w:p>
        </w:tc>
      </w:tr>
      <w:tr>
        <w:tc>
          <w:tcPr>
            <w:tcW w:type="dxa" w:w="2400"/>
            <w:shd w:fill="F2F2F2" w:val="clear"/>
            <w:tcMar>
              <w:top w:type="dxa" w:w="80"/>
              <w:left w:type="dxa" w:w="120"/>
              <w:bottom w:type="dxa" w:w="80"/>
              <w:right w:type="dxa" w:w="120"/>
            </w:tcMar>
          </w:tcPr>
          <w:p>
            <w:pPr>
              <w:jc w:val="left"/>
            </w:pPr>
            <w:r>
              <w:rPr>
                <w:b w:val="false"/>
                <w:bCs w:val="false"/>
                <w:color w:val="000000"/>
                <w:sz w:val="20"/>
                <w:szCs w:val="20"/>
              </w:rPr>
              <w:t xml:space="preserve">Audience</w:t>
            </w:r>
          </w:p>
        </w:tc>
        <w:tc>
          <w:tcPr>
            <w:tcW w:type="dxa" w:w="6960"/>
            <w:shd w:fill="F2F2F2" w:val="clear"/>
            <w:tcMar>
              <w:top w:type="dxa" w:w="80"/>
              <w:left w:type="dxa" w:w="120"/>
              <w:bottom w:type="dxa" w:w="80"/>
              <w:right w:type="dxa" w:w="120"/>
            </w:tcMar>
          </w:tcPr>
          <w:p>
            <w:pPr>
              <w:jc w:val="left"/>
            </w:pPr>
            <w:r>
              <w:rPr>
                <w:b w:val="false"/>
                <w:bCs w:val="false"/>
                <w:color w:val="000000"/>
                <w:sz w:val="20"/>
                <w:szCs w:val="20"/>
              </w:rPr>
              <w:t xml:space="preserve">Students and instructors running the pipeline on a Slurm HPC cluster</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Companion doc</w:t>
            </w:r>
          </w:p>
        </w:tc>
        <w:tc>
          <w:tcPr>
            <w:tcW w:type="dxa" w:w="6960"/>
            <w:tcMar>
              <w:top w:type="dxa" w:w="80"/>
              <w:left w:type="dxa" w:w="120"/>
              <w:bottom w:type="dxa" w:w="80"/>
              <w:right w:type="dxa" w:w="120"/>
            </w:tcMar>
          </w:tcPr>
          <w:p>
            <w:pPr>
              <w:jc w:val="left"/>
            </w:pPr>
            <w:r>
              <w:rPr>
                <w:b w:val="false"/>
                <w:bCs w:val="false"/>
                <w:color w:val="000000"/>
                <w:sz w:val="20"/>
                <w:szCs w:val="20"/>
              </w:rPr>
              <w:t xml:space="preserve">README.md (architecture, citation, license, dataset background)</w:t>
            </w:r>
          </w:p>
        </w:tc>
      </w:tr>
      <w:tr>
        <w:tc>
          <w:tcPr>
            <w:tcW w:type="dxa" w:w="2400"/>
            <w:shd w:fill="F2F2F2" w:val="clear"/>
            <w:tcMar>
              <w:top w:type="dxa" w:w="80"/>
              <w:left w:type="dxa" w:w="120"/>
              <w:bottom w:type="dxa" w:w="80"/>
              <w:right w:type="dxa" w:w="120"/>
            </w:tcMar>
          </w:tcPr>
          <w:p>
            <w:pPr>
              <w:jc w:val="left"/>
            </w:pPr>
            <w:r>
              <w:rPr>
                <w:b w:val="false"/>
                <w:bCs w:val="false"/>
                <w:color w:val="000000"/>
                <w:sz w:val="20"/>
                <w:szCs w:val="20"/>
              </w:rPr>
              <w:t xml:space="preserve">Verification status</w:t>
            </w:r>
          </w:p>
        </w:tc>
        <w:tc>
          <w:tcPr>
            <w:tcW w:type="dxa" w:w="6960"/>
            <w:shd w:fill="F2F2F2" w:val="clear"/>
            <w:tcMar>
              <w:top w:type="dxa" w:w="80"/>
              <w:left w:type="dxa" w:w="120"/>
              <w:bottom w:type="dxa" w:w="80"/>
              <w:right w:type="dxa" w:w="120"/>
            </w:tcMar>
          </w:tcPr>
          <w:p>
            <w:pPr>
              <w:jc w:val="left"/>
            </w:pPr>
            <w:r>
              <w:rPr>
                <w:b w:val="false"/>
                <w:bCs w:val="false"/>
                <w:color w:val="000000"/>
                <w:sz w:val="20"/>
                <w:szCs w:val="20"/>
              </w:rPr>
              <w:t xml:space="preserve">Reviewed line-by-line and syntax-checked (bash -n); NOT executed end-to-end in the authoring environment (no HPC access from this workstation) — see §10</w:t>
            </w:r>
          </w:p>
        </w:tc>
      </w:tr>
    </w:tbl>
    <w:p>
      <w:pPr>
        <w:spacing w:after="200"/>
      </w:pPr>
    </w:p>
    <w:p>
      <w:pPr>
        <w:pStyle w:val="Heading1"/>
        <w:pBdr>
          <w:bottom w:val="single" w:color="2E74B5" w:sz="8" w:space="4"/>
        </w:pBdr>
        <w:spacing w:after="200" w:before="480"/>
      </w:pPr>
      <w:r>
        <w:t xml:space="preserve">1. Purpose &amp; Scope</w:t>
      </w:r>
    </w:p>
    <w:p>
      <w:pPr>
        <w:spacing w:after="160" w:line="276"/>
      </w:pPr>
      <w:r>
        <w:t xml:space="preserve">This Runbook is the step-by-step operational companion to the repository's README.md. Where the README explains what the pipeline is and why it is built the way it is, this document tells an operator exactly what to type, what to check after each step, and what to do when a step fails. It assumes the reader already has a Slurm account on the target HPC cluster with a writable /scratch allocation.</w:t>
      </w:r>
    </w:p>
    <w:p>
      <w:pPr>
        <w:spacing w:after="160" w:line="276"/>
      </w:pPr>
      <w:r>
        <w:t xml:space="preserve">The pipeline takes raw SRA reads for four samples from BioProject PRJNA229998 (Himes et al. 2014, GSE52778 — a dexamethasone treatment-vs-control airway smooth muscle cell study) and produces a gene-level count matrix suitable for import into DESeq2.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4"/>
              <w:left w:val="single" w:color="E5B5B5" w:sz="4"/>
              <w:bottom w:val="single" w:color="E5B5B5" w:sz="4"/>
              <w:right w:val="single" w:color="E5B5B5" w:sz="4"/>
            </w:tcBorders>
            <w:shd w:fill="FDECEC" w:val="clear"/>
            <w:tcMar>
              <w:top w:type="dxa" w:w="160"/>
              <w:left w:type="dxa" w:w="200"/>
              <w:bottom w:type="dxa" w:w="160"/>
              <w:right w:type="dxa" w:w="200"/>
            </w:tcMar>
          </w:tcPr>
          <w:p>
            <w:pPr>
              <w:spacing w:after="80"/>
            </w:pPr>
            <w:r>
              <w:rPr>
                <w:b/>
                <w:bCs/>
                <w:color w:val="C00000"/>
              </w:rPr>
              <w:t xml:space="preserve">Read this before your first production run</w:t>
            </w:r>
          </w:p>
          <w:p>
            <w:pPr>
              <w:spacing w:after="0"/>
            </w:pPr>
            <w:r>
              <w:rPr>
                <w:color w:val="444444"/>
              </w:rPr>
              <w:t xml:space="preserve">Section 10 (“Known Limitations”) documents specific, verified issues found in this repository's scripts during review — including one that can silently defeat Script 8's per-sample fault tolerance. Read it before submitting an unattended cohort run.</w:t>
            </w:r>
          </w:p>
        </w:tc>
      </w:tr>
    </w:tbl>
    <w:p>
      <w:pPr>
        <w:pStyle w:val="Heading1"/>
        <w:pBdr>
          <w:bottom w:val="single" w:color="2E74B5" w:sz="8" w:space="4"/>
        </w:pBdr>
        <w:spacing w:after="200" w:before="480"/>
      </w:pPr>
      <w:r>
        <w:t xml:space="preserve">2. Study &amp; Dataset 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val="clear"/>
            <w:tcMar>
              <w:top w:type="dxa" w:w="80"/>
              <w:left w:type="dxa" w:w="120"/>
              <w:bottom w:type="dxa" w:w="80"/>
              <w:right w:type="dxa" w:w="120"/>
            </w:tcMar>
          </w:tcPr>
          <w:p>
            <w:pPr>
              <w:jc w:val="left"/>
            </w:pPr>
            <w:r>
              <w:rPr>
                <w:b/>
                <w:bCs/>
                <w:color w:val="FFFFFF"/>
                <w:sz w:val="20"/>
                <w:szCs w:val="20"/>
              </w:rPr>
              <w:t xml:space="preserve">Field</w:t>
            </w:r>
          </w:p>
        </w:tc>
        <w:tc>
          <w:tcPr>
            <w:tcW w:type="dxa" w:w="6960"/>
            <w:shd w:fill="1F3864" w:val="clear"/>
            <w:tcMar>
              <w:top w:type="dxa" w:w="80"/>
              <w:left w:type="dxa" w:w="120"/>
              <w:bottom w:type="dxa" w:w="80"/>
              <w:right w:type="dxa" w:w="120"/>
            </w:tcMar>
          </w:tcPr>
          <w:p>
            <w:pPr>
              <w:jc w:val="left"/>
            </w:pPr>
            <w:r>
              <w:rPr>
                <w:b/>
                <w:bCs/>
                <w:color w:val="FFFFFF"/>
                <w:sz w:val="20"/>
                <w:szCs w:val="20"/>
              </w:rPr>
              <w:t xml:space="preserve">Value</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Study</w:t>
            </w:r>
          </w:p>
        </w:tc>
        <w:tc>
          <w:tcPr>
            <w:tcW w:type="dxa" w:w="6960"/>
            <w:tcMar>
              <w:top w:type="dxa" w:w="80"/>
              <w:left w:type="dxa" w:w="120"/>
              <w:bottom w:type="dxa" w:w="80"/>
              <w:right w:type="dxa" w:w="120"/>
            </w:tcMar>
          </w:tcPr>
          <w:p>
            <w:pPr>
              <w:jc w:val="left"/>
            </w:pPr>
            <w:r>
              <w:rPr>
                <w:b w:val="false"/>
                <w:bCs w:val="false"/>
                <w:color w:val="000000"/>
                <w:sz w:val="20"/>
                <w:szCs w:val="20"/>
              </w:rPr>
              <w:t xml:space="preserve">Himes BE, et al. (2014). RNA-Seq Transcriptome Profiling Identifies CRISPLD2 as a Glucocorticoid Responsive Gene that Modulates Cytokine Function in Airway Smooth Muscle Cells. PLOS ONE.</w:t>
            </w:r>
          </w:p>
        </w:tc>
      </w:tr>
      <w:tr>
        <w:tc>
          <w:tcPr>
            <w:tcW w:type="dxa" w:w="2400"/>
            <w:shd w:fill="F2F2F2" w:val="clear"/>
            <w:tcMar>
              <w:top w:type="dxa" w:w="80"/>
              <w:left w:type="dxa" w:w="120"/>
              <w:bottom w:type="dxa" w:w="80"/>
              <w:right w:type="dxa" w:w="120"/>
            </w:tcMar>
          </w:tcPr>
          <w:p>
            <w:pPr>
              <w:jc w:val="left"/>
            </w:pPr>
            <w:r>
              <w:rPr>
                <w:b w:val="false"/>
                <w:bCs w:val="false"/>
                <w:color w:val="000000"/>
                <w:sz w:val="20"/>
                <w:szCs w:val="20"/>
              </w:rPr>
              <w:t xml:space="preserve">DOI</w:t>
            </w:r>
          </w:p>
        </w:tc>
        <w:tc>
          <w:tcPr>
            <w:tcW w:type="dxa" w:w="6960"/>
            <w:shd w:fill="F2F2F2" w:val="clear"/>
            <w:tcMar>
              <w:top w:type="dxa" w:w="80"/>
              <w:left w:type="dxa" w:w="120"/>
              <w:bottom w:type="dxa" w:w="80"/>
              <w:right w:type="dxa" w:w="120"/>
            </w:tcMar>
          </w:tcPr>
          <w:p>
            <w:pPr>
              <w:jc w:val="left"/>
            </w:pPr>
            <w:r>
              <w:rPr>
                <w:b w:val="false"/>
                <w:bCs w:val="false"/>
                <w:color w:val="000000"/>
                <w:sz w:val="20"/>
                <w:szCs w:val="20"/>
              </w:rPr>
              <w:t xml:space="preserve">10.1371/journal.pone.0099625</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GEO series</w:t>
            </w:r>
          </w:p>
        </w:tc>
        <w:tc>
          <w:tcPr>
            <w:tcW w:type="dxa" w:w="6960"/>
            <w:tcMar>
              <w:top w:type="dxa" w:w="80"/>
              <w:left w:type="dxa" w:w="120"/>
              <w:bottom w:type="dxa" w:w="80"/>
              <w:right w:type="dxa" w:w="120"/>
            </w:tcMar>
          </w:tcPr>
          <w:p>
            <w:pPr>
              <w:jc w:val="left"/>
            </w:pPr>
            <w:r>
              <w:rPr>
                <w:b w:val="false"/>
                <w:bCs w:val="false"/>
                <w:color w:val="000000"/>
                <w:sz w:val="20"/>
                <w:szCs w:val="20"/>
              </w:rPr>
              <w:t xml:space="preserve">GSE52778</w:t>
            </w:r>
          </w:p>
        </w:tc>
      </w:tr>
      <w:tr>
        <w:tc>
          <w:tcPr>
            <w:tcW w:type="dxa" w:w="2400"/>
            <w:shd w:fill="F2F2F2" w:val="clear"/>
            <w:tcMar>
              <w:top w:type="dxa" w:w="80"/>
              <w:left w:type="dxa" w:w="120"/>
              <w:bottom w:type="dxa" w:w="80"/>
              <w:right w:type="dxa" w:w="120"/>
            </w:tcMar>
          </w:tcPr>
          <w:p>
            <w:pPr>
              <w:jc w:val="left"/>
            </w:pPr>
            <w:r>
              <w:rPr>
                <w:b w:val="false"/>
                <w:bCs w:val="false"/>
                <w:color w:val="000000"/>
                <w:sz w:val="20"/>
                <w:szCs w:val="20"/>
              </w:rPr>
              <w:t xml:space="preserve">BioProject</w:t>
            </w:r>
          </w:p>
        </w:tc>
        <w:tc>
          <w:tcPr>
            <w:tcW w:type="dxa" w:w="6960"/>
            <w:shd w:fill="F2F2F2" w:val="clear"/>
            <w:tcMar>
              <w:top w:type="dxa" w:w="80"/>
              <w:left w:type="dxa" w:w="120"/>
              <w:bottom w:type="dxa" w:w="80"/>
              <w:right w:type="dxa" w:w="120"/>
            </w:tcMar>
          </w:tcPr>
          <w:p>
            <w:pPr>
              <w:jc w:val="left"/>
            </w:pPr>
            <w:r>
              <w:rPr>
                <w:b w:val="false"/>
                <w:bCs w:val="false"/>
                <w:color w:val="000000"/>
                <w:sz w:val="20"/>
                <w:szCs w:val="20"/>
              </w:rPr>
              <w:t xml:space="preserve">PRJNA229998</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Design</w:t>
            </w:r>
          </w:p>
        </w:tc>
        <w:tc>
          <w:tcPr>
            <w:tcW w:type="dxa" w:w="6960"/>
            <w:tcMar>
              <w:top w:type="dxa" w:w="80"/>
              <w:left w:type="dxa" w:w="120"/>
              <w:bottom w:type="dxa" w:w="80"/>
              <w:right w:type="dxa" w:w="120"/>
            </w:tcMar>
          </w:tcPr>
          <w:p>
            <w:pPr>
              <w:jc w:val="left"/>
            </w:pPr>
            <w:r>
              <w:rPr>
                <w:b w:val="false"/>
                <w:bCs w:val="false"/>
                <w:color w:val="000000"/>
                <w:sz w:val="20"/>
                <w:szCs w:val="20"/>
              </w:rPr>
              <w:t xml:space="preserve">Paired design: donor cell line × dexamethasone treatment (treated vs. untreated)</w:t>
            </w:r>
          </w:p>
        </w:tc>
      </w:tr>
      <w:tr>
        <w:tc>
          <w:tcPr>
            <w:tcW w:type="dxa" w:w="2400"/>
            <w:shd w:fill="F2F2F2" w:val="clear"/>
            <w:tcMar>
              <w:top w:type="dxa" w:w="80"/>
              <w:left w:type="dxa" w:w="120"/>
              <w:bottom w:type="dxa" w:w="80"/>
              <w:right w:type="dxa" w:w="120"/>
            </w:tcMar>
          </w:tcPr>
          <w:p>
            <w:pPr>
              <w:jc w:val="left"/>
            </w:pPr>
            <w:r>
              <w:rPr>
                <w:b w:val="false"/>
                <w:bCs w:val="false"/>
                <w:color w:val="000000"/>
                <w:sz w:val="20"/>
                <w:szCs w:val="20"/>
              </w:rPr>
              <w:t xml:space="preserve">Samples processed</w:t>
            </w:r>
          </w:p>
        </w:tc>
        <w:tc>
          <w:tcPr>
            <w:tcW w:type="dxa" w:w="6960"/>
            <w:shd w:fill="F2F2F2" w:val="clear"/>
            <w:tcMar>
              <w:top w:type="dxa" w:w="80"/>
              <w:left w:type="dxa" w:w="120"/>
              <w:bottom w:type="dxa" w:w="80"/>
              <w:right w:type="dxa" w:w="120"/>
            </w:tcMar>
          </w:tcPr>
          <w:p>
            <w:pPr>
              <w:jc w:val="left"/>
            </w:pPr>
            <w:r>
              <w:rPr>
                <w:b w:val="false"/>
                <w:bCs w:val="false"/>
                <w:color w:val="000000"/>
                <w:sz w:val="20"/>
                <w:szCs w:val="20"/>
              </w:rPr>
              <w:t xml:space="preserve">SRR1039508, SRR1039509, SRR1039512, SRR1039513</w:t>
            </w:r>
          </w:p>
        </w:tc>
      </w:tr>
      <w:tr>
        <w:tc>
          <w:tcPr>
            <w:tcW w:type="dxa" w:w="2400"/>
            <w:tcMar>
              <w:top w:type="dxa" w:w="80"/>
              <w:left w:type="dxa" w:w="120"/>
              <w:bottom w:type="dxa" w:w="80"/>
              <w:right w:type="dxa" w:w="120"/>
            </w:tcMar>
          </w:tcPr>
          <w:p>
            <w:pPr>
              <w:jc w:val="left"/>
            </w:pPr>
            <w:r>
              <w:rPr>
                <w:b w:val="false"/>
                <w:bCs w:val="false"/>
                <w:color w:val="000000"/>
                <w:sz w:val="20"/>
                <w:szCs w:val="20"/>
              </w:rPr>
              <w:t xml:space="preserve">Reference genome</w:t>
            </w:r>
          </w:p>
        </w:tc>
        <w:tc>
          <w:tcPr>
            <w:tcW w:type="dxa" w:w="6960"/>
            <w:tcMar>
              <w:top w:type="dxa" w:w="80"/>
              <w:left w:type="dxa" w:w="120"/>
              <w:bottom w:type="dxa" w:w="80"/>
              <w:right w:type="dxa" w:w="120"/>
            </w:tcMar>
          </w:tcPr>
          <w:p>
            <w:pPr>
              <w:jc w:val="left"/>
            </w:pPr>
            <w:r>
              <w:rPr>
                <w:b w:val="false"/>
                <w:bCs w:val="false"/>
                <w:color w:val="000000"/>
                <w:sz w:val="20"/>
                <w:szCs w:val="20"/>
              </w:rPr>
              <w:t xml:space="preserve">Ensembl GRCh38, release 110 (primary assembly FASTA + GTF)</w:t>
            </w:r>
          </w:p>
        </w:tc>
      </w:tr>
    </w:tbl>
    <w:p>
      <w:pPr>
        <w:spacing w:after="160" w:line="276"/>
      </w:pPr>
      <w:r>
        <w:t xml:space="preserve">This dataset is also the canonical worked example behind the Bioconductor DESeq2 vignette and the pre-built airway package — useful for having students cross-check their own recount against a trusted reference count matrix. SRR1039513 is additionally a useful, real edge case for teaching read-pair integrity: it contains over 26.5 million zero-length reads, which is what originally broke an earlier version of this pipeline (see §9).</w:t>
      </w:r>
    </w:p>
    <w:p>
      <w:pPr>
        <w:pStyle w:val="Heading1"/>
        <w:pBdr>
          <w:bottom w:val="single" w:color="2E74B5" w:sz="8" w:space="4"/>
        </w:pBdr>
        <w:spacing w:after="200" w:before="480"/>
      </w:pPr>
      <w:r>
        <w:t xml:space="preserve">3. Pipeline Architecture</w:t>
      </w:r>
    </w:p>
    <w:p>
      <w:pPr>
        <w:pStyle w:val="Heading2"/>
        <w:spacing w:after="140" w:before="320"/>
      </w:pPr>
      <w:r>
        <w:t xml:space="preserve">3.1 Two-tier design</w:t>
      </w:r>
    </w:p>
    <w:p>
      <w:pPr>
        <w:pStyle w:val="ListParagraph"/>
        <w:numPr>
          <w:ilvl w:val="0"/>
          <w:numId w:val="1"/>
        </w:numPr>
        <w:spacing w:after="100"/>
      </w:pPr>
      <w:r>
        <w:t xml:space="preserve">Modular suite (scripts 1, 2, 3, 4, 5, 6, 7, 9) — single-sample (SRR1039508) walkthrough, one Slurm job per stage, workspace /scratch/$(whoami)/PRJNA229998_airway_pipeline_stepbystep/.</w:t>
      </w:r>
    </w:p>
    <w:p>
      <w:pPr>
        <w:pStyle w:val="ListParagraph"/>
        <w:numPr>
          <w:ilvl w:val="0"/>
          <w:numId w:val="1"/>
        </w:numPr>
        <w:spacing w:after="100"/>
      </w:pPr>
      <w:r>
        <w:t xml:space="preserve">V9 automated cohort suite (script 8) — all four samples in one fault-tolerant Slurm job, workspace /scratch/$(whoami)/PRJNA229998_airway_pipeline_automated/.</w:t>
      </w:r>
    </w:p>
    <w:p>
      <w:pPr>
        <w:spacing w:after="160" w:line="276"/>
      </w:pPr>
      <w:r>
        <w:t xml:space="preserve">Both tiers share one reference directory, /scratch/$(whoami)/PRJNA229998_airway_pipeline_ref/, holding the downloaded Ensembl FASTA/GTF and the built STAR index. That index is built by Script 6 the first time it runs — Script 8 assumes it already exists and does not build it (see §6).</w:t>
      </w:r>
    </w:p>
    <w:p>
      <w:pPr>
        <w:pStyle w:val="Heading2"/>
        <w:spacing w:after="140" w:before="320"/>
      </w:pPr>
      <w:r>
        <w:t xml:space="preserve">3.2 Historical / reference-only files</w:t>
      </w:r>
    </w:p>
    <w:p>
      <w:pPr>
        <w:spacing w:after="160" w:line="276"/>
      </w:pPr>
      <w:r>
        <w:t xml:space="preserve">PRJNA229998_airway_pipeline.sh and Final_airway_pipeline_v9_standalone.sh are earlier, single-file monolithic drafts kept for historical reference. They are not the recommended execution path — PRJNA229998_airway_pipeline.sh in particular still uses fasterq-dump --split-files rather than --split-3, which will reproduce the SRR1039513 read-desynchronization failure described in §9. Use scripts 1–9.</w:t>
      </w:r>
    </w:p>
    <w:p>
      <w:pPr>
        <w:pStyle w:val="Heading1"/>
        <w:pBdr>
          <w:bottom w:val="single" w:color="2E74B5" w:sz="8" w:space="4"/>
        </w:pBdr>
        <w:spacing w:after="200" w:before="480"/>
      </w:pPr>
      <w:r>
        <w:t xml:space="preserve">4. Prerequisites</w:t>
      </w:r>
    </w:p>
    <w:p>
      <w:pPr>
        <w:pStyle w:val="Heading2"/>
        <w:spacing w:after="140" w:before="320"/>
      </w:pPr>
      <w:r>
        <w:t xml:space="preserve">4.1 Environment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shd w:fill="1F3864" w:val="clear"/>
            <w:tcMar>
              <w:top w:type="dxa" w:w="80"/>
              <w:left w:type="dxa" w:w="120"/>
              <w:bottom w:type="dxa" w:w="80"/>
              <w:right w:type="dxa" w:w="120"/>
            </w:tcMar>
          </w:tcPr>
          <w:p>
            <w:pPr>
              <w:jc w:val="left"/>
            </w:pPr>
            <w:r>
              <w:rPr>
                <w:b/>
                <w:bCs/>
                <w:color w:val="FFFFFF"/>
                <w:sz w:val="20"/>
                <w:szCs w:val="20"/>
              </w:rPr>
              <w:t xml:space="preserve">Tool</w:t>
            </w:r>
          </w:p>
        </w:tc>
        <w:tc>
          <w:tcPr>
            <w:tcW w:type="dxa" w:w="6160"/>
            <w:shd w:fill="1F3864" w:val="clear"/>
            <w:tcMar>
              <w:top w:type="dxa" w:w="80"/>
              <w:left w:type="dxa" w:w="120"/>
              <w:bottom w:type="dxa" w:w="80"/>
              <w:right w:type="dxa" w:w="120"/>
            </w:tcMar>
          </w:tcPr>
          <w:p>
            <w:pPr>
              <w:jc w:val="left"/>
            </w:pPr>
            <w:r>
              <w:rPr>
                <w:b/>
                <w:bCs/>
                <w:color w:val="FFFFFF"/>
                <w:sz w:val="20"/>
                <w:szCs w:val="20"/>
              </w:rPr>
              <w:t xml:space="preserve">Module (as used in these scripts)</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SRA Toolkit</w:t>
            </w:r>
          </w:p>
        </w:tc>
        <w:tc>
          <w:tcPr>
            <w:tcW w:type="dxa" w:w="6160"/>
            <w:tcMar>
              <w:top w:type="dxa" w:w="80"/>
              <w:left w:type="dxa" w:w="120"/>
              <w:bottom w:type="dxa" w:w="80"/>
              <w:right w:type="dxa" w:w="120"/>
            </w:tcMar>
          </w:tcPr>
          <w:p>
            <w:pPr>
              <w:jc w:val="left"/>
            </w:pPr>
            <w:r>
              <w:rPr>
                <w:b w:val="false"/>
                <w:bCs w:val="false"/>
                <w:color w:val="000000"/>
                <w:sz w:val="20"/>
                <w:szCs w:val="20"/>
              </w:rPr>
              <w:t xml:space="preserve">SRA-Toolkit/3.0.3-gompi-2022a</w:t>
            </w:r>
          </w:p>
        </w:tc>
      </w:tr>
      <w:tr>
        <w:tc>
          <w:tcPr>
            <w:tcW w:type="dxa" w:w="3200"/>
            <w:shd w:fill="F2F2F2" w:val="clear"/>
            <w:tcMar>
              <w:top w:type="dxa" w:w="80"/>
              <w:left w:type="dxa" w:w="120"/>
              <w:bottom w:type="dxa" w:w="80"/>
              <w:right w:type="dxa" w:w="120"/>
            </w:tcMar>
          </w:tcPr>
          <w:p>
            <w:pPr>
              <w:jc w:val="left"/>
            </w:pPr>
            <w:r>
              <w:rPr>
                <w:b w:val="false"/>
                <w:bCs w:val="false"/>
                <w:color w:val="000000"/>
                <w:sz w:val="20"/>
                <w:szCs w:val="20"/>
              </w:rPr>
              <w:t xml:space="preserve">FastQC</w:t>
            </w:r>
          </w:p>
        </w:tc>
        <w:tc>
          <w:tcPr>
            <w:tcW w:type="dxa" w:w="6160"/>
            <w:shd w:fill="F2F2F2" w:val="clear"/>
            <w:tcMar>
              <w:top w:type="dxa" w:w="80"/>
              <w:left w:type="dxa" w:w="120"/>
              <w:bottom w:type="dxa" w:w="80"/>
              <w:right w:type="dxa" w:w="120"/>
            </w:tcMar>
          </w:tcPr>
          <w:p>
            <w:pPr>
              <w:jc w:val="left"/>
            </w:pPr>
            <w:r>
              <w:rPr>
                <w:b w:val="false"/>
                <w:bCs w:val="false"/>
                <w:color w:val="000000"/>
                <w:sz w:val="20"/>
                <w:szCs w:val="20"/>
              </w:rPr>
              <w:t xml:space="preserve">FastQC/0.11.9-Java-11</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fastp</w:t>
            </w:r>
          </w:p>
        </w:tc>
        <w:tc>
          <w:tcPr>
            <w:tcW w:type="dxa" w:w="6160"/>
            <w:tcMar>
              <w:top w:type="dxa" w:w="80"/>
              <w:left w:type="dxa" w:w="120"/>
              <w:bottom w:type="dxa" w:w="80"/>
              <w:right w:type="dxa" w:w="120"/>
            </w:tcMar>
          </w:tcPr>
          <w:p>
            <w:pPr>
              <w:jc w:val="left"/>
            </w:pPr>
            <w:r>
              <w:rPr>
                <w:b w:val="false"/>
                <w:bCs w:val="false"/>
                <w:color w:val="000000"/>
                <w:sz w:val="20"/>
                <w:szCs w:val="20"/>
              </w:rPr>
              <w:t xml:space="preserve">fastp/0.23.4-GCC-13.2.0</w:t>
            </w:r>
          </w:p>
        </w:tc>
      </w:tr>
      <w:tr>
        <w:tc>
          <w:tcPr>
            <w:tcW w:type="dxa" w:w="3200"/>
            <w:shd w:fill="F2F2F2" w:val="clear"/>
            <w:tcMar>
              <w:top w:type="dxa" w:w="80"/>
              <w:left w:type="dxa" w:w="120"/>
              <w:bottom w:type="dxa" w:w="80"/>
              <w:right w:type="dxa" w:w="120"/>
            </w:tcMar>
          </w:tcPr>
          <w:p>
            <w:pPr>
              <w:jc w:val="left"/>
            </w:pPr>
            <w:r>
              <w:rPr>
                <w:b w:val="false"/>
                <w:bCs w:val="false"/>
                <w:color w:val="000000"/>
                <w:sz w:val="20"/>
                <w:szCs w:val="20"/>
              </w:rPr>
              <w:t xml:space="preserve">STAR</w:t>
            </w:r>
          </w:p>
        </w:tc>
        <w:tc>
          <w:tcPr>
            <w:tcW w:type="dxa" w:w="6160"/>
            <w:shd w:fill="F2F2F2" w:val="clear"/>
            <w:tcMar>
              <w:top w:type="dxa" w:w="80"/>
              <w:left w:type="dxa" w:w="120"/>
              <w:bottom w:type="dxa" w:w="80"/>
              <w:right w:type="dxa" w:w="120"/>
            </w:tcMar>
          </w:tcPr>
          <w:p>
            <w:pPr>
              <w:jc w:val="left"/>
            </w:pPr>
            <w:r>
              <w:rPr>
                <w:b w:val="false"/>
                <w:bCs w:val="false"/>
                <w:color w:val="000000"/>
                <w:sz w:val="20"/>
                <w:szCs w:val="20"/>
              </w:rPr>
              <w:t xml:space="preserve">STAR/2.7.10b-GCC-11.3.0</w:t>
            </w:r>
          </w:p>
        </w:tc>
      </w:tr>
      <w:tr>
        <w:tc>
          <w:tcPr>
            <w:tcW w:type="dxa" w:w="3200"/>
            <w:tcMar>
              <w:top w:type="dxa" w:w="80"/>
              <w:left w:type="dxa" w:w="120"/>
              <w:bottom w:type="dxa" w:w="80"/>
              <w:right w:type="dxa" w:w="120"/>
            </w:tcMar>
          </w:tcPr>
          <w:p>
            <w:pPr>
              <w:jc w:val="left"/>
            </w:pPr>
            <w:r>
              <w:rPr>
                <w:b w:val="false"/>
                <w:bCs w:val="false"/>
                <w:color w:val="000000"/>
                <w:sz w:val="20"/>
                <w:szCs w:val="20"/>
              </w:rPr>
              <w:t xml:space="preserve">MultiQC</w:t>
            </w:r>
          </w:p>
        </w:tc>
        <w:tc>
          <w:tcPr>
            <w:tcW w:type="dxa" w:w="6160"/>
            <w:tcMar>
              <w:top w:type="dxa" w:w="80"/>
              <w:left w:type="dxa" w:w="120"/>
              <w:bottom w:type="dxa" w:w="80"/>
              <w:right w:type="dxa" w:w="120"/>
            </w:tcMar>
          </w:tcPr>
          <w:p>
            <w:pPr>
              <w:jc w:val="left"/>
            </w:pPr>
            <w:r>
              <w:rPr>
                <w:b w:val="false"/>
                <w:bCs w:val="false"/>
                <w:color w:val="000000"/>
                <w:sz w:val="20"/>
                <w:szCs w:val="20"/>
              </w:rPr>
              <w:t xml:space="preserve">MultiQC/1.28-foss-2024a</w:t>
            </w:r>
          </w:p>
        </w:tc>
      </w:tr>
      <w:tr>
        <w:tc>
          <w:tcPr>
            <w:tcW w:type="dxa" w:w="3200"/>
            <w:shd w:fill="F2F2F2" w:val="clear"/>
            <w:tcMar>
              <w:top w:type="dxa" w:w="80"/>
              <w:left w:type="dxa" w:w="120"/>
              <w:bottom w:type="dxa" w:w="80"/>
              <w:right w:type="dxa" w:w="120"/>
            </w:tcMar>
          </w:tcPr>
          <w:p>
            <w:pPr>
              <w:jc w:val="left"/>
            </w:pPr>
            <w:r>
              <w:rPr>
                <w:b w:val="false"/>
                <w:bCs w:val="false"/>
                <w:color w:val="000000"/>
                <w:sz w:val="20"/>
                <w:szCs w:val="20"/>
              </w:rPr>
              <w:t xml:space="preserve">R (Bioconductor-capable)</w:t>
            </w:r>
          </w:p>
        </w:tc>
        <w:tc>
          <w:tcPr>
            <w:tcW w:type="dxa" w:w="6160"/>
            <w:shd w:fill="F2F2F2" w:val="clear"/>
            <w:tcMar>
              <w:top w:type="dxa" w:w="80"/>
              <w:left w:type="dxa" w:w="120"/>
              <w:bottom w:type="dxa" w:w="80"/>
              <w:right w:type="dxa" w:w="120"/>
            </w:tcMar>
          </w:tcPr>
          <w:p>
            <w:pPr>
              <w:jc w:val="left"/>
            </w:pPr>
            <w:r>
              <w:rPr>
                <w:b w:val="false"/>
                <w:bCs w:val="false"/>
                <w:color w:val="000000"/>
                <w:sz w:val="20"/>
                <w:szCs w:val="20"/>
              </w:rPr>
              <w:t xml:space="preserve">R (cluster default — confirm Rsubread availability, see §10.2)</w:t>
            </w:r>
          </w:p>
        </w:tc>
      </w:tr>
    </w:tbl>
    <w:p>
      <w:pPr>
        <w:spacing w:after="160" w:line="276"/>
      </w:pPr>
      <w:r>
        <w:t xml:space="preserve">Module names and versions are cluster-specific. Run module avail &lt;tool&gt; and edit the module load lines at the top of each script if your cluster's naming differs — this is exactly the failure documented in §9.2 (Environment &amp; Dependency Management).</w:t>
      </w:r>
    </w:p>
    <w:p>
      <w:pPr>
        <w:pStyle w:val="Heading2"/>
        <w:spacing w:after="140" w:before="320"/>
      </w:pPr>
      <w:r>
        <w:t xml:space="preserve">4.2 Compute resources</w:t>
      </w:r>
    </w:p>
    <w:p>
      <w:pPr>
        <w:pStyle w:val="ListParagraph"/>
        <w:numPr>
          <w:ilvl w:val="0"/>
          <w:numId w:val="1"/>
        </w:numPr>
        <w:spacing w:after="100"/>
      </w:pPr>
      <w:r>
        <w:t xml:space="preserve">Scratch space: budget ~35–40 GB for the shared GRCh38 FASTA + GTF + STAR index, plus several GB per sample for raw/trimmed FASTQs and BAMs.</w:t>
      </w:r>
    </w:p>
    <w:p>
      <w:pPr>
        <w:pStyle w:val="ListParagraph"/>
        <w:numPr>
          <w:ilvl w:val="0"/>
          <w:numId w:val="1"/>
        </w:numPr>
        <w:spacing w:after="100"/>
      </w:pPr>
      <w:r>
        <w:t xml:space="preserve">Memory: STAR's genomeGenerate step needs ~31.5 GB resident memory. Never attempt this on a shared login node — request a dedicated 36 GB Slurm allocation (see §9.3).</w:t>
      </w:r>
    </w:p>
    <w:p>
      <w:pPr>
        <w:pStyle w:val="ListParagraph"/>
        <w:numPr>
          <w:ilvl w:val="0"/>
          <w:numId w:val="1"/>
        </w:numPr>
        <w:spacing w:after="100"/>
      </w:pPr>
      <w:r>
        <w:t xml:space="preserve">Network egress from compute nodes is required (SRA prefetch, Ensembl FTP downloads in Script 6).</w:t>
      </w:r>
    </w:p>
    <w:p>
      <w:pPr>
        <w:pStyle w:val="Heading1"/>
        <w:pBdr>
          <w:bottom w:val="single" w:color="2E74B5" w:sz="8" w:space="4"/>
        </w:pBdr>
        <w:spacing w:after="200" w:before="480"/>
      </w:pPr>
      <w:r>
        <w:t xml:space="preserve">5. Directory Structure &amp; Data Flow</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/scratch/$(whoami)/</w:t>
      </w:r>
      <w:r>
        <w:rPr>
          <w:rFonts w:ascii="Consolas" w:cs="Consolas" w:eastAsia="Consolas" w:hAnsi="Consolas"/>
          <w:color w:val="D4D4D4"/>
          <w:sz w:val="19"/>
          <w:szCs w:val="19"/>
        </w:rPr>
        <w:br/>
        <w:t xml:space="preserve">├── PRJNA229998_airway_pipeline_ref/          # Shared: GRCh38 FASTA/GTF + STAR index</w:t>
      </w:r>
      <w:r>
        <w:rPr>
          <w:rFonts w:ascii="Consolas" w:cs="Consolas" w:eastAsia="Consolas" w:hAnsi="Consolas"/>
          <w:color w:val="D4D4D4"/>
          <w:sz w:val="19"/>
          <w:szCs w:val="19"/>
        </w:rPr>
        <w:br/>
        <w:t xml:space="preserve">├── PRJNA229998_airway_pipeline_stepbystep/   # Modular workspace (SRR1039508 only)</w:t>
      </w:r>
      <w:r>
        <w:rPr>
          <w:rFonts w:ascii="Consolas" w:cs="Consolas" w:eastAsia="Consolas" w:hAnsi="Consolas"/>
          <w:color w:val="D4D4D4"/>
          <w:sz w:val="19"/>
          <w:szCs w:val="19"/>
        </w:rPr>
        <w:br/>
        <w:t xml:space="preserve">│   ├── raw_reads/  checksums/  qc_before/  trimmed_reads/</w:t>
      </w:r>
      <w:r>
        <w:rPr>
          <w:rFonts w:ascii="Consolas" w:cs="Consolas" w:eastAsia="Consolas" w:hAnsi="Consolas"/>
          <w:color w:val="D4D4D4"/>
          <w:sz w:val="19"/>
          <w:szCs w:val="19"/>
        </w:rPr>
        <w:br/>
        <w:t xml:space="preserve">│   ├── fastp_reports/  qc_after/  alignments/  counts/</w:t>
      </w:r>
      <w:r>
        <w:rPr>
          <w:rFonts w:ascii="Consolas" w:cs="Consolas" w:eastAsia="Consolas" w:hAnsi="Consolas"/>
          <w:color w:val="D4D4D4"/>
          <w:sz w:val="19"/>
          <w:szCs w:val="19"/>
        </w:rPr>
        <w:br/>
        <w:t xml:space="preserve">│   └── logs/  sra_cache/  FINAL_PIPELINE_REPORT.md</w:t>
      </w:r>
      <w:r>
        <w:rPr>
          <w:rFonts w:ascii="Consolas" w:cs="Consolas" w:eastAsia="Consolas" w:hAnsi="Consolas"/>
          <w:color w:val="D4D4D4"/>
          <w:sz w:val="19"/>
          <w:szCs w:val="19"/>
        </w:rPr>
        <w:br/>
        <w:t xml:space="preserve">└── PRJNA229998_airway_pipeline_automated/    # V9 cohort workspace (4 samples)</w:t>
      </w:r>
      <w:r>
        <w:rPr>
          <w:rFonts w:ascii="Consolas" w:cs="Consolas" w:eastAsia="Consolas" w:hAnsi="Consolas"/>
          <w:color w:val="D4D4D4"/>
          <w:sz w:val="19"/>
          <w:szCs w:val="19"/>
        </w:rPr>
        <w:br/>
        <w:t xml:space="preserve">    ├── raw_reads/  checksums/  qc_before/  trimmed_reads/</w:t>
      </w:r>
      <w:r>
        <w:rPr>
          <w:rFonts w:ascii="Consolas" w:cs="Consolas" w:eastAsia="Consolas" w:hAnsi="Consolas"/>
          <w:color w:val="D4D4D4"/>
          <w:sz w:val="19"/>
          <w:szCs w:val="19"/>
        </w:rPr>
        <w:br/>
        <w:t xml:space="preserve">    ├── fastp_reports/  pairing_reports/  alignments/</w:t>
      </w:r>
      <w:r>
        <w:rPr>
          <w:rFonts w:ascii="Consolas" w:cs="Consolas" w:eastAsia="Consolas" w:hAnsi="Consolas"/>
          <w:color w:val="D4D4D4"/>
          <w:sz w:val="19"/>
          <w:szCs w:val="19"/>
        </w:rPr>
        <w:br/>
        <w:t xml:space="preserve">    └── logs/  sra_cache/  counts/airway_raw_counts.txt(.summary)</w:t>
      </w:r>
    </w:p>
    <w:p>
      <w:pPr>
        <w:pStyle w:val="Heading1"/>
        <w:pBdr>
          <w:bottom w:val="single" w:color="2E74B5" w:sz="8" w:space="4"/>
        </w:pBdr>
        <w:spacing w:after="200" w:before="480"/>
      </w:pPr>
      <w:r>
        <w:t xml:space="preserve">6. Standard Operating Procedure — Modular Walkthrough</w:t>
      </w:r>
    </w:p>
    <w:p>
      <w:pPr>
        <w:spacing w:after="160" w:line="276"/>
      </w:pPr>
      <w:r>
        <w:t xml:space="preserve">Run once, in strict order, on SRR1039508. Wait for each Slurm job to complete (squeue -u $(whoami) shows nothing for your job) before submitting the next — there is no automatic --dependency chaining between these scripts.</w:t>
      </w:r>
    </w:p>
    <w:p>
      <w:pPr>
        <w:pStyle w:val="Heading2"/>
        <w:spacing w:after="140" w:before="320"/>
      </w:pPr>
      <w:r>
        <w:t xml:space="preserve">Step 1 — Fetch &amp; Verify Raw Reads</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sbatch 1_Fetch_And_Verify_Raw_Reads.sh</w:t>
      </w:r>
    </w:p>
    <w:p>
      <w:pPr>
        <w:pStyle w:val="ListParagraph"/>
        <w:numPr>
          <w:ilvl w:val="0"/>
          <w:numId w:val="1"/>
        </w:numPr>
        <w:spacing w:after="100"/>
      </w:pPr>
      <w:r>
        <w:t xml:space="preserve">What it does: prefetch → vdb-validate (cache-corruption gate) → fasterq-dump --split-3 → md5sum baseline.</w:t>
      </w:r>
    </w:p>
    <w:p>
      <w:pPr>
        <w:pStyle w:val="ListParagraph"/>
        <w:numPr>
          <w:ilvl w:val="0"/>
          <w:numId w:val="1"/>
        </w:numPr>
        <w:spacing w:after="100"/>
      </w:pPr>
      <w:r>
        <w:t xml:space="preserve">Resources: 4 CPU, 8 GB RAM, 1 h wall time.</w:t>
      </w:r>
    </w:p>
    <w:p>
      <w:pPr>
        <w:pStyle w:val="ListParagraph"/>
        <w:numPr>
          <w:ilvl w:val="0"/>
          <w:numId w:val="1"/>
        </w:numPr>
        <w:spacing w:after="100"/>
      </w:pPr>
      <w:r>
        <w:t xml:space="preserve">Verify: raw_reads/SRR1039508_1.fastq and _2.fastq exist and are non-empty; checksums/SRR1039508_raw.md5 has two lines.</w:t>
      </w:r>
    </w:p>
    <w:p>
      <w:pPr>
        <w:pStyle w:val="ListParagraph"/>
        <w:numPr>
          <w:ilvl w:val="0"/>
          <w:numId w:val="1"/>
        </w:numPr>
        <w:spacing w:after="100"/>
      </w:pPr>
      <w:r>
        <w:t xml:space="preserve">If it fails: check logs/SRR1039508_fetch.log. A vdb-validate failure means a corrupted SRA cache — delete sra_cache/SRR1039508/ and resubmit.</w:t>
      </w:r>
    </w:p>
    <w:p>
      <w:pPr>
        <w:pStyle w:val="Heading2"/>
        <w:spacing w:after="140" w:before="320"/>
      </w:pPr>
      <w:r>
        <w:t xml:space="preserve">Step 2 — Interpret FastQC Diagnostics</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sbatch 2_Interpret_FastQC_Diagnostics.sh</w:t>
      </w:r>
    </w:p>
    <w:p>
      <w:pPr>
        <w:pStyle w:val="ListParagraph"/>
        <w:numPr>
          <w:ilvl w:val="0"/>
          <w:numId w:val="1"/>
        </w:numPr>
        <w:spacing w:after="100"/>
      </w:pPr>
      <w:r>
        <w:t xml:space="preserve">What it does: FastQC on both raw mates with --extract, then parses summary.txt into PASS/WARN/FAIL counts printed to the Slurm log.</w:t>
      </w:r>
    </w:p>
    <w:p>
      <w:pPr>
        <w:pStyle w:val="ListParagraph"/>
        <w:numPr>
          <w:ilvl w:val="0"/>
          <w:numId w:val="1"/>
        </w:numPr>
        <w:spacing w:after="100"/>
      </w:pPr>
      <w:r>
        <w:t xml:space="preserve">Resources: 4 CPU, 6 GB RAM, 45 min.</w:t>
      </w:r>
    </w:p>
    <w:p>
      <w:pPr>
        <w:pStyle w:val="ListParagraph"/>
        <w:numPr>
          <w:ilvl w:val="0"/>
          <w:numId w:val="1"/>
        </w:numPr>
        <w:spacing w:after="100"/>
      </w:pPr>
      <w:r>
        <w:t xml:space="preserve">Verify: qc_before/SRR1039508_1_fastqc/summary.txt and the _2 equivalent both exist. Note the WARN/FAIL count — Script 4 reads these files directly.</w:t>
      </w:r>
    </w:p>
    <w:p>
      <w:pPr>
        <w:pStyle w:val="Heading2"/>
        <w:spacing w:after="140" w:before="320"/>
      </w:pPr>
      <w:r>
        <w:t xml:space="preserve">Step 3 — Batch MultiQC Summary</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sbatch 3_Batch_MultiQC_Summary.sh</w:t>
      </w:r>
    </w:p>
    <w:p>
      <w:pPr>
        <w:pStyle w:val="ListParagraph"/>
        <w:numPr>
          <w:ilvl w:val="0"/>
          <w:numId w:val="1"/>
        </w:numPr>
        <w:spacing w:after="100"/>
      </w:pPr>
      <w:r>
        <w:t xml:space="preserve">What it does: aggregates qc_before/ into one interactive dashboard, multiqc_raw_batch.html.</w:t>
      </w:r>
    </w:p>
    <w:p>
      <w:pPr>
        <w:pStyle w:val="ListParagraph"/>
        <w:numPr>
          <w:ilvl w:val="0"/>
          <w:numId w:val="1"/>
        </w:numPr>
        <w:spacing w:after="100"/>
      </w:pPr>
      <w:r>
        <w:t xml:space="preserve">Resources: 4 CPU, 8 GB RAM, 1.5 h.</w:t>
      </w:r>
    </w:p>
    <w:p>
      <w:pPr>
        <w:pStyle w:val="ListParagraph"/>
        <w:numPr>
          <w:ilvl w:val="0"/>
          <w:numId w:val="1"/>
        </w:numPr>
        <w:spacing w:after="100"/>
      </w:pPr>
      <w:r>
        <w:t xml:space="preserve">Verify: multiqc_raw_batch.html exists at the workspace root; open it to visually confirm Script 2's parsed verdicts.</w:t>
      </w:r>
    </w:p>
    <w:p>
      <w:pPr>
        <w:pStyle w:val="Heading2"/>
        <w:spacing w:after="140" w:before="320"/>
      </w:pPr>
      <w:r>
        <w:t xml:space="preserve">Step 4 — Evidence-Based fastp Trimming</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sbatch 4_Evidence_Based_Fastp_Trimming.sh</w:t>
      </w:r>
    </w:p>
    <w:p>
      <w:pPr>
        <w:pStyle w:val="ListParagraph"/>
        <w:numPr>
          <w:ilvl w:val="0"/>
          <w:numId w:val="1"/>
        </w:numPr>
        <w:spacing w:after="100"/>
      </w:pPr>
      <w:r>
        <w:t xml:space="preserve">What it does: re-reads Script 2's FastQC summary.txt files. Only if Adapter Content was flagged WARN/FAIL does it add --detect_adapter_for_pe; only if Per base sequence quality was flagged does it add --cut_tail --cut_tail_mean_quality 20. A 36 bp minimum-length floor is always applied. Writes the decision to fastp_reports/SRR1039508_THRESHOLD_RATIONALE.md, then FastQC's the cleaned reads into qc_after/.</w:t>
      </w:r>
    </w:p>
    <w:p>
      <w:pPr>
        <w:pStyle w:val="ListParagraph"/>
        <w:numPr>
          <w:ilvl w:val="0"/>
          <w:numId w:val="1"/>
        </w:numPr>
        <w:spacing w:after="100"/>
      </w:pPr>
      <w:r>
        <w:t xml:space="preserve">Resources: 4 CPU, 8 GB RAM, 1 h.</w:t>
      </w:r>
    </w:p>
    <w:p>
      <w:pPr>
        <w:pStyle w:val="ListParagraph"/>
        <w:numPr>
          <w:ilvl w:val="0"/>
          <w:numId w:val="1"/>
        </w:numPr>
        <w:spacing w:after="100"/>
      </w:pPr>
      <w:r>
        <w:t xml:space="preserve">Verify: trimmed_reads/SRR1039508_1_clean.fastq / _2_clean.fastq exist; read fastp_reports/SRR1039508_THRESHOLD_RATIONALE.md and confirm the stated rationale matches what Step 2 actually reported.</w:t>
      </w:r>
    </w:p>
    <w:p>
      <w:pPr>
        <w:pStyle w:val="Heading2"/>
        <w:spacing w:after="140" w:before="320"/>
      </w:pPr>
      <w:r>
        <w:t xml:space="preserve">Step 5 — Paired-End Integrity Check</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sbatch 5_Paired_End_Integrity_Check.sh</w:t>
      </w:r>
    </w:p>
    <w:p>
      <w:pPr>
        <w:pStyle w:val="ListParagraph"/>
        <w:numPr>
          <w:ilvl w:val="0"/>
          <w:numId w:val="1"/>
        </w:numPr>
        <w:spacing w:after="100"/>
      </w:pPr>
      <w:r>
        <w:t xml:space="preserve">What it does: confirms mate 1 and mate 2 of the trimmed reads still have identical read counts and identical, sequentially matched read IDs (mate-suffix-stripped).</w:t>
      </w:r>
    </w:p>
    <w:p>
      <w:pPr>
        <w:pStyle w:val="ListParagraph"/>
        <w:numPr>
          <w:ilvl w:val="0"/>
          <w:numId w:val="1"/>
        </w:numPr>
        <w:spacing w:after="100"/>
      </w:pPr>
      <w:r>
        <w:t xml:space="preserve">Resources: 2 CPU, 4 GB RAM, 30 min.</w:t>
      </w:r>
    </w:p>
    <w:p>
      <w:pPr>
        <w:pStyle w:val="ListParagraph"/>
        <w:numPr>
          <w:ilvl w:val="0"/>
          <w:numId w:val="1"/>
        </w:numPr>
        <w:spacing w:after="100"/>
      </w:pPr>
      <w:r>
        <w:t xml:space="preserve">Verify: Slurm log prints “OK: Pairing intact.” A “FAIL” here means Script 4's trimming desynchronized the mates — stop and investigate before aligning; do not proceed to Step 6.</w:t>
      </w:r>
    </w:p>
    <w:p>
      <w:pPr>
        <w:pStyle w:val="Heading2"/>
        <w:spacing w:after="140" w:before="320"/>
      </w:pPr>
      <w:r>
        <w:t xml:space="preserve">Step 6 — STAR Alignment</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sbatch 6_STAR_Alignment.sh</w:t>
      </w:r>
    </w:p>
    <w:p>
      <w:pPr>
        <w:pStyle w:val="ListParagraph"/>
        <w:numPr>
          <w:ilvl w:val="0"/>
          <w:numId w:val="1"/>
        </w:numPr>
        <w:spacing w:after="100"/>
      </w:pPr>
      <w:r>
        <w:t xml:space="preserve">What it does: downloads Ensembl GRCh38 FASTA/GTF into the shared reference directory if absent, builds the STAR index if absent (~31.5 GB RAM, several hours the first time only), then aligns SRR1039508 to a coordinate-sorted BAM.</w:t>
      </w:r>
    </w:p>
    <w:p>
      <w:pPr>
        <w:pStyle w:val="ListParagraph"/>
        <w:numPr>
          <w:ilvl w:val="0"/>
          <w:numId w:val="1"/>
        </w:numPr>
        <w:spacing w:after="100"/>
      </w:pPr>
      <w:r>
        <w:t xml:space="preserve">Resources: 8 CPU, 36 GB RAM, 2 h. This step is why 36 GB is requested — see §9.3 for what happens if you run this on a login node instead.</w:t>
      </w:r>
    </w:p>
    <w:p>
      <w:pPr>
        <w:pStyle w:val="ListParagraph"/>
        <w:numPr>
          <w:ilvl w:val="0"/>
          <w:numId w:val="1"/>
        </w:numPr>
        <w:spacing w:after="100"/>
      </w:pPr>
      <w:r>
        <w:t xml:space="preserve">Verify: alignments/SRR1039508_Aligned.sortedByCoord.out.bam exists; tail -n 20 alignments/SRR1039508_Log.final.out and confirm a sane “Uniquely mapped reads %” (typically &gt;85% for a clean human RNA-seq sample against GRCh38).</w:t>
      </w:r>
    </w:p>
    <w:p>
      <w:pPr>
        <w:pStyle w:val="ListParagraph"/>
        <w:numPr>
          <w:ilvl w:val="0"/>
          <w:numId w:val="1"/>
        </w:numPr>
        <w:spacing w:after="100"/>
      </w:pPr>
      <w:r>
        <w:t xml:space="preserve">This step also produces the shared STAR index other jobs (including Script 8) depend on — do not delete PRJNA229998_airway_pipeline_ref/star_index/ between runs.</w:t>
      </w:r>
    </w:p>
    <w:p>
      <w:pPr>
        <w:pStyle w:val="Heading2"/>
        <w:spacing w:after="140" w:before="320"/>
      </w:pPr>
      <w:r>
        <w:t xml:space="preserve">Step 7 — Quantification (Rsubread)</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sbatch 7_Quantification_Rsubread.sh</w:t>
      </w:r>
    </w:p>
    <w:p>
      <w:pPr>
        <w:pStyle w:val="ListParagraph"/>
        <w:numPr>
          <w:ilvl w:val="0"/>
          <w:numId w:val="1"/>
        </w:numPr>
        <w:spacing w:after="100"/>
      </w:pPr>
      <w:r>
        <w:t xml:space="preserve">What it does: writes and runs a small R script calling Rsubread::featureCounts() on the BAM from Step 6. Bootstraps Rsubread into a local R_libs/ scratch directory via BiocManager if the cluster's R module doesn't already provide it.</w:t>
      </w:r>
    </w:p>
    <w:p>
      <w:pPr>
        <w:pStyle w:val="ListParagraph"/>
        <w:numPr>
          <w:ilvl w:val="0"/>
          <w:numId w:val="1"/>
        </w:numPr>
        <w:spacing w:after="100"/>
      </w:pPr>
      <w:r>
        <w:t xml:space="preserve">Resources: 4 CPU, 16 GB RAM, 1 h. First run may take longer if it needs to compile/install Rsubread.</w:t>
      </w:r>
    </w:p>
    <w:p>
      <w:pPr>
        <w:pStyle w:val="ListParagraph"/>
        <w:numPr>
          <w:ilvl w:val="0"/>
          <w:numId w:val="1"/>
        </w:numPr>
        <w:spacing w:after="100"/>
      </w:pPr>
      <w:r>
        <w:t xml:space="preserve">Verify: counts/SRR1039508_counts.txt (gene × sample matrix) and counts/SRR1039508_counts.txt.summary (assignment breakdown) both exist; check the “Assigned” row's proportion of total reads.</w:t>
      </w:r>
    </w:p>
    <w:p>
      <w:pPr>
        <w:pStyle w:val="Heading2"/>
        <w:spacing w:after="140" w:before="320"/>
      </w:pPr>
      <w:r>
        <w:t xml:space="preserve">Step 9 — QC Report Generator</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bash 9_QC_Report_Generator.sh   # run locally, NOT via sbatch</w:t>
      </w:r>
    </w:p>
    <w:p>
      <w:pPr>
        <w:pStyle w:val="ListParagraph"/>
        <w:numPr>
          <w:ilvl w:val="0"/>
          <w:numId w:val="1"/>
        </w:numPr>
        <w:spacing w:after="100"/>
      </w:pPr>
      <w:r>
        <w:t xml:space="preserve">What it does: reads the raw/trimmed read counts, the Step 5 pairing verdict, the Step 6 STAR mapping rate, and the Step 7 assignment count, and assembles them into FINAL_PIPELINE_REPORT.md.</w:t>
      </w:r>
    </w:p>
    <w:p>
      <w:pPr>
        <w:pStyle w:val="ListParagraph"/>
        <w:numPr>
          <w:ilvl w:val="0"/>
          <w:numId w:val="1"/>
        </w:numPr>
        <w:spacing w:after="100"/>
      </w:pPr>
      <w:r>
        <w:t xml:space="preserve">Resources: 1 CPU, 4 GB RAM, 10 min — lightweight enough to run interactively on the login node.</w:t>
      </w:r>
    </w:p>
    <w:p>
      <w:pPr>
        <w:pStyle w:val="ListParagraph"/>
        <w:numPr>
          <w:ilvl w:val="0"/>
          <w:numId w:val="1"/>
        </w:numPr>
        <w:spacing w:after="100"/>
      </w:pPr>
      <w:r>
        <w:t xml:space="preserve">Verify: FINAL_PIPELINE_REPORT.md exists at the workspace root and every field is populated (not “N/A”). An “N/A” value means an earlier step's expected output file is missing — go back and check that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24"/>
              <w:left w:val="single" w:color="E5B5B5" w:sz="4"/>
              <w:bottom w:val="single" w:color="E5B5B5" w:sz="4"/>
              <w:right w:val="single" w:color="E5B5B5" w:sz="4"/>
            </w:tcBorders>
            <w:shd w:fill="FDECEC" w:val="clear"/>
            <w:tcMar>
              <w:top w:type="dxa" w:w="160"/>
              <w:left w:type="dxa" w:w="200"/>
              <w:bottom w:type="dxa" w:w="160"/>
              <w:right w:type="dxa" w:w="200"/>
            </w:tcMar>
          </w:tcPr>
          <w:p>
            <w:pPr>
              <w:spacing w:after="80"/>
            </w:pPr>
            <w:r>
              <w:rPr>
                <w:b/>
                <w:bCs/>
                <w:color w:val="2E74B5"/>
              </w:rPr>
              <w:t xml:space="preserve">Scope note</w:t>
            </w:r>
          </w:p>
          <w:p>
            <w:pPr>
              <w:spacing w:after="0"/>
            </w:pPr>
            <w:r>
              <w:rPr>
                <w:color w:val="444444"/>
              </w:rPr>
              <w:t xml:space="preserve">There is no Script 8 equivalent — Script 9 only ever summarizes the single-sample _stepbystep workspace, never the 4-sample _automated cohort. See §7.</w:t>
            </w:r>
          </w:p>
        </w:tc>
      </w:tr>
    </w:tbl>
    <w:p>
      <w:pPr>
        <w:pStyle w:val="Heading1"/>
        <w:pBdr>
          <w:bottom w:val="single" w:color="2E74B5" w:sz="8" w:space="4"/>
        </w:pBdr>
        <w:spacing w:after="200" w:before="480"/>
      </w:pPr>
      <w:r>
        <w:t xml:space="preserve">7. Standard Operating Procedure — Automated Cohort Run (Script 8)</w:t>
      </w:r>
    </w:p>
    <w:p>
      <w:pPr>
        <w:spacing w:after="160" w:line="276"/>
      </w:pPr>
      <w:r>
        <w:t xml:space="preserve">Script 8 re-implements fetch → FastQC → evidence-based fastp → pairing check → STAR alignment as one Slurm job, looped over all four samples in its own workspace, then runs one batch featureCounts across every sample that reported success.</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sbatch 8_Automated_Pipeline_AllSamples.sh</w:t>
      </w:r>
    </w:p>
    <w:p>
      <w:pPr>
        <w:pStyle w:val="ListParagraph"/>
        <w:numPr>
          <w:ilvl w:val="0"/>
          <w:numId w:val="1"/>
        </w:numPr>
        <w:spacing w:after="100"/>
      </w:pPr>
      <w:r>
        <w:t xml:space="preserve">Resources: 8 CPU, 36 GB RAM, 12 h wall time (covers all four samples sequentially).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4"/>
              <w:left w:val="single" w:color="E5B5B5" w:sz="4"/>
              <w:bottom w:val="single" w:color="E5B5B5" w:sz="4"/>
              <w:right w:val="single" w:color="E5B5B5" w:sz="4"/>
            </w:tcBorders>
            <w:shd w:fill="FDECEC" w:val="clear"/>
            <w:tcMar>
              <w:top w:type="dxa" w:w="160"/>
              <w:left w:type="dxa" w:w="200"/>
              <w:bottom w:type="dxa" w:w="160"/>
              <w:right w:type="dxa" w:w="200"/>
            </w:tcMar>
          </w:tcPr>
          <w:p>
            <w:pPr>
              <w:spacing w:after="80"/>
            </w:pPr>
            <w:r>
              <w:rPr>
                <w:b/>
                <w:bCs/>
                <w:color w:val="C00000"/>
              </w:rPr>
              <w:t xml:space="preserve">Hard prerequisite</w:t>
            </w:r>
          </w:p>
          <w:p>
            <w:pPr>
              <w:spacing w:after="0"/>
            </w:pPr>
            <w:r>
              <w:rPr>
                <w:color w:val="444444"/>
              </w:rPr>
              <w:t xml:space="preserve">Script 8 references ${REFDIR}/star_index directly and does NOT build it. Run Step 6 of the modular walkthrough at least once first, so PRJNA229998_airway_pipeline_ref/star_index/ already exists, before submitting Script 8.</w:t>
            </w:r>
          </w:p>
        </w:tc>
      </w:tr>
    </w:tbl>
    <w:p>
      <w:pPr>
        <w:spacing w:after="160" w:line="276"/>
      </w:pPr>
      <w:r>
        <w:t xml:space="preserve">Monitor per-sample progress via logs/&lt;SRR&gt;_pipeline.log inside the _automated workspace. On completion, check counts/airway_raw_counts.txt and counts/airway_raw_counts.txt.summary for the combined cohort matrix, and pairing_reports/&lt;SRR&gt;.txt for each sample's trimmed-read pairing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4"/>
              <w:left w:val="single" w:color="E5B5B5" w:sz="4"/>
              <w:bottom w:val="single" w:color="E5B5B5" w:sz="4"/>
              <w:right w:val="single" w:color="E5B5B5" w:sz="4"/>
            </w:tcBorders>
            <w:shd w:fill="FDECEC" w:val="clear"/>
            <w:tcMar>
              <w:top w:type="dxa" w:w="160"/>
              <w:left w:type="dxa" w:w="200"/>
              <w:bottom w:type="dxa" w:w="160"/>
              <w:right w:type="dxa" w:w="200"/>
            </w:tcMar>
          </w:tcPr>
          <w:p>
            <w:pPr>
              <w:spacing w:after="80"/>
            </w:pPr>
            <w:r>
              <w:rPr>
                <w:b/>
                <w:bCs/>
                <w:color w:val="C00000"/>
              </w:rPr>
              <w:t xml:space="preserve">Read §10.1 and §10.2 before relying on this script unattended</w:t>
            </w:r>
          </w:p>
          <w:p>
            <w:pPr>
              <w:spacing w:after="0"/>
            </w:pPr>
            <w:r>
              <w:rPr>
                <w:color w:val="444444"/>
              </w:rPr>
              <w:t xml:space="preserve">Two verified issues affect this script specifically: its per-sample fault tolerance can be defeated by the outer set -e, and its final quantification step has no Rsubread bootstrap fallback. Both are detailed in §10.</w:t>
            </w:r>
          </w:p>
        </w:tc>
      </w:tr>
    </w:tbl>
    <w:p>
      <w:pPr>
        <w:pStyle w:val="Heading1"/>
        <w:pBdr>
          <w:bottom w:val="single" w:color="2E74B5" w:sz="8" w:space="4"/>
        </w:pBdr>
        <w:spacing w:after="200" w:before="480"/>
      </w:pPr>
      <w:r>
        <w:t xml:space="preserve">8. Monitoring &amp; Troubleshooting Quick Reference</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 Queue status</w:t>
      </w:r>
      <w:r>
        <w:rPr>
          <w:rFonts w:ascii="Consolas" w:cs="Consolas" w:eastAsia="Consolas" w:hAnsi="Consolas"/>
          <w:color w:val="D4D4D4"/>
          <w:sz w:val="19"/>
          <w:szCs w:val="19"/>
        </w:rPr>
        <w:br/>
        <w:t xml:space="preserve">squeue -u $(whoami)</w:t>
      </w:r>
      <w:r>
        <w:rPr>
          <w:rFonts w:ascii="Consolas" w:cs="Consolas" w:eastAsia="Consolas" w:hAnsi="Consolas"/>
          <w:color w:val="D4D4D4"/>
          <w:sz w:val="19"/>
          <w:szCs w:val="19"/>
        </w:rPr>
        <w:br/>
        <w:t xml:space="preserve"> </w:t>
      </w:r>
      <w:r>
        <w:rPr>
          <w:rFonts w:ascii="Consolas" w:cs="Consolas" w:eastAsia="Consolas" w:hAnsi="Consolas"/>
          <w:color w:val="D4D4D4"/>
          <w:sz w:val="19"/>
          <w:szCs w:val="19"/>
        </w:rPr>
        <w:br/>
        <w:t xml:space="preserve"># Cancel a job</w:t>
      </w:r>
      <w:r>
        <w:rPr>
          <w:rFonts w:ascii="Consolas" w:cs="Consolas" w:eastAsia="Consolas" w:hAnsi="Consolas"/>
          <w:color w:val="D4D4D4"/>
          <w:sz w:val="19"/>
          <w:szCs w:val="19"/>
        </w:rPr>
        <w:br/>
        <w:t xml:space="preserve">scancel &lt;JOB_ID&gt;</w:t>
      </w:r>
      <w:r>
        <w:rPr>
          <w:rFonts w:ascii="Consolas" w:cs="Consolas" w:eastAsia="Consolas" w:hAnsi="Consolas"/>
          <w:color w:val="D4D4D4"/>
          <w:sz w:val="19"/>
          <w:szCs w:val="19"/>
        </w:rPr>
        <w:br/>
        <w:t xml:space="preserve"> </w:t>
      </w:r>
      <w:r>
        <w:rPr>
          <w:rFonts w:ascii="Consolas" w:cs="Consolas" w:eastAsia="Consolas" w:hAnsi="Consolas"/>
          <w:color w:val="D4D4D4"/>
          <w:sz w:val="19"/>
          <w:szCs w:val="19"/>
        </w:rPr>
        <w:br/>
        <w:t xml:space="preserve"># Tail a step's custom log</w:t>
      </w:r>
      <w:r>
        <w:rPr>
          <w:rFonts w:ascii="Consolas" w:cs="Consolas" w:eastAsia="Consolas" w:hAnsi="Consolas"/>
          <w:color w:val="D4D4D4"/>
          <w:sz w:val="19"/>
          <w:szCs w:val="19"/>
        </w:rPr>
        <w:br/>
        <w:t xml:space="preserve">tail -f logs/SRR1039508_fetch.log</w:t>
      </w:r>
      <w:r>
        <w:rPr>
          <w:rFonts w:ascii="Consolas" w:cs="Consolas" w:eastAsia="Consolas" w:hAnsi="Consolas"/>
          <w:color w:val="D4D4D4"/>
          <w:sz w:val="19"/>
          <w:szCs w:val="19"/>
        </w:rPr>
        <w:br/>
        <w:t xml:space="preserve"> </w:t>
      </w:r>
      <w:r>
        <w:rPr>
          <w:rFonts w:ascii="Consolas" w:cs="Consolas" w:eastAsia="Consolas" w:hAnsi="Consolas"/>
          <w:color w:val="D4D4D4"/>
          <w:sz w:val="19"/>
          <w:szCs w:val="19"/>
        </w:rPr>
        <w:br/>
        <w:t xml:space="preserve"># Tail STAR's live progress during alignment</w:t>
      </w:r>
      <w:r>
        <w:rPr>
          <w:rFonts w:ascii="Consolas" w:cs="Consolas" w:eastAsia="Consolas" w:hAnsi="Consolas"/>
          <w:color w:val="D4D4D4"/>
          <w:sz w:val="19"/>
          <w:szCs w:val="19"/>
        </w:rPr>
        <w:br/>
        <w:t xml:space="preserve">tail -f alignments/SRR1039508_Log.progress.out</w:t>
      </w:r>
      <w:r>
        <w:rPr>
          <w:rFonts w:ascii="Consolas" w:cs="Consolas" w:eastAsia="Consolas" w:hAnsi="Consolas"/>
          <w:color w:val="D4D4D4"/>
          <w:sz w:val="19"/>
          <w:szCs w:val="19"/>
        </w:rPr>
        <w:br/>
        <w:t xml:space="preserve"> </w:t>
      </w:r>
      <w:r>
        <w:rPr>
          <w:rFonts w:ascii="Consolas" w:cs="Consolas" w:eastAsia="Consolas" w:hAnsi="Consolas"/>
          <w:color w:val="D4D4D4"/>
          <w:sz w:val="19"/>
          <w:szCs w:val="19"/>
        </w:rPr>
        <w:br/>
        <w:t xml:space="preserve"># Sweep Slurm stdout for common failure signatures</w:t>
      </w:r>
      <w:r>
        <w:rPr>
          <w:rFonts w:ascii="Consolas" w:cs="Consolas" w:eastAsia="Consolas" w:hAnsi="Consolas"/>
          <w:color w:val="D4D4D4"/>
          <w:sz w:val="19"/>
          <w:szCs w:val="19"/>
        </w:rPr>
        <w:br/>
        <w:t xml:space="preserve">grep -iE "error|fatal|cannot|execution halted" ~/slurm-*.out</w:t>
      </w:r>
      <w:r>
        <w:rPr>
          <w:rFonts w:ascii="Consolas" w:cs="Consolas" w:eastAsia="Consolas" w:hAnsi="Consolas"/>
          <w:color w:val="D4D4D4"/>
          <w:sz w:val="19"/>
          <w:szCs w:val="19"/>
        </w:rPr>
        <w:br/>
        <w:t xml:space="preserve"> </w:t>
      </w:r>
      <w:r>
        <w:rPr>
          <w:rFonts w:ascii="Consolas" w:cs="Consolas" w:eastAsia="Consolas" w:hAnsi="Consolas"/>
          <w:color w:val="D4D4D4"/>
          <w:sz w:val="19"/>
          <w:szCs w:val="19"/>
        </w:rPr>
        <w:br/>
        <w:t xml:space="preserve"># Confirm STAR mapping rate</w:t>
      </w:r>
      <w:r>
        <w:rPr>
          <w:rFonts w:ascii="Consolas" w:cs="Consolas" w:eastAsia="Consolas" w:hAnsi="Consolas"/>
          <w:color w:val="D4D4D4"/>
          <w:sz w:val="19"/>
          <w:szCs w:val="19"/>
        </w:rPr>
        <w:br/>
        <w:t xml:space="preserve">tail -n 20 alignments/*_Log.final.out</w:t>
      </w:r>
      <w:r>
        <w:rPr>
          <w:rFonts w:ascii="Consolas" w:cs="Consolas" w:eastAsia="Consolas" w:hAnsi="Consolas"/>
          <w:color w:val="D4D4D4"/>
          <w:sz w:val="19"/>
          <w:szCs w:val="19"/>
        </w:rPr>
        <w:br/>
        <w:t xml:space="preserve"> </w:t>
      </w:r>
      <w:r>
        <w:rPr>
          <w:rFonts w:ascii="Consolas" w:cs="Consolas" w:eastAsia="Consolas" w:hAnsi="Consolas"/>
          <w:color w:val="D4D4D4"/>
          <w:sz w:val="19"/>
          <w:szCs w:val="19"/>
        </w:rPr>
        <w:br/>
        <w:t xml:space="preserve"># Confirm featureCounts assignment rate</w:t>
      </w:r>
      <w:r>
        <w:rPr>
          <w:rFonts w:ascii="Consolas" w:cs="Consolas" w:eastAsia="Consolas" w:hAnsi="Consolas"/>
          <w:color w:val="D4D4D4"/>
          <w:sz w:val="19"/>
          <w:szCs w:val="19"/>
        </w:rPr>
        <w:br/>
        <w:t xml:space="preserve">cat counts/*_counts.txt.summary</w:t>
      </w:r>
    </w:p>
    <w:p>
      <w:pPr>
        <w:pStyle w:val="Heading1"/>
        <w:pBdr>
          <w:bottom w:val="single" w:color="2E74B5" w:sz="8" w:space="4"/>
        </w:pBdr>
        <w:spacing w:after="200" w:before="480"/>
      </w:pPr>
      <w:r>
        <w:t xml:space="preserve">9. Troubleshooting History (v1 → v9)</w:t>
      </w:r>
    </w:p>
    <w:p>
      <w:pPr>
        <w:spacing w:after="160" w:line="276"/>
      </w:pPr>
      <w:r>
        <w:t xml:space="preserve">The following is distilled from TROUBLESHOOTING_REPORT.txt (v1–v6) and Detailed_Pipeline_Troubleshooting_Report.pdf (v7–v9), both included in this repository. Every fix listed in §3 of the README traces back to one of these phases.</w:t>
      </w:r>
    </w:p>
    <w:p>
      <w:pPr>
        <w:pStyle w:val="Heading2"/>
        <w:spacing w:after="140" w:before="320"/>
      </w:pPr>
      <w:r>
        <w:t xml:space="preserve">9.1 Syntax corruption via copy-paste artifacts (v1→v4)</w:t>
      </w:r>
    </w:p>
    <w:p>
      <w:pPr>
        <w:spacing w:after="160" w:line="276"/>
      </w:pPr>
      <w:r>
        <w:t xml:space="preserve">Symptom: Slurm aborted early script versions with a syntax error near an unexpected token, rendered as \vert{}\vert{}. Root cause: a web clipboard tool silently converted bash's || operator into LaTeX math formatting during copy-paste into the terminal. Fix (v4): eliminated || entirely, replaced with explicit multi-line if/else statements that survive that kind of corruption.</w:t>
      </w:r>
    </w:p>
    <w:p>
      <w:pPr>
        <w:pStyle w:val="Heading2"/>
        <w:spacing w:after="140" w:before="320"/>
      </w:pPr>
      <w:r>
        <w:t xml:space="preserve">9.2 Lmod toolchain and dependency clashes (v4→v5)</w:t>
      </w:r>
    </w:p>
    <w:p>
      <w:pPr>
        <w:spacing w:after="160" w:line="276"/>
      </w:pPr>
      <w:r>
        <w:t xml:space="preserve">Symptom: Lmod warnings about missing GCC/zlib dependent modules; fastp silently lost its required C libraries after STAR's module load forced a GCC downgrade. Root cause: loading all tools globally at the top of the script caused a dependency war between fastp's GCC/13 requirement and STAR's GCC/11 requirement. Fix (v5): just-in-time module loading — module purge immediately before each module load block, isolating each tool's runtime environment. This is the module purge pattern present at the top of every script 1–9.</w:t>
      </w:r>
    </w:p>
    <w:p>
      <w:pPr>
        <w:pStyle w:val="Heading2"/>
        <w:spacing w:after="140" w:before="320"/>
      </w:pPr>
      <w:r>
        <w:t xml:space="preserve">9.3 The silent SIGPIPE trap (v5→v6)</w:t>
      </w:r>
    </w:p>
    <w:p>
      <w:pPr>
        <w:spacing w:after="160" w:line="276"/>
      </w:pPr>
      <w:r>
        <w:t xml:space="preserve">Symptom: a job failed rapidly (exit code 1:0) immediately after a successful prefetch, with no further explanation in the log. Root cause: vdb-validate ... | tee -a "$LOG" | grep -q "is consistent" — grep -q exits the instant it finds its match, closing the pipe; vdb-validate then received SIGPIPE (exit 141) writing into the closed pipe, and set -o pipefail propagated that as a fatal error, killing the whole job. Fix (v6): removed the grep -q trap from the validation pipeline, and wrapped each sample's whole processing block in a subshell inside an if statement so one sample's failure doesn't (in principle) crash the batch — see the caveat on this in §10.1.</w:t>
      </w:r>
    </w:p>
    <w:p>
      <w:pPr>
        <w:pStyle w:val="Heading2"/>
        <w:spacing w:after="140" w:before="320"/>
      </w:pPr>
      <w:r>
        <w:t xml:space="preserve">9.4 Read desynchronization from --split-files (v7→v8)</w:t>
      </w:r>
    </w:p>
    <w:p>
      <w:pPr>
        <w:spacing w:after="160" w:line="276"/>
      </w:pPr>
      <w:r>
        <w:t xml:space="preserve">Symptom: fastp failed with ERROR: input files don't contain identical amount of reads on SRR1039513. Root cause: SRR1039513 contains over 26.5 million zero-length reads; fasterq-dump --split-files drops these asynchronously between mates, desynchronizing _1.fastq/_2.fastq line counts. Fix: re-extracted with --split-3, which routes unmated/zero-length reads to a separate singletons file instead, preserving 1:1 mate parity. Verified by wc -l matching exactly (67,292,352 lines each mate) after the fix. This is now the --split-3 standard used throughout scripts 1 and 8.</w:t>
      </w:r>
    </w:p>
    <w:p>
      <w:pPr>
        <w:pStyle w:val="Heading2"/>
        <w:spacing w:after="140" w:before="320"/>
      </w:pPr>
      <w:r>
        <w:t xml:space="preserve">9.5 Module capitalization and toolchain conflicts, restated (v8)</w:t>
      </w:r>
    </w:p>
    <w:p>
      <w:pPr>
        <w:spacing w:after="160" w:line="276"/>
      </w:pPr>
      <w:r>
        <w:t xml:space="preserve">Symptom: module not found and further Lmod dependency warnings during the SRA-Toolkit → fastp transition. Root cause: the SRA module's exact name/capitalization (SRA-Toolkit, not sra-toolkit) differed from what was assumed. Fix: used module avail sra to find the exact name, then re-applied the module purge → module load GCC/13.2.0 fastp STAR Subread discipline from §9.2.</w:t>
      </w:r>
    </w:p>
    <w:p>
      <w:pPr>
        <w:pStyle w:val="Heading2"/>
        <w:spacing w:after="140" w:before="320"/>
      </w:pPr>
      <w:r>
        <w:t xml:space="preserve">9.6 RAM exhaustion on the login node (v8→v9)</w:t>
      </w:r>
    </w:p>
    <w:p>
      <w:pPr>
        <w:spacing w:after="160" w:line="276"/>
      </w:pPr>
      <w:r>
        <w:t xml:space="preserve">Symptom: STAR alignment crashed with std::bad_alloc while loading the GRCh38 index. Root cause: the GRCh38 STAR index requires ~31.5 GB memory; the shared interactive login node enforces a much lower quota and killed the process immediately. Fix: requested a dedicated interactive Slurm compute node instead of running directly on the login node.</w:t>
      </w:r>
    </w:p>
    <w:p>
      <w:pPr>
        <w:pStyle w:val="Heading3"/>
        <w:spacing w:after="100" w:before="220"/>
      </w:pPr>
      <w:r>
        <w:t xml:space="preserve">Exact srun escalation observed on this cluster</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 Attempt 1 — missing partition</w:t>
      </w:r>
      <w:r>
        <w:rPr>
          <w:rFonts w:ascii="Consolas" w:cs="Consolas" w:eastAsia="Consolas" w:hAnsi="Consolas"/>
          <w:color w:val="D4D4D4"/>
          <w:sz w:val="19"/>
          <w:szCs w:val="19"/>
        </w:rPr>
        <w:br/>
        <w:t xml:space="preserve">srun --cpus-per-task=8 --mem=36G --time=01:00:00 --pty bash</w:t>
      </w:r>
      <w:r>
        <w:rPr>
          <w:rFonts w:ascii="Consolas" w:cs="Consolas" w:eastAsia="Consolas" w:hAnsi="Consolas"/>
          <w:color w:val="D4D4D4"/>
          <w:sz w:val="19"/>
          <w:szCs w:val="19"/>
        </w:rPr>
        <w:br/>
        <w:t xml:space="preserve">srun: error: You must specify a partition (queue) to run in.</w:t>
      </w:r>
      <w:r>
        <w:rPr>
          <w:rFonts w:ascii="Consolas" w:cs="Consolas" w:eastAsia="Consolas" w:hAnsi="Consolas"/>
          <w:color w:val="D4D4D4"/>
          <w:sz w:val="19"/>
          <w:szCs w:val="19"/>
        </w:rPr>
        <w:br/>
        <w:t xml:space="preserve"> </w:t>
      </w:r>
      <w:r>
        <w:rPr>
          <w:rFonts w:ascii="Consolas" w:cs="Consolas" w:eastAsia="Consolas" w:hAnsi="Consolas"/>
          <w:color w:val="D4D4D4"/>
          <w:sz w:val="19"/>
          <w:szCs w:val="19"/>
        </w:rPr>
        <w:br/>
        <w:t xml:space="preserve"># Attempt 2 — missing task specification</w:t>
      </w:r>
      <w:r>
        <w:rPr>
          <w:rFonts w:ascii="Consolas" w:cs="Consolas" w:eastAsia="Consolas" w:hAnsi="Consolas"/>
          <w:color w:val="D4D4D4"/>
          <w:sz w:val="19"/>
          <w:szCs w:val="19"/>
        </w:rPr>
        <w:br/>
        <w:t xml:space="preserve">srun -p batch --cpus-per-task=8 --mem=36G --time=01:00:00 --pty bash</w:t>
      </w:r>
      <w:r>
        <w:rPr>
          <w:rFonts w:ascii="Consolas" w:cs="Consolas" w:eastAsia="Consolas" w:hAnsi="Consolas"/>
          <w:color w:val="D4D4D4"/>
          <w:sz w:val="19"/>
          <w:szCs w:val="19"/>
        </w:rPr>
        <w:br/>
        <w:t xml:space="preserve">srun: error: Unable to allocate resources: Job size specification needs to be provided</w:t>
      </w:r>
      <w:r>
        <w:rPr>
          <w:rFonts w:ascii="Consolas" w:cs="Consolas" w:eastAsia="Consolas" w:hAnsi="Consolas"/>
          <w:color w:val="D4D4D4"/>
          <w:sz w:val="19"/>
          <w:szCs w:val="19"/>
        </w:rPr>
        <w:br/>
        <w:t xml:space="preserve">srun: error: You must specify a number of tasks.</w:t>
      </w:r>
      <w:r>
        <w:rPr>
          <w:rFonts w:ascii="Consolas" w:cs="Consolas" w:eastAsia="Consolas" w:hAnsi="Consolas"/>
          <w:color w:val="D4D4D4"/>
          <w:sz w:val="19"/>
          <w:szCs w:val="19"/>
        </w:rPr>
        <w:br/>
        <w:t xml:space="preserve"> </w:t>
      </w:r>
      <w:r>
        <w:rPr>
          <w:rFonts w:ascii="Consolas" w:cs="Consolas" w:eastAsia="Consolas" w:hAnsi="Consolas"/>
          <w:color w:val="D4D4D4"/>
          <w:sz w:val="19"/>
          <w:szCs w:val="19"/>
        </w:rPr>
        <w:br/>
        <w:t xml:space="preserve"># Attempt 3 — successful allocation</w:t>
      </w:r>
      <w:r>
        <w:rPr>
          <w:rFonts w:ascii="Consolas" w:cs="Consolas" w:eastAsia="Consolas" w:hAnsi="Consolas"/>
          <w:color w:val="D4D4D4"/>
          <w:sz w:val="19"/>
          <w:szCs w:val="19"/>
        </w:rPr>
        <w:br/>
        <w:t xml:space="preserve">srun -p batch -n 1 --cpus-per-task=8 --mem=36G --time=01:00:00 --pty bash</w:t>
      </w:r>
      <w:r>
        <w:rPr>
          <w:rFonts w:ascii="Consolas" w:cs="Consolas" w:eastAsia="Consolas" w:hAnsi="Consolas"/>
          <w:color w:val="D4D4D4"/>
          <w:sz w:val="19"/>
          <w:szCs w:val="19"/>
        </w:rPr>
        <w:br/>
        <w:t xml:space="preserve"># Prompt changes to the allocated compute node, e.g. user@rbl-5</w:t>
      </w:r>
    </w:p>
    <w:p>
      <w:pPr>
        <w:spacing w:after="160" w:line="276"/>
      </w:pPr>
      <w:r>
        <w:t xml:space="preserve">This is why --mem=36G is hardcoded into every STAR-related #SBATCH header in scripts 6 and 8, and why the README explicitly warns never to run STAR indexing on a login node.</w:t>
      </w:r>
    </w:p>
    <w:p>
      <w:pPr>
        <w:pStyle w:val="Heading2"/>
        <w:spacing w:after="140" w:before="320"/>
      </w:pPr>
      <w:r>
        <w:t xml:space="preserve">9.7 Standard Operating Procedures adopted from this history</w:t>
      </w:r>
    </w:p>
    <w:p>
      <w:pPr>
        <w:pStyle w:val="ListParagraph"/>
        <w:numPr>
          <w:ilvl w:val="0"/>
          <w:numId w:val="1"/>
        </w:numPr>
        <w:spacing w:after="100"/>
      </w:pPr>
      <w:r>
        <w:t xml:space="preserve">SRA extraction: always --split-3, never --split-files.</w:t>
      </w:r>
    </w:p>
    <w:p>
      <w:pPr>
        <w:pStyle w:val="ListParagraph"/>
        <w:numPr>
          <w:ilvl w:val="0"/>
          <w:numId w:val="1"/>
        </w:numPr>
        <w:spacing w:after="100"/>
      </w:pPr>
      <w:r>
        <w:t xml:space="preserve">Job submission: never run memory-intensive steps (STAR) on a login node; use srun -p batch -n 1 --mem=36G for interactive testing, sbatch for production.</w:t>
      </w:r>
    </w:p>
    <w:p>
      <w:pPr>
        <w:pStyle w:val="ListParagraph"/>
        <w:numPr>
          <w:ilvl w:val="0"/>
          <w:numId w:val="1"/>
        </w:numPr>
        <w:spacing w:after="100"/>
      </w:pPr>
      <w:r>
        <w:t xml:space="preserve">Environment isolation: module purge before every toolchain transition.</w:t>
      </w:r>
    </w:p>
    <w:p>
      <w:pPr>
        <w:pStyle w:val="Heading1"/>
        <w:pBdr>
          <w:bottom w:val="single" w:color="2E74B5" w:sz="8" w:space="4"/>
        </w:pBdr>
        <w:spacing w:after="200" w:before="480"/>
      </w:pPr>
      <w:r>
        <w:t xml:space="preserve">10. Known Limitations in the Current Release</w:t>
      </w:r>
    </w:p>
    <w:p>
      <w:pPr>
        <w:spacing w:after="160" w:line="276"/>
      </w:pPr>
      <w:r>
        <w:t xml:space="preserve">These were identified by a line-by-line review of scripts 1–9 against their own documented intent and against each other — not by an actual failed run, since this documentation was authored without HPC access. They are recorded here, not silently fixed in the scripts, so the next person to run this pipeline knows exactly what to verify.</w:t>
      </w:r>
    </w:p>
    <w:p>
      <w:pPr>
        <w:pStyle w:val="Heading2"/>
        <w:spacing w:after="140" w:before="320"/>
      </w:pPr>
      <w:r>
        <w:t xml:space="preserve">10.1 Script 8's per-sample fault tolerance can be defeated by set -e</w:t>
      </w:r>
    </w:p>
    <w:p>
      <w:pPr>
        <w:spacing w:after="160" w:line="276"/>
      </w:pPr>
      <w:r>
        <w:t xml:space="preserve">Each sample in Script 8's loop runs inside ( set -e; set -o pipefail; ... ), and the outer script itself also runs under set -e (near the top of the file). Because the subshell is invoked as an ordinary top-level command — not inside an if, &amp;&amp;, or || — a non-zero exit from any single sample's subshell triggers the outer script's set -e and terminates the whole Slurm job immediately, before the if [ $? -eq 0 ] line that is meant to route the failure into FAILED_SRRS is ever reached.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24"/>
              <w:left w:val="single" w:color="E5B5B5" w:sz="4"/>
              <w:bottom w:val="single" w:color="E5B5B5" w:sz="4"/>
              <w:right w:val="single" w:color="E5B5B5" w:sz="4"/>
            </w:tcBorders>
            <w:shd w:fill="FDECEC" w:val="clear"/>
            <w:tcMar>
              <w:top w:type="dxa" w:w="160"/>
              <w:left w:type="dxa" w:w="200"/>
              <w:bottom w:type="dxa" w:w="160"/>
              <w:right w:type="dxa" w:w="200"/>
            </w:tcMar>
          </w:tcPr>
          <w:p>
            <w:pPr>
              <w:spacing w:after="80"/>
            </w:pPr>
            <w:r>
              <w:rPr>
                <w:b/>
                <w:bCs/>
                <w:color w:val="C00000"/>
              </w:rPr>
              <w:t xml:space="preserve">Practical impact</w:t>
            </w:r>
          </w:p>
          <w:p>
            <w:pPr>
              <w:spacing w:after="0"/>
            </w:pPr>
            <w:r>
              <w:rPr>
                <w:color w:val="444444"/>
              </w:rPr>
              <w:t xml:space="preserve">One bad sample can still abort the entire cohort run — exactly the failure mode the subshell wrapping was designed to prevent (per §9.3's fix). The same pattern exists in the legacy PRJNA229998_airway_pipeline.sh.</w:t>
            </w:r>
          </w:p>
        </w:tc>
      </w:tr>
    </w:tbl>
    <w:p>
      <w:pPr>
        <w:spacing w:after="160" w:line="276"/>
      </w:pPr>
      <w:r>
        <w:t xml:space="preserve">Workaround until the script is patched: wrap the subshell dispatch in a context set -e will not fire on — for example, if ( set -e; ...; ); then ...; fi — or temporarily set +e around the loop body and re-enable set -e after capturing $?.</w:t>
      </w:r>
    </w:p>
    <w:p>
      <w:pPr>
        <w:pStyle w:val="Heading2"/>
        <w:spacing w:after="140" w:before="320"/>
      </w:pPr>
      <w:r>
        <w:t xml:space="preserve">10.2 Script 8's final quantification step has no Rsubread bootstrap</w:t>
      </w:r>
    </w:p>
    <w:p>
      <w:pPr>
        <w:spacing w:after="160" w:line="276"/>
      </w:pPr>
      <w:r>
        <w:t xml:space="preserve">Script 7's R script installs Rsubread into a local R_libs/ directory via BiocManager if it isn't already available. Script 8's counts/run_final_quant.R does not — it calls suppressMessages(library(Rsubread)) directly. If the cluster's default R module lacks Rsubread, this fails only after all four samples have already been fetched, trimmed, and aligned — the most expensive part of the run.</w:t>
      </w:r>
    </w:p>
    <w:p>
      <w:pPr>
        <w:spacing w:after="160" w:line="276"/>
      </w:pPr>
      <w:r>
        <w:t xml:space="preserve">Mitigation: before submitting Script 8, confirm Rscript -e 'library(Rsubread)' succeeds under the R module Script 8 loads, or point R_LIBS_USER at the R_libs/ directory Script 7 already populated in the sibling _stepbystep workspace.</w:t>
      </w:r>
    </w:p>
    <w:p>
      <w:pPr>
        <w:pStyle w:val="Heading2"/>
        <w:spacing w:after="140" w:before="320"/>
      </w:pPr>
      <w:r>
        <w:t xml:space="preserve">10.3 PRJNA229998_airway_pipeline.sh's self-assessment does not match its own code</w:t>
      </w:r>
    </w:p>
    <w:p>
      <w:pPr>
        <w:spacing w:after="160" w:line="276"/>
      </w:pPr>
      <w:r>
        <w:t xml:space="preserve">This legacy monolithic script still calls fasterq-dump --split-files (not --split-3), yet carries an appended “Assessment of V9” comment block claiming the --split-3 flag is hardcoded. That claim is accurate for Final_airway_pipeline_v9_standalone.sh, not for this file — the two were evidently not kept in sync. Run as-is against SRR1039513, this script would reproduce the exact read-desynchronization failure documented in §9.4.</w:t>
      </w:r>
    </w:p>
    <w:p>
      <w:pPr>
        <w:pStyle w:val="Heading2"/>
        <w:spacing w:after="140" w:before="320"/>
      </w:pPr>
      <w:r>
        <w:t xml:space="preserve">10.4 --sjdbOverhang is inconsistent across the three pipeline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rPr>
          <w:tblHeader/>
        </w:trPr>
        <w:tc>
          <w:tcPr>
            <w:tcW w:type="dxa" w:w="5600"/>
            <w:shd w:fill="1F3864" w:val="clear"/>
            <w:tcMar>
              <w:top w:type="dxa" w:w="80"/>
              <w:left w:type="dxa" w:w="120"/>
              <w:bottom w:type="dxa" w:w="80"/>
              <w:right w:type="dxa" w:w="120"/>
            </w:tcMar>
          </w:tcPr>
          <w:p>
            <w:pPr>
              <w:jc w:val="left"/>
            </w:pPr>
            <w:r>
              <w:rPr>
                <w:b/>
                <w:bCs/>
                <w:color w:val="FFFFFF"/>
                <w:sz w:val="20"/>
                <w:szCs w:val="20"/>
              </w:rPr>
              <w:t xml:space="preserve">File</w:t>
            </w:r>
          </w:p>
        </w:tc>
        <w:tc>
          <w:tcPr>
            <w:tcW w:type="dxa" w:w="3760"/>
            <w:shd w:fill="1F3864" w:val="clear"/>
            <w:tcMar>
              <w:top w:type="dxa" w:w="80"/>
              <w:left w:type="dxa" w:w="120"/>
              <w:bottom w:type="dxa" w:w="80"/>
              <w:right w:type="dxa" w:w="120"/>
            </w:tcMar>
          </w:tcPr>
          <w:p>
            <w:pPr>
              <w:jc w:val="left"/>
            </w:pPr>
            <w:r>
              <w:rPr>
                <w:b/>
                <w:bCs/>
                <w:color w:val="FFFFFF"/>
                <w:sz w:val="20"/>
                <w:szCs w:val="20"/>
              </w:rPr>
              <w:t xml:space="preserve">--sjdbOverhang value</w:t>
            </w:r>
          </w:p>
        </w:tc>
      </w:tr>
      <w:tr>
        <w:tc>
          <w:tcPr>
            <w:tcW w:type="dxa" w:w="5600"/>
            <w:tcMar>
              <w:top w:type="dxa" w:w="80"/>
              <w:left w:type="dxa" w:w="120"/>
              <w:bottom w:type="dxa" w:w="80"/>
              <w:right w:type="dxa" w:w="120"/>
            </w:tcMar>
          </w:tcPr>
          <w:p>
            <w:pPr>
              <w:jc w:val="left"/>
            </w:pPr>
            <w:r>
              <w:rPr>
                <w:b w:val="false"/>
                <w:bCs w:val="false"/>
                <w:color w:val="000000"/>
                <w:sz w:val="20"/>
                <w:szCs w:val="20"/>
              </w:rPr>
              <w:t xml:space="preserve">6_STAR_Alignment.sh (current modular suite)</w:t>
            </w:r>
          </w:p>
        </w:tc>
        <w:tc>
          <w:tcPr>
            <w:tcW w:type="dxa" w:w="3760"/>
            <w:tcMar>
              <w:top w:type="dxa" w:w="80"/>
              <w:left w:type="dxa" w:w="120"/>
              <w:bottom w:type="dxa" w:w="80"/>
              <w:right w:type="dxa" w:w="120"/>
            </w:tcMar>
          </w:tcPr>
          <w:p>
            <w:pPr>
              <w:jc w:val="left"/>
            </w:pPr>
            <w:r>
              <w:rPr>
                <w:b w:val="false"/>
                <w:bCs w:val="false"/>
                <w:color w:val="000000"/>
                <w:sz w:val="20"/>
                <w:szCs w:val="20"/>
              </w:rPr>
              <w:t xml:space="preserve">74</w:t>
            </w:r>
          </w:p>
        </w:tc>
      </w:tr>
      <w:tr>
        <w:tc>
          <w:tcPr>
            <w:tcW w:type="dxa" w:w="5600"/>
            <w:shd w:fill="F2F2F2" w:val="clear"/>
            <w:tcMar>
              <w:top w:type="dxa" w:w="80"/>
              <w:left w:type="dxa" w:w="120"/>
              <w:bottom w:type="dxa" w:w="80"/>
              <w:right w:type="dxa" w:w="120"/>
            </w:tcMar>
          </w:tcPr>
          <w:p>
            <w:pPr>
              <w:jc w:val="left"/>
            </w:pPr>
            <w:r>
              <w:rPr>
                <w:b w:val="false"/>
                <w:bCs w:val="false"/>
                <w:color w:val="000000"/>
                <w:sz w:val="20"/>
                <w:szCs w:val="20"/>
              </w:rPr>
              <w:t xml:space="preserve">Final_airway_pipeline_v9_standalone.sh</w:t>
            </w:r>
          </w:p>
        </w:tc>
        <w:tc>
          <w:tcPr>
            <w:tcW w:type="dxa" w:w="3760"/>
            <w:shd w:fill="F2F2F2" w:val="clear"/>
            <w:tcMar>
              <w:top w:type="dxa" w:w="80"/>
              <w:left w:type="dxa" w:w="120"/>
              <w:bottom w:type="dxa" w:w="80"/>
              <w:right w:type="dxa" w:w="120"/>
            </w:tcMar>
          </w:tcPr>
          <w:p>
            <w:pPr>
              <w:jc w:val="left"/>
            </w:pPr>
            <w:r>
              <w:rPr>
                <w:b w:val="false"/>
                <w:bCs w:val="false"/>
                <w:color w:val="000000"/>
                <w:sz w:val="20"/>
                <w:szCs w:val="20"/>
              </w:rPr>
              <w:t xml:space="preserve">99</w:t>
            </w:r>
          </w:p>
        </w:tc>
      </w:tr>
      <w:tr>
        <w:tc>
          <w:tcPr>
            <w:tcW w:type="dxa" w:w="5600"/>
            <w:tcMar>
              <w:top w:type="dxa" w:w="80"/>
              <w:left w:type="dxa" w:w="120"/>
              <w:bottom w:type="dxa" w:w="80"/>
              <w:right w:type="dxa" w:w="120"/>
            </w:tcMar>
          </w:tcPr>
          <w:p>
            <w:pPr>
              <w:jc w:val="left"/>
            </w:pPr>
            <w:r>
              <w:rPr>
                <w:b w:val="false"/>
                <w:bCs w:val="false"/>
                <w:color w:val="000000"/>
                <w:sz w:val="20"/>
                <w:szCs w:val="20"/>
              </w:rPr>
              <w:t xml:space="preserve">PRJNA229998_airway_pipeline.sh</w:t>
            </w:r>
          </w:p>
        </w:tc>
        <w:tc>
          <w:tcPr>
            <w:tcW w:type="dxa" w:w="3760"/>
            <w:tcMar>
              <w:top w:type="dxa" w:w="80"/>
              <w:left w:type="dxa" w:w="120"/>
              <w:bottom w:type="dxa" w:w="80"/>
              <w:right w:type="dxa" w:w="120"/>
            </w:tcMar>
          </w:tcPr>
          <w:p>
            <w:pPr>
              <w:jc w:val="left"/>
            </w:pPr>
            <w:r>
              <w:rPr>
                <w:b w:val="false"/>
                <w:bCs w:val="false"/>
                <w:color w:val="000000"/>
                <w:sz w:val="20"/>
                <w:szCs w:val="20"/>
              </w:rPr>
              <w:t xml:space="preserve">100</w:t>
            </w:r>
          </w:p>
        </w:tc>
      </w:tr>
    </w:tbl>
    <w:p>
      <w:pPr>
        <w:spacing w:after="160" w:line="276"/>
      </w:pPr>
      <w:r>
        <w:t xml:space="preserve">STAR's own guidance is read length − 1. Confirm actual FASTQ read length before a from-scratch index build (e.g., awk 'NR==2{print length($0); exit}' raw_reads/&lt;SRR&gt;_1.fastq) rather than assuming 74 is correct for your data — it is simply the most recently maintained value in this repository, not an independently re-derived one.</w:t>
      </w:r>
    </w:p>
    <w:p>
      <w:pPr>
        <w:pStyle w:val="Heading2"/>
        <w:spacing w:after="140" w:before="320"/>
      </w:pPr>
      <w:r>
        <w:t xml:space="preserve">10.5 Script 9 does not cover the automated cohort workspace</w:t>
      </w:r>
    </w:p>
    <w:p>
      <w:pPr>
        <w:spacing w:after="160" w:line="276"/>
      </w:pPr>
      <w:r>
        <w:t xml:space="preserve">9_QC_Report_Generator.sh only ever reads from the _stepbystep workspace and only ever reports on SRR1039508. It is not wired up to summarize the 4-sample _automated workspace Script 8 writes to. For a cohort-level summary today, review each sample's logs/&lt;SRR&gt;_pipeline.log and the combined counts/airway_raw_counts.txt.summary directly.</w:t>
      </w:r>
    </w:p>
    <w:p>
      <w:pPr>
        <w:pStyle w:val="Heading1"/>
        <w:pBdr>
          <w:bottom w:val="single" w:color="2E74B5" w:sz="8" w:space="4"/>
        </w:pBdr>
        <w:spacing w:after="200" w:before="480"/>
      </w:pPr>
      <w:r>
        <w:t xml:space="preserve">11. Downstream Handoff to DESeq2</w:t>
      </w:r>
    </w:p>
    <w:p>
      <w:pPr>
        <w:spacing w:after="160" w:line="276"/>
      </w:pPr>
      <w:r>
        <w:t xml:space="preserve">Terminal outputs, tab-delimited, gene × sample:</w:t>
      </w:r>
    </w:p>
    <w:p>
      <w:pPr>
        <w:pStyle w:val="ListParagraph"/>
        <w:numPr>
          <w:ilvl w:val="0"/>
          <w:numId w:val="1"/>
        </w:numPr>
        <w:spacing w:after="100"/>
      </w:pPr>
      <w:r>
        <w:t xml:space="preserve">Modular suite (single sample): counts/SRR1039508_counts.txt</w:t>
      </w:r>
    </w:p>
    <w:p>
      <w:pPr>
        <w:pStyle w:val="ListParagraph"/>
        <w:numPr>
          <w:ilvl w:val="0"/>
          <w:numId w:val="1"/>
        </w:numPr>
        <w:spacing w:after="100"/>
      </w:pPr>
      <w:r>
        <w:t xml:space="preserve">Automated cohort: counts/airway_raw_counts.txt (all passed samples as columns)</w:t>
      </w:r>
    </w:p>
    <w:p>
      <w:pPr>
        <w:spacing w:after="160" w:line="276"/>
      </w:pPr>
      <w:r>
        <w:t xml:space="preserve">Both are import-ready for DESeqDataSetFromMatrix() in R. Because GSE52778 is the canonical DESeq2/airway-package worked example, the colData design matrix (cell_line, dex treatment/untreated) can be built directly from the study's public SRA RunInfo metadata, and a student's own recount can be sanity-checked against the pre-built Bioconductor airway object.</w:t>
      </w:r>
    </w:p>
    <w:p>
      <w:pPr>
        <w:pStyle w:val="Heading1"/>
        <w:pBdr>
          <w:bottom w:val="single" w:color="2E74B5" w:sz="8" w:space="4"/>
        </w:pBdr>
        <w:spacing w:after="200" w:before="480"/>
      </w:pPr>
      <w:r>
        <w:t xml:space="preserve">Appendix A — Resource Allocation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1600"/>
        <w:gridCol w:w="2060"/>
      </w:tblGrid>
      <w:tr>
        <w:trPr>
          <w:tblHeader/>
        </w:trPr>
        <w:tc>
          <w:tcPr>
            <w:tcW w:type="dxa" w:w="4200"/>
            <w:shd w:fill="1F3864" w:val="clear"/>
            <w:tcMar>
              <w:top w:type="dxa" w:w="80"/>
              <w:left w:type="dxa" w:w="120"/>
              <w:bottom w:type="dxa" w:w="80"/>
              <w:right w:type="dxa" w:w="120"/>
            </w:tcMar>
          </w:tcPr>
          <w:p>
            <w:pPr>
              <w:jc w:val="left"/>
            </w:pPr>
            <w:r>
              <w:rPr>
                <w:b/>
                <w:bCs/>
                <w:color w:val="FFFFFF"/>
                <w:sz w:val="20"/>
                <w:szCs w:val="20"/>
              </w:rPr>
              <w:t xml:space="preserve">Script</w:t>
            </w:r>
          </w:p>
        </w:tc>
        <w:tc>
          <w:tcPr>
            <w:tcW w:type="dxa" w:w="1500"/>
            <w:shd w:fill="1F3864" w:val="clear"/>
            <w:tcMar>
              <w:top w:type="dxa" w:w="80"/>
              <w:left w:type="dxa" w:w="120"/>
              <w:bottom w:type="dxa" w:w="80"/>
              <w:right w:type="dxa" w:w="120"/>
            </w:tcMar>
          </w:tcPr>
          <w:p>
            <w:pPr>
              <w:jc w:val="left"/>
            </w:pPr>
            <w:r>
              <w:rPr>
                <w:b/>
                <w:bCs/>
                <w:color w:val="FFFFFF"/>
                <w:sz w:val="20"/>
                <w:szCs w:val="20"/>
              </w:rPr>
              <w:t xml:space="preserve">CPUs</w:t>
            </w:r>
          </w:p>
        </w:tc>
        <w:tc>
          <w:tcPr>
            <w:tcW w:type="dxa" w:w="1600"/>
            <w:shd w:fill="1F3864" w:val="clear"/>
            <w:tcMar>
              <w:top w:type="dxa" w:w="80"/>
              <w:left w:type="dxa" w:w="120"/>
              <w:bottom w:type="dxa" w:w="80"/>
              <w:right w:type="dxa" w:w="120"/>
            </w:tcMar>
          </w:tcPr>
          <w:p>
            <w:pPr>
              <w:jc w:val="left"/>
            </w:pPr>
            <w:r>
              <w:rPr>
                <w:b/>
                <w:bCs/>
                <w:color w:val="FFFFFF"/>
                <w:sz w:val="20"/>
                <w:szCs w:val="20"/>
              </w:rPr>
              <w:t xml:space="preserve">Memory</w:t>
            </w:r>
          </w:p>
        </w:tc>
        <w:tc>
          <w:tcPr>
            <w:tcW w:type="dxa" w:w="2060"/>
            <w:shd w:fill="1F3864" w:val="clear"/>
            <w:tcMar>
              <w:top w:type="dxa" w:w="80"/>
              <w:left w:type="dxa" w:w="120"/>
              <w:bottom w:type="dxa" w:w="80"/>
              <w:right w:type="dxa" w:w="120"/>
            </w:tcMar>
          </w:tcPr>
          <w:p>
            <w:pPr>
              <w:jc w:val="left"/>
            </w:pPr>
            <w:r>
              <w:rPr>
                <w:b/>
                <w:bCs/>
                <w:color w:val="FFFFFF"/>
                <w:sz w:val="20"/>
                <w:szCs w:val="20"/>
              </w:rPr>
              <w:t xml:space="preserve">Wall time</w:t>
            </w:r>
          </w:p>
        </w:tc>
      </w:tr>
      <w:tr>
        <w:tc>
          <w:tcPr>
            <w:tcW w:type="dxa" w:w="4200"/>
            <w:tcMar>
              <w:top w:type="dxa" w:w="80"/>
              <w:left w:type="dxa" w:w="120"/>
              <w:bottom w:type="dxa" w:w="80"/>
              <w:right w:type="dxa" w:w="120"/>
            </w:tcMar>
          </w:tcPr>
          <w:p>
            <w:pPr>
              <w:jc w:val="left"/>
            </w:pPr>
            <w:r>
              <w:rPr>
                <w:b w:val="false"/>
                <w:bCs w:val="false"/>
                <w:color w:val="000000"/>
                <w:sz w:val="20"/>
                <w:szCs w:val="20"/>
              </w:rPr>
              <w:t xml:space="preserve">1_Fetch_And_Verify_Raw_Reads.sh</w:t>
            </w:r>
          </w:p>
        </w:tc>
        <w:tc>
          <w:tcPr>
            <w:tcW w:type="dxa" w:w="1500"/>
            <w:tcMar>
              <w:top w:type="dxa" w:w="80"/>
              <w:left w:type="dxa" w:w="120"/>
              <w:bottom w:type="dxa" w:w="80"/>
              <w:right w:type="dxa" w:w="120"/>
            </w:tcMar>
          </w:tcPr>
          <w:p>
            <w:pPr>
              <w:jc w:val="left"/>
            </w:pPr>
            <w:r>
              <w:rPr>
                <w:b w:val="false"/>
                <w:bCs w:val="false"/>
                <w:color w:val="000000"/>
                <w:sz w:val="20"/>
                <w:szCs w:val="20"/>
              </w:rPr>
              <w:t xml:space="preserve">4</w:t>
            </w:r>
          </w:p>
        </w:tc>
        <w:tc>
          <w:tcPr>
            <w:tcW w:type="dxa" w:w="1600"/>
            <w:tcMar>
              <w:top w:type="dxa" w:w="80"/>
              <w:left w:type="dxa" w:w="120"/>
              <w:bottom w:type="dxa" w:w="80"/>
              <w:right w:type="dxa" w:w="120"/>
            </w:tcMar>
          </w:tcPr>
          <w:p>
            <w:pPr>
              <w:jc w:val="left"/>
            </w:pPr>
            <w:r>
              <w:rPr>
                <w:b w:val="false"/>
                <w:bCs w:val="false"/>
                <w:color w:val="000000"/>
                <w:sz w:val="20"/>
                <w:szCs w:val="20"/>
              </w:rPr>
              <w:t xml:space="preserve">8 GB</w:t>
            </w:r>
          </w:p>
        </w:tc>
        <w:tc>
          <w:tcPr>
            <w:tcW w:type="dxa" w:w="2060"/>
            <w:tcMar>
              <w:top w:type="dxa" w:w="80"/>
              <w:left w:type="dxa" w:w="120"/>
              <w:bottom w:type="dxa" w:w="80"/>
              <w:right w:type="dxa" w:w="120"/>
            </w:tcMar>
          </w:tcPr>
          <w:p>
            <w:pPr>
              <w:jc w:val="left"/>
            </w:pPr>
            <w:r>
              <w:rPr>
                <w:b w:val="false"/>
                <w:bCs w:val="false"/>
                <w:color w:val="000000"/>
                <w:sz w:val="20"/>
                <w:szCs w:val="20"/>
              </w:rPr>
              <w:t xml:space="preserve">1 h</w:t>
            </w:r>
          </w:p>
        </w:tc>
      </w:tr>
      <w:tr>
        <w:tc>
          <w:tcPr>
            <w:tcW w:type="dxa" w:w="4200"/>
            <w:shd w:fill="F2F2F2" w:val="clear"/>
            <w:tcMar>
              <w:top w:type="dxa" w:w="80"/>
              <w:left w:type="dxa" w:w="120"/>
              <w:bottom w:type="dxa" w:w="80"/>
              <w:right w:type="dxa" w:w="120"/>
            </w:tcMar>
          </w:tcPr>
          <w:p>
            <w:pPr>
              <w:jc w:val="left"/>
            </w:pPr>
            <w:r>
              <w:rPr>
                <w:b w:val="false"/>
                <w:bCs w:val="false"/>
                <w:color w:val="000000"/>
                <w:sz w:val="20"/>
                <w:szCs w:val="20"/>
              </w:rPr>
              <w:t xml:space="preserve">2_Interpret_FastQC_Diagnostics.sh</w:t>
            </w:r>
          </w:p>
        </w:tc>
        <w:tc>
          <w:tcPr>
            <w:tcW w:type="dxa" w:w="1500"/>
            <w:shd w:fill="F2F2F2" w:val="clear"/>
            <w:tcMar>
              <w:top w:type="dxa" w:w="80"/>
              <w:left w:type="dxa" w:w="120"/>
              <w:bottom w:type="dxa" w:w="80"/>
              <w:right w:type="dxa" w:w="120"/>
            </w:tcMar>
          </w:tcPr>
          <w:p>
            <w:pPr>
              <w:jc w:val="left"/>
            </w:pPr>
            <w:r>
              <w:rPr>
                <w:b w:val="false"/>
                <w:bCs w:val="false"/>
                <w:color w:val="000000"/>
                <w:sz w:val="20"/>
                <w:szCs w:val="20"/>
              </w:rPr>
              <w:t xml:space="preserve">4</w:t>
            </w:r>
          </w:p>
        </w:tc>
        <w:tc>
          <w:tcPr>
            <w:tcW w:type="dxa" w:w="1600"/>
            <w:shd w:fill="F2F2F2" w:val="clear"/>
            <w:tcMar>
              <w:top w:type="dxa" w:w="80"/>
              <w:left w:type="dxa" w:w="120"/>
              <w:bottom w:type="dxa" w:w="80"/>
              <w:right w:type="dxa" w:w="120"/>
            </w:tcMar>
          </w:tcPr>
          <w:p>
            <w:pPr>
              <w:jc w:val="left"/>
            </w:pPr>
            <w:r>
              <w:rPr>
                <w:b w:val="false"/>
                <w:bCs w:val="false"/>
                <w:color w:val="000000"/>
                <w:sz w:val="20"/>
                <w:szCs w:val="20"/>
              </w:rPr>
              <w:t xml:space="preserve">6 GB</w:t>
            </w:r>
          </w:p>
        </w:tc>
        <w:tc>
          <w:tcPr>
            <w:tcW w:type="dxa" w:w="2060"/>
            <w:shd w:fill="F2F2F2" w:val="clear"/>
            <w:tcMar>
              <w:top w:type="dxa" w:w="80"/>
              <w:left w:type="dxa" w:w="120"/>
              <w:bottom w:type="dxa" w:w="80"/>
              <w:right w:type="dxa" w:w="120"/>
            </w:tcMar>
          </w:tcPr>
          <w:p>
            <w:pPr>
              <w:jc w:val="left"/>
            </w:pPr>
            <w:r>
              <w:rPr>
                <w:b w:val="false"/>
                <w:bCs w:val="false"/>
                <w:color w:val="000000"/>
                <w:sz w:val="20"/>
                <w:szCs w:val="20"/>
              </w:rPr>
              <w:t xml:space="preserve">45 min</w:t>
            </w:r>
          </w:p>
        </w:tc>
      </w:tr>
      <w:tr>
        <w:tc>
          <w:tcPr>
            <w:tcW w:type="dxa" w:w="4200"/>
            <w:tcMar>
              <w:top w:type="dxa" w:w="80"/>
              <w:left w:type="dxa" w:w="120"/>
              <w:bottom w:type="dxa" w:w="80"/>
              <w:right w:type="dxa" w:w="120"/>
            </w:tcMar>
          </w:tcPr>
          <w:p>
            <w:pPr>
              <w:jc w:val="left"/>
            </w:pPr>
            <w:r>
              <w:rPr>
                <w:b w:val="false"/>
                <w:bCs w:val="false"/>
                <w:color w:val="000000"/>
                <w:sz w:val="20"/>
                <w:szCs w:val="20"/>
              </w:rPr>
              <w:t xml:space="preserve">3_Batch_MultiQC_Summary.sh</w:t>
            </w:r>
          </w:p>
        </w:tc>
        <w:tc>
          <w:tcPr>
            <w:tcW w:type="dxa" w:w="1500"/>
            <w:tcMar>
              <w:top w:type="dxa" w:w="80"/>
              <w:left w:type="dxa" w:w="120"/>
              <w:bottom w:type="dxa" w:w="80"/>
              <w:right w:type="dxa" w:w="120"/>
            </w:tcMar>
          </w:tcPr>
          <w:p>
            <w:pPr>
              <w:jc w:val="left"/>
            </w:pPr>
            <w:r>
              <w:rPr>
                <w:b w:val="false"/>
                <w:bCs w:val="false"/>
                <w:color w:val="000000"/>
                <w:sz w:val="20"/>
                <w:szCs w:val="20"/>
              </w:rPr>
              <w:t xml:space="preserve">4</w:t>
            </w:r>
          </w:p>
        </w:tc>
        <w:tc>
          <w:tcPr>
            <w:tcW w:type="dxa" w:w="1600"/>
            <w:tcMar>
              <w:top w:type="dxa" w:w="80"/>
              <w:left w:type="dxa" w:w="120"/>
              <w:bottom w:type="dxa" w:w="80"/>
              <w:right w:type="dxa" w:w="120"/>
            </w:tcMar>
          </w:tcPr>
          <w:p>
            <w:pPr>
              <w:jc w:val="left"/>
            </w:pPr>
            <w:r>
              <w:rPr>
                <w:b w:val="false"/>
                <w:bCs w:val="false"/>
                <w:color w:val="000000"/>
                <w:sz w:val="20"/>
                <w:szCs w:val="20"/>
              </w:rPr>
              <w:t xml:space="preserve">8 GB</w:t>
            </w:r>
          </w:p>
        </w:tc>
        <w:tc>
          <w:tcPr>
            <w:tcW w:type="dxa" w:w="2060"/>
            <w:tcMar>
              <w:top w:type="dxa" w:w="80"/>
              <w:left w:type="dxa" w:w="120"/>
              <w:bottom w:type="dxa" w:w="80"/>
              <w:right w:type="dxa" w:w="120"/>
            </w:tcMar>
          </w:tcPr>
          <w:p>
            <w:pPr>
              <w:jc w:val="left"/>
            </w:pPr>
            <w:r>
              <w:rPr>
                <w:b w:val="false"/>
                <w:bCs w:val="false"/>
                <w:color w:val="000000"/>
                <w:sz w:val="20"/>
                <w:szCs w:val="20"/>
              </w:rPr>
              <w:t xml:space="preserve">1.5 h</w:t>
            </w:r>
          </w:p>
        </w:tc>
      </w:tr>
      <w:tr>
        <w:tc>
          <w:tcPr>
            <w:tcW w:type="dxa" w:w="4200"/>
            <w:shd w:fill="F2F2F2" w:val="clear"/>
            <w:tcMar>
              <w:top w:type="dxa" w:w="80"/>
              <w:left w:type="dxa" w:w="120"/>
              <w:bottom w:type="dxa" w:w="80"/>
              <w:right w:type="dxa" w:w="120"/>
            </w:tcMar>
          </w:tcPr>
          <w:p>
            <w:pPr>
              <w:jc w:val="left"/>
            </w:pPr>
            <w:r>
              <w:rPr>
                <w:b w:val="false"/>
                <w:bCs w:val="false"/>
                <w:color w:val="000000"/>
                <w:sz w:val="20"/>
                <w:szCs w:val="20"/>
              </w:rPr>
              <w:t xml:space="preserve">4_Evidence_Based_Fastp_Trimming.sh</w:t>
            </w:r>
          </w:p>
        </w:tc>
        <w:tc>
          <w:tcPr>
            <w:tcW w:type="dxa" w:w="1500"/>
            <w:shd w:fill="F2F2F2" w:val="clear"/>
            <w:tcMar>
              <w:top w:type="dxa" w:w="80"/>
              <w:left w:type="dxa" w:w="120"/>
              <w:bottom w:type="dxa" w:w="80"/>
              <w:right w:type="dxa" w:w="120"/>
            </w:tcMar>
          </w:tcPr>
          <w:p>
            <w:pPr>
              <w:jc w:val="left"/>
            </w:pPr>
            <w:r>
              <w:rPr>
                <w:b w:val="false"/>
                <w:bCs w:val="false"/>
                <w:color w:val="000000"/>
                <w:sz w:val="20"/>
                <w:szCs w:val="20"/>
              </w:rPr>
              <w:t xml:space="preserve">4</w:t>
            </w:r>
          </w:p>
        </w:tc>
        <w:tc>
          <w:tcPr>
            <w:tcW w:type="dxa" w:w="1600"/>
            <w:shd w:fill="F2F2F2" w:val="clear"/>
            <w:tcMar>
              <w:top w:type="dxa" w:w="80"/>
              <w:left w:type="dxa" w:w="120"/>
              <w:bottom w:type="dxa" w:w="80"/>
              <w:right w:type="dxa" w:w="120"/>
            </w:tcMar>
          </w:tcPr>
          <w:p>
            <w:pPr>
              <w:jc w:val="left"/>
            </w:pPr>
            <w:r>
              <w:rPr>
                <w:b w:val="false"/>
                <w:bCs w:val="false"/>
                <w:color w:val="000000"/>
                <w:sz w:val="20"/>
                <w:szCs w:val="20"/>
              </w:rPr>
              <w:t xml:space="preserve">8 GB</w:t>
            </w:r>
          </w:p>
        </w:tc>
        <w:tc>
          <w:tcPr>
            <w:tcW w:type="dxa" w:w="2060"/>
            <w:shd w:fill="F2F2F2" w:val="clear"/>
            <w:tcMar>
              <w:top w:type="dxa" w:w="80"/>
              <w:left w:type="dxa" w:w="120"/>
              <w:bottom w:type="dxa" w:w="80"/>
              <w:right w:type="dxa" w:w="120"/>
            </w:tcMar>
          </w:tcPr>
          <w:p>
            <w:pPr>
              <w:jc w:val="left"/>
            </w:pPr>
            <w:r>
              <w:rPr>
                <w:b w:val="false"/>
                <w:bCs w:val="false"/>
                <w:color w:val="000000"/>
                <w:sz w:val="20"/>
                <w:szCs w:val="20"/>
              </w:rPr>
              <w:t xml:space="preserve">1 h</w:t>
            </w:r>
          </w:p>
        </w:tc>
      </w:tr>
      <w:tr>
        <w:tc>
          <w:tcPr>
            <w:tcW w:type="dxa" w:w="4200"/>
            <w:tcMar>
              <w:top w:type="dxa" w:w="80"/>
              <w:left w:type="dxa" w:w="120"/>
              <w:bottom w:type="dxa" w:w="80"/>
              <w:right w:type="dxa" w:w="120"/>
            </w:tcMar>
          </w:tcPr>
          <w:p>
            <w:pPr>
              <w:jc w:val="left"/>
            </w:pPr>
            <w:r>
              <w:rPr>
                <w:b w:val="false"/>
                <w:bCs w:val="false"/>
                <w:color w:val="000000"/>
                <w:sz w:val="20"/>
                <w:szCs w:val="20"/>
              </w:rPr>
              <w:t xml:space="preserve">5_Paired_End_Integrity_Check.sh</w:t>
            </w:r>
          </w:p>
        </w:tc>
        <w:tc>
          <w:tcPr>
            <w:tcW w:type="dxa" w:w="1500"/>
            <w:tcMar>
              <w:top w:type="dxa" w:w="80"/>
              <w:left w:type="dxa" w:w="120"/>
              <w:bottom w:type="dxa" w:w="80"/>
              <w:right w:type="dxa" w:w="120"/>
            </w:tcMar>
          </w:tcPr>
          <w:p>
            <w:pPr>
              <w:jc w:val="left"/>
            </w:pPr>
            <w:r>
              <w:rPr>
                <w:b w:val="false"/>
                <w:bCs w:val="false"/>
                <w:color w:val="000000"/>
                <w:sz w:val="20"/>
                <w:szCs w:val="20"/>
              </w:rPr>
              <w:t xml:space="preserve">2</w:t>
            </w:r>
          </w:p>
        </w:tc>
        <w:tc>
          <w:tcPr>
            <w:tcW w:type="dxa" w:w="1600"/>
            <w:tcMar>
              <w:top w:type="dxa" w:w="80"/>
              <w:left w:type="dxa" w:w="120"/>
              <w:bottom w:type="dxa" w:w="80"/>
              <w:right w:type="dxa" w:w="120"/>
            </w:tcMar>
          </w:tcPr>
          <w:p>
            <w:pPr>
              <w:jc w:val="left"/>
            </w:pPr>
            <w:r>
              <w:rPr>
                <w:b w:val="false"/>
                <w:bCs w:val="false"/>
                <w:color w:val="000000"/>
                <w:sz w:val="20"/>
                <w:szCs w:val="20"/>
              </w:rPr>
              <w:t xml:space="preserve">4 GB</w:t>
            </w:r>
          </w:p>
        </w:tc>
        <w:tc>
          <w:tcPr>
            <w:tcW w:type="dxa" w:w="2060"/>
            <w:tcMar>
              <w:top w:type="dxa" w:w="80"/>
              <w:left w:type="dxa" w:w="120"/>
              <w:bottom w:type="dxa" w:w="80"/>
              <w:right w:type="dxa" w:w="120"/>
            </w:tcMar>
          </w:tcPr>
          <w:p>
            <w:pPr>
              <w:jc w:val="left"/>
            </w:pPr>
            <w:r>
              <w:rPr>
                <w:b w:val="false"/>
                <w:bCs w:val="false"/>
                <w:color w:val="000000"/>
                <w:sz w:val="20"/>
                <w:szCs w:val="20"/>
              </w:rPr>
              <w:t xml:space="preserve">30 min</w:t>
            </w:r>
          </w:p>
        </w:tc>
      </w:tr>
      <w:tr>
        <w:tc>
          <w:tcPr>
            <w:tcW w:type="dxa" w:w="4200"/>
            <w:shd w:fill="F2F2F2" w:val="clear"/>
            <w:tcMar>
              <w:top w:type="dxa" w:w="80"/>
              <w:left w:type="dxa" w:w="120"/>
              <w:bottom w:type="dxa" w:w="80"/>
              <w:right w:type="dxa" w:w="120"/>
            </w:tcMar>
          </w:tcPr>
          <w:p>
            <w:pPr>
              <w:jc w:val="left"/>
            </w:pPr>
            <w:r>
              <w:rPr>
                <w:b w:val="false"/>
                <w:bCs w:val="false"/>
                <w:color w:val="000000"/>
                <w:sz w:val="20"/>
                <w:szCs w:val="20"/>
              </w:rPr>
              <w:t xml:space="preserve">6_STAR_Alignment.sh</w:t>
            </w:r>
          </w:p>
        </w:tc>
        <w:tc>
          <w:tcPr>
            <w:tcW w:type="dxa" w:w="1500"/>
            <w:shd w:fill="F2F2F2" w:val="clear"/>
            <w:tcMar>
              <w:top w:type="dxa" w:w="80"/>
              <w:left w:type="dxa" w:w="120"/>
              <w:bottom w:type="dxa" w:w="80"/>
              <w:right w:type="dxa" w:w="120"/>
            </w:tcMar>
          </w:tcPr>
          <w:p>
            <w:pPr>
              <w:jc w:val="left"/>
            </w:pPr>
            <w:r>
              <w:rPr>
                <w:b w:val="false"/>
                <w:bCs w:val="false"/>
                <w:color w:val="000000"/>
                <w:sz w:val="20"/>
                <w:szCs w:val="20"/>
              </w:rPr>
              <w:t xml:space="preserve">8</w:t>
            </w:r>
          </w:p>
        </w:tc>
        <w:tc>
          <w:tcPr>
            <w:tcW w:type="dxa" w:w="1600"/>
            <w:shd w:fill="F2F2F2" w:val="clear"/>
            <w:tcMar>
              <w:top w:type="dxa" w:w="80"/>
              <w:left w:type="dxa" w:w="120"/>
              <w:bottom w:type="dxa" w:w="80"/>
              <w:right w:type="dxa" w:w="120"/>
            </w:tcMar>
          </w:tcPr>
          <w:p>
            <w:pPr>
              <w:jc w:val="left"/>
            </w:pPr>
            <w:r>
              <w:rPr>
                <w:b w:val="false"/>
                <w:bCs w:val="false"/>
                <w:color w:val="000000"/>
                <w:sz w:val="20"/>
                <w:szCs w:val="20"/>
              </w:rPr>
              <w:t xml:space="preserve">36 GB</w:t>
            </w:r>
          </w:p>
        </w:tc>
        <w:tc>
          <w:tcPr>
            <w:tcW w:type="dxa" w:w="2060"/>
            <w:shd w:fill="F2F2F2" w:val="clear"/>
            <w:tcMar>
              <w:top w:type="dxa" w:w="80"/>
              <w:left w:type="dxa" w:w="120"/>
              <w:bottom w:type="dxa" w:w="80"/>
              <w:right w:type="dxa" w:w="120"/>
            </w:tcMar>
          </w:tcPr>
          <w:p>
            <w:pPr>
              <w:jc w:val="left"/>
            </w:pPr>
            <w:r>
              <w:rPr>
                <w:b w:val="false"/>
                <w:bCs w:val="false"/>
                <w:color w:val="000000"/>
                <w:sz w:val="20"/>
                <w:szCs w:val="20"/>
              </w:rPr>
              <w:t xml:space="preserve">2 h</w:t>
            </w:r>
          </w:p>
        </w:tc>
      </w:tr>
      <w:tr>
        <w:tc>
          <w:tcPr>
            <w:tcW w:type="dxa" w:w="4200"/>
            <w:tcMar>
              <w:top w:type="dxa" w:w="80"/>
              <w:left w:type="dxa" w:w="120"/>
              <w:bottom w:type="dxa" w:w="80"/>
              <w:right w:type="dxa" w:w="120"/>
            </w:tcMar>
          </w:tcPr>
          <w:p>
            <w:pPr>
              <w:jc w:val="left"/>
            </w:pPr>
            <w:r>
              <w:rPr>
                <w:b w:val="false"/>
                <w:bCs w:val="false"/>
                <w:color w:val="000000"/>
                <w:sz w:val="20"/>
                <w:szCs w:val="20"/>
              </w:rPr>
              <w:t xml:space="preserve">7_Quantification_Rsubread.sh</w:t>
            </w:r>
          </w:p>
        </w:tc>
        <w:tc>
          <w:tcPr>
            <w:tcW w:type="dxa" w:w="1500"/>
            <w:tcMar>
              <w:top w:type="dxa" w:w="80"/>
              <w:left w:type="dxa" w:w="120"/>
              <w:bottom w:type="dxa" w:w="80"/>
              <w:right w:type="dxa" w:w="120"/>
            </w:tcMar>
          </w:tcPr>
          <w:p>
            <w:pPr>
              <w:jc w:val="left"/>
            </w:pPr>
            <w:r>
              <w:rPr>
                <w:b w:val="false"/>
                <w:bCs w:val="false"/>
                <w:color w:val="000000"/>
                <w:sz w:val="20"/>
                <w:szCs w:val="20"/>
              </w:rPr>
              <w:t xml:space="preserve">4</w:t>
            </w:r>
          </w:p>
        </w:tc>
        <w:tc>
          <w:tcPr>
            <w:tcW w:type="dxa" w:w="1600"/>
            <w:tcMar>
              <w:top w:type="dxa" w:w="80"/>
              <w:left w:type="dxa" w:w="120"/>
              <w:bottom w:type="dxa" w:w="80"/>
              <w:right w:type="dxa" w:w="120"/>
            </w:tcMar>
          </w:tcPr>
          <w:p>
            <w:pPr>
              <w:jc w:val="left"/>
            </w:pPr>
            <w:r>
              <w:rPr>
                <w:b w:val="false"/>
                <w:bCs w:val="false"/>
                <w:color w:val="000000"/>
                <w:sz w:val="20"/>
                <w:szCs w:val="20"/>
              </w:rPr>
              <w:t xml:space="preserve">16 GB</w:t>
            </w:r>
          </w:p>
        </w:tc>
        <w:tc>
          <w:tcPr>
            <w:tcW w:type="dxa" w:w="2060"/>
            <w:tcMar>
              <w:top w:type="dxa" w:w="80"/>
              <w:left w:type="dxa" w:w="120"/>
              <w:bottom w:type="dxa" w:w="80"/>
              <w:right w:type="dxa" w:w="120"/>
            </w:tcMar>
          </w:tcPr>
          <w:p>
            <w:pPr>
              <w:jc w:val="left"/>
            </w:pPr>
            <w:r>
              <w:rPr>
                <w:b w:val="false"/>
                <w:bCs w:val="false"/>
                <w:color w:val="000000"/>
                <w:sz w:val="20"/>
                <w:szCs w:val="20"/>
              </w:rPr>
              <w:t xml:space="preserve">1 h</w:t>
            </w:r>
          </w:p>
        </w:tc>
      </w:tr>
      <w:tr>
        <w:tc>
          <w:tcPr>
            <w:tcW w:type="dxa" w:w="4200"/>
            <w:shd w:fill="F2F2F2" w:val="clear"/>
            <w:tcMar>
              <w:top w:type="dxa" w:w="80"/>
              <w:left w:type="dxa" w:w="120"/>
              <w:bottom w:type="dxa" w:w="80"/>
              <w:right w:type="dxa" w:w="120"/>
            </w:tcMar>
          </w:tcPr>
          <w:p>
            <w:pPr>
              <w:jc w:val="left"/>
            </w:pPr>
            <w:r>
              <w:rPr>
                <w:b w:val="false"/>
                <w:bCs w:val="false"/>
                <w:color w:val="000000"/>
                <w:sz w:val="20"/>
                <w:szCs w:val="20"/>
              </w:rPr>
              <w:t xml:space="preserve">8_Automated_Pipeline_AllSamples.sh</w:t>
            </w:r>
          </w:p>
        </w:tc>
        <w:tc>
          <w:tcPr>
            <w:tcW w:type="dxa" w:w="1500"/>
            <w:shd w:fill="F2F2F2" w:val="clear"/>
            <w:tcMar>
              <w:top w:type="dxa" w:w="80"/>
              <w:left w:type="dxa" w:w="120"/>
              <w:bottom w:type="dxa" w:w="80"/>
              <w:right w:type="dxa" w:w="120"/>
            </w:tcMar>
          </w:tcPr>
          <w:p>
            <w:pPr>
              <w:jc w:val="left"/>
            </w:pPr>
            <w:r>
              <w:rPr>
                <w:b w:val="false"/>
                <w:bCs w:val="false"/>
                <w:color w:val="000000"/>
                <w:sz w:val="20"/>
                <w:szCs w:val="20"/>
              </w:rPr>
              <w:t xml:space="preserve">8</w:t>
            </w:r>
          </w:p>
        </w:tc>
        <w:tc>
          <w:tcPr>
            <w:tcW w:type="dxa" w:w="1600"/>
            <w:shd w:fill="F2F2F2" w:val="clear"/>
            <w:tcMar>
              <w:top w:type="dxa" w:w="80"/>
              <w:left w:type="dxa" w:w="120"/>
              <w:bottom w:type="dxa" w:w="80"/>
              <w:right w:type="dxa" w:w="120"/>
            </w:tcMar>
          </w:tcPr>
          <w:p>
            <w:pPr>
              <w:jc w:val="left"/>
            </w:pPr>
            <w:r>
              <w:rPr>
                <w:b w:val="false"/>
                <w:bCs w:val="false"/>
                <w:color w:val="000000"/>
                <w:sz w:val="20"/>
                <w:szCs w:val="20"/>
              </w:rPr>
              <w:t xml:space="preserve">36 GB</w:t>
            </w:r>
          </w:p>
        </w:tc>
        <w:tc>
          <w:tcPr>
            <w:tcW w:type="dxa" w:w="2060"/>
            <w:shd w:fill="F2F2F2" w:val="clear"/>
            <w:tcMar>
              <w:top w:type="dxa" w:w="80"/>
              <w:left w:type="dxa" w:w="120"/>
              <w:bottom w:type="dxa" w:w="80"/>
              <w:right w:type="dxa" w:w="120"/>
            </w:tcMar>
          </w:tcPr>
          <w:p>
            <w:pPr>
              <w:jc w:val="left"/>
            </w:pPr>
            <w:r>
              <w:rPr>
                <w:b w:val="false"/>
                <w:bCs w:val="false"/>
                <w:color w:val="000000"/>
                <w:sz w:val="20"/>
                <w:szCs w:val="20"/>
              </w:rPr>
              <w:t xml:space="preserve">12 h</w:t>
            </w:r>
          </w:p>
        </w:tc>
      </w:tr>
      <w:tr>
        <w:tc>
          <w:tcPr>
            <w:tcW w:type="dxa" w:w="4200"/>
            <w:tcMar>
              <w:top w:type="dxa" w:w="80"/>
              <w:left w:type="dxa" w:w="120"/>
              <w:bottom w:type="dxa" w:w="80"/>
              <w:right w:type="dxa" w:w="120"/>
            </w:tcMar>
          </w:tcPr>
          <w:p>
            <w:pPr>
              <w:jc w:val="left"/>
            </w:pPr>
            <w:r>
              <w:rPr>
                <w:b w:val="false"/>
                <w:bCs w:val="false"/>
                <w:color w:val="000000"/>
                <w:sz w:val="20"/>
                <w:szCs w:val="20"/>
              </w:rPr>
              <w:t xml:space="preserve">9_QC_Report_Generator.sh</w:t>
            </w:r>
          </w:p>
        </w:tc>
        <w:tc>
          <w:tcPr>
            <w:tcW w:type="dxa" w:w="1500"/>
            <w:tcMar>
              <w:top w:type="dxa" w:w="80"/>
              <w:left w:type="dxa" w:w="120"/>
              <w:bottom w:type="dxa" w:w="80"/>
              <w:right w:type="dxa" w:w="120"/>
            </w:tcMar>
          </w:tcPr>
          <w:p>
            <w:pPr>
              <w:jc w:val="left"/>
            </w:pPr>
            <w:r>
              <w:rPr>
                <w:b w:val="false"/>
                <w:bCs w:val="false"/>
                <w:color w:val="000000"/>
                <w:sz w:val="20"/>
                <w:szCs w:val="20"/>
              </w:rPr>
              <w:t xml:space="preserve">1 (local)</w:t>
            </w:r>
          </w:p>
        </w:tc>
        <w:tc>
          <w:tcPr>
            <w:tcW w:type="dxa" w:w="1600"/>
            <w:tcMar>
              <w:top w:type="dxa" w:w="80"/>
              <w:left w:type="dxa" w:w="120"/>
              <w:bottom w:type="dxa" w:w="80"/>
              <w:right w:type="dxa" w:w="120"/>
            </w:tcMar>
          </w:tcPr>
          <w:p>
            <w:pPr>
              <w:jc w:val="left"/>
            </w:pPr>
            <w:r>
              <w:rPr>
                <w:b w:val="false"/>
                <w:bCs w:val="false"/>
                <w:color w:val="000000"/>
                <w:sz w:val="20"/>
                <w:szCs w:val="20"/>
              </w:rPr>
              <w:t xml:space="preserve">4 GB</w:t>
            </w:r>
          </w:p>
        </w:tc>
        <w:tc>
          <w:tcPr>
            <w:tcW w:type="dxa" w:w="2060"/>
            <w:tcMar>
              <w:top w:type="dxa" w:w="80"/>
              <w:left w:type="dxa" w:w="120"/>
              <w:bottom w:type="dxa" w:w="80"/>
              <w:right w:type="dxa" w:w="120"/>
            </w:tcMar>
          </w:tcPr>
          <w:p>
            <w:pPr>
              <w:jc w:val="left"/>
            </w:pPr>
            <w:r>
              <w:rPr>
                <w:b w:val="false"/>
                <w:bCs w:val="false"/>
                <w:color w:val="000000"/>
                <w:sz w:val="20"/>
                <w:szCs w:val="20"/>
              </w:rPr>
              <w:t xml:space="preserve">10 min</w:t>
            </w:r>
          </w:p>
        </w:tc>
      </w:tr>
    </w:tbl>
    <w:p>
      <w:pPr>
        <w:pStyle w:val="Heading1"/>
        <w:pBdr>
          <w:bottom w:val="single" w:color="2E74B5" w:sz="8" w:space="4"/>
        </w:pBdr>
        <w:spacing w:after="200" w:before="480"/>
      </w:pPr>
      <w:r>
        <w:t xml:space="preserve">Appendix B — Full Command Reference</w:t>
      </w:r>
    </w:p>
    <w:p>
      <w:pPr>
        <w:pBdr>
          <w:top w:val="single" w:color="1E1E1E" w:sz="4"/>
          <w:bottom w:val="single" w:color="1E1E1E" w:sz="4"/>
          <w:left w:val="single" w:color="1E1E1E" w:sz="4"/>
          <w:right w:val="single" w:color="1E1E1E" w:sz="4"/>
        </w:pBdr>
        <w:shd w:fill="1E1E1E" w:val="clear"/>
        <w:spacing w:after="200" w:before="80"/>
      </w:pPr>
      <w:r>
        <w:rPr>
          <w:rFonts w:ascii="Consolas" w:cs="Consolas" w:eastAsia="Consolas" w:hAnsi="Consolas"/>
          <w:color w:val="D4D4D4"/>
          <w:sz w:val="19"/>
          <w:szCs w:val="19"/>
        </w:rPr>
        <w:t xml:space="preserve"># Modular walkthrough (single sample, run in order, wait between jobs)</w:t>
      </w:r>
      <w:r>
        <w:rPr>
          <w:rFonts w:ascii="Consolas" w:cs="Consolas" w:eastAsia="Consolas" w:hAnsi="Consolas"/>
          <w:color w:val="D4D4D4"/>
          <w:sz w:val="19"/>
          <w:szCs w:val="19"/>
        </w:rPr>
        <w:br/>
        <w:t xml:space="preserve">sbatch 1_Fetch_And_Verify_Raw_Reads.sh</w:t>
      </w:r>
      <w:r>
        <w:rPr>
          <w:rFonts w:ascii="Consolas" w:cs="Consolas" w:eastAsia="Consolas" w:hAnsi="Consolas"/>
          <w:color w:val="D4D4D4"/>
          <w:sz w:val="19"/>
          <w:szCs w:val="19"/>
        </w:rPr>
        <w:br/>
        <w:t xml:space="preserve">sbatch 2_Interpret_FastQC_Diagnostics.sh</w:t>
      </w:r>
      <w:r>
        <w:rPr>
          <w:rFonts w:ascii="Consolas" w:cs="Consolas" w:eastAsia="Consolas" w:hAnsi="Consolas"/>
          <w:color w:val="D4D4D4"/>
          <w:sz w:val="19"/>
          <w:szCs w:val="19"/>
        </w:rPr>
        <w:br/>
        <w:t xml:space="preserve">sbatch 3_Batch_MultiQC_Summary.sh</w:t>
      </w:r>
      <w:r>
        <w:rPr>
          <w:rFonts w:ascii="Consolas" w:cs="Consolas" w:eastAsia="Consolas" w:hAnsi="Consolas"/>
          <w:color w:val="D4D4D4"/>
          <w:sz w:val="19"/>
          <w:szCs w:val="19"/>
        </w:rPr>
        <w:br/>
        <w:t xml:space="preserve">sbatch 4_Evidence_Based_Fastp_Trimming.sh</w:t>
      </w:r>
      <w:r>
        <w:rPr>
          <w:rFonts w:ascii="Consolas" w:cs="Consolas" w:eastAsia="Consolas" w:hAnsi="Consolas"/>
          <w:color w:val="D4D4D4"/>
          <w:sz w:val="19"/>
          <w:szCs w:val="19"/>
        </w:rPr>
        <w:br/>
        <w:t xml:space="preserve">sbatch 5_Paired_End_Integrity_Check.sh</w:t>
      </w:r>
      <w:r>
        <w:rPr>
          <w:rFonts w:ascii="Consolas" w:cs="Consolas" w:eastAsia="Consolas" w:hAnsi="Consolas"/>
          <w:color w:val="D4D4D4"/>
          <w:sz w:val="19"/>
          <w:szCs w:val="19"/>
        </w:rPr>
        <w:br/>
        <w:t xml:space="preserve">sbatch 6_STAR_Alignment.sh</w:t>
      </w:r>
      <w:r>
        <w:rPr>
          <w:rFonts w:ascii="Consolas" w:cs="Consolas" w:eastAsia="Consolas" w:hAnsi="Consolas"/>
          <w:color w:val="D4D4D4"/>
          <w:sz w:val="19"/>
          <w:szCs w:val="19"/>
        </w:rPr>
        <w:br/>
        <w:t xml:space="preserve">sbatch 7_Quantification_Rsubread.sh</w:t>
      </w:r>
      <w:r>
        <w:rPr>
          <w:rFonts w:ascii="Consolas" w:cs="Consolas" w:eastAsia="Consolas" w:hAnsi="Consolas"/>
          <w:color w:val="D4D4D4"/>
          <w:sz w:val="19"/>
          <w:szCs w:val="19"/>
        </w:rPr>
        <w:br/>
        <w:t xml:space="preserve">bash   9_QC_Report_Generator.sh</w:t>
      </w:r>
      <w:r>
        <w:rPr>
          <w:rFonts w:ascii="Consolas" w:cs="Consolas" w:eastAsia="Consolas" w:hAnsi="Consolas"/>
          <w:color w:val="D4D4D4"/>
          <w:sz w:val="19"/>
          <w:szCs w:val="19"/>
        </w:rPr>
        <w:br/>
        <w:t xml:space="preserve"> </w:t>
      </w:r>
      <w:r>
        <w:rPr>
          <w:rFonts w:ascii="Consolas" w:cs="Consolas" w:eastAsia="Consolas" w:hAnsi="Consolas"/>
          <w:color w:val="D4D4D4"/>
          <w:sz w:val="19"/>
          <w:szCs w:val="19"/>
        </w:rPr>
        <w:br/>
        <w:t xml:space="preserve"># Automated cohort (all 4 samples) — only after Script 6 has built the shared index once</w:t>
      </w:r>
      <w:r>
        <w:rPr>
          <w:rFonts w:ascii="Consolas" w:cs="Consolas" w:eastAsia="Consolas" w:hAnsi="Consolas"/>
          <w:color w:val="D4D4D4"/>
          <w:sz w:val="19"/>
          <w:szCs w:val="19"/>
        </w:rPr>
        <w:br/>
        <w:t xml:space="preserve">sbatch 8_Automated_Pipeline_AllSamples.sh</w:t>
      </w:r>
    </w:p>
    <w:p>
      <w:pPr>
        <w:pStyle w:val="Heading1"/>
        <w:pBdr>
          <w:bottom w:val="single" w:color="2E74B5" w:sz="8" w:space="4"/>
        </w:pBdr>
        <w:spacing w:after="200" w:before="480"/>
      </w:pPr>
      <w:r>
        <w:t xml:space="preserve">Appendix C — Version Evolution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shd w:fill="1F3864" w:val="clear"/>
            <w:tcMar>
              <w:top w:type="dxa" w:w="80"/>
              <w:left w:type="dxa" w:w="120"/>
              <w:bottom w:type="dxa" w:w="80"/>
              <w:right w:type="dxa" w:w="120"/>
            </w:tcMar>
          </w:tcPr>
          <w:p>
            <w:pPr>
              <w:jc w:val="left"/>
            </w:pPr>
            <w:r>
              <w:rPr>
                <w:b/>
                <w:bCs/>
                <w:color w:val="FFFFFF"/>
                <w:sz w:val="20"/>
                <w:szCs w:val="20"/>
              </w:rPr>
              <w:t xml:space="preserve">Version</w:t>
            </w:r>
          </w:p>
        </w:tc>
        <w:tc>
          <w:tcPr>
            <w:tcW w:type="dxa" w:w="7960"/>
            <w:shd w:fill="1F3864" w:val="clear"/>
            <w:tcMar>
              <w:top w:type="dxa" w:w="80"/>
              <w:left w:type="dxa" w:w="120"/>
              <w:bottom w:type="dxa" w:w="80"/>
              <w:right w:type="dxa" w:w="120"/>
            </w:tcMar>
          </w:tcPr>
          <w:p>
            <w:pPr>
              <w:jc w:val="left"/>
            </w:pPr>
            <w:r>
              <w:rPr>
                <w:b/>
                <w:bCs/>
                <w:color w:val="FFFFFF"/>
                <w:sz w:val="20"/>
                <w:szCs w:val="20"/>
              </w:rPr>
              <w:t xml:space="preserve">Change</w:t>
            </w:r>
          </w:p>
        </w:tc>
      </w:tr>
      <w:tr>
        <w:tc>
          <w:tcPr>
            <w:tcW w:type="dxa" w:w="1400"/>
            <w:tcMar>
              <w:top w:type="dxa" w:w="80"/>
              <w:left w:type="dxa" w:w="120"/>
              <w:bottom w:type="dxa" w:w="80"/>
              <w:right w:type="dxa" w:w="120"/>
            </w:tcMar>
          </w:tcPr>
          <w:p>
            <w:pPr>
              <w:jc w:val="left"/>
            </w:pPr>
            <w:r>
              <w:rPr>
                <w:b w:val="false"/>
                <w:bCs w:val="false"/>
                <w:color w:val="000000"/>
                <w:sz w:val="20"/>
                <w:szCs w:val="20"/>
              </w:rPr>
              <w:t xml:space="preserve">v1</w:t>
            </w:r>
          </w:p>
        </w:tc>
        <w:tc>
          <w:tcPr>
            <w:tcW w:type="dxa" w:w="7960"/>
            <w:tcMar>
              <w:top w:type="dxa" w:w="80"/>
              <w:left w:type="dxa" w:w="120"/>
              <w:bottom w:type="dxa" w:w="80"/>
              <w:right w:type="dxa" w:w="120"/>
            </w:tcMar>
          </w:tcPr>
          <w:p>
            <w:pPr>
              <w:jc w:val="left"/>
            </w:pPr>
            <w:r>
              <w:rPr>
                <w:b w:val="false"/>
                <w:bCs w:val="false"/>
                <w:color w:val="000000"/>
                <w:sz w:val="20"/>
                <w:szCs w:val="20"/>
              </w:rPr>
              <w:t xml:space="preserve">Initial draft; failed due to || → LaTeX copy-paste corruption.</w:t>
            </w:r>
          </w:p>
        </w:tc>
      </w:tr>
      <w:tr>
        <w:tc>
          <w:tcPr>
            <w:tcW w:type="dxa" w:w="1400"/>
            <w:shd w:fill="F2F2F2" w:val="clear"/>
            <w:tcMar>
              <w:top w:type="dxa" w:w="80"/>
              <w:left w:type="dxa" w:w="120"/>
              <w:bottom w:type="dxa" w:w="80"/>
              <w:right w:type="dxa" w:w="120"/>
            </w:tcMar>
          </w:tcPr>
          <w:p>
            <w:pPr>
              <w:jc w:val="left"/>
            </w:pPr>
            <w:r>
              <w:rPr>
                <w:b w:val="false"/>
                <w:bCs w:val="false"/>
                <w:color w:val="000000"/>
                <w:sz w:val="20"/>
                <w:szCs w:val="20"/>
              </w:rPr>
              <w:t xml:space="preserve">v2</w:t>
            </w:r>
          </w:p>
        </w:tc>
        <w:tc>
          <w:tcPr>
            <w:tcW w:type="dxa" w:w="7960"/>
            <w:shd w:fill="F2F2F2" w:val="clear"/>
            <w:tcMar>
              <w:top w:type="dxa" w:w="80"/>
              <w:left w:type="dxa" w:w="120"/>
              <w:bottom w:type="dxa" w:w="80"/>
              <w:right w:type="dxa" w:w="120"/>
            </w:tcMar>
          </w:tcPr>
          <w:p>
            <w:pPr>
              <w:jc w:val="left"/>
            </w:pPr>
            <w:r>
              <w:rPr>
                <w:b w:val="false"/>
                <w:bCs w:val="false"/>
                <w:color w:val="000000"/>
                <w:sz w:val="20"/>
                <w:szCs w:val="20"/>
              </w:rPr>
              <w:t xml:space="preserve">Attempted inline sed cleanup of the syntax corruption.</w:t>
            </w:r>
          </w:p>
        </w:tc>
      </w:tr>
      <w:tr>
        <w:tc>
          <w:tcPr>
            <w:tcW w:type="dxa" w:w="1400"/>
            <w:tcMar>
              <w:top w:type="dxa" w:w="80"/>
              <w:left w:type="dxa" w:w="120"/>
              <w:bottom w:type="dxa" w:w="80"/>
              <w:right w:type="dxa" w:w="120"/>
            </w:tcMar>
          </w:tcPr>
          <w:p>
            <w:pPr>
              <w:jc w:val="left"/>
            </w:pPr>
            <w:r>
              <w:rPr>
                <w:b w:val="false"/>
                <w:bCs w:val="false"/>
                <w:color w:val="000000"/>
                <w:sz w:val="20"/>
                <w:szCs w:val="20"/>
              </w:rPr>
              <w:t xml:space="preserve">v3</w:t>
            </w:r>
          </w:p>
        </w:tc>
        <w:tc>
          <w:tcPr>
            <w:tcW w:type="dxa" w:w="7960"/>
            <w:tcMar>
              <w:top w:type="dxa" w:w="80"/>
              <w:left w:type="dxa" w:w="120"/>
              <w:bottom w:type="dxa" w:w="80"/>
              <w:right w:type="dxa" w:w="120"/>
            </w:tcMar>
          </w:tcPr>
          <w:p>
            <w:pPr>
              <w:jc w:val="left"/>
            </w:pPr>
            <w:r>
              <w:rPr>
                <w:b w:val="false"/>
                <w:bCs w:val="false"/>
                <w:color w:val="000000"/>
                <w:sz w:val="20"/>
                <w:szCs w:val="20"/>
              </w:rPr>
              <w:t xml:space="preserve">Cleaned bracket logic; still vulnerable to the same web-formatting artifact.</w:t>
            </w:r>
          </w:p>
        </w:tc>
      </w:tr>
      <w:tr>
        <w:tc>
          <w:tcPr>
            <w:tcW w:type="dxa" w:w="1400"/>
            <w:shd w:fill="F2F2F2" w:val="clear"/>
            <w:tcMar>
              <w:top w:type="dxa" w:w="80"/>
              <w:left w:type="dxa" w:w="120"/>
              <w:bottom w:type="dxa" w:w="80"/>
              <w:right w:type="dxa" w:w="120"/>
            </w:tcMar>
          </w:tcPr>
          <w:p>
            <w:pPr>
              <w:jc w:val="left"/>
            </w:pPr>
            <w:r>
              <w:rPr>
                <w:b w:val="false"/>
                <w:bCs w:val="false"/>
                <w:color w:val="000000"/>
                <w:sz w:val="20"/>
                <w:szCs w:val="20"/>
              </w:rPr>
              <w:t xml:space="preserve">v4</w:t>
            </w:r>
          </w:p>
        </w:tc>
        <w:tc>
          <w:tcPr>
            <w:tcW w:type="dxa" w:w="7960"/>
            <w:shd w:fill="F2F2F2" w:val="clear"/>
            <w:tcMar>
              <w:top w:type="dxa" w:w="80"/>
              <w:left w:type="dxa" w:w="120"/>
              <w:bottom w:type="dxa" w:w="80"/>
              <w:right w:type="dxa" w:w="120"/>
            </w:tcMar>
          </w:tcPr>
          <w:p>
            <w:pPr>
              <w:jc w:val="left"/>
            </w:pPr>
            <w:r>
              <w:rPr>
                <w:b w:val="false"/>
                <w:bCs w:val="false"/>
                <w:color w:val="000000"/>
                <w:sz w:val="20"/>
                <w:szCs w:val="20"/>
              </w:rPr>
              <w:t xml:space="preserve">Fully eliminated || operators — permanent fix for the syntax corruption.</w:t>
            </w:r>
          </w:p>
        </w:tc>
      </w:tr>
      <w:tr>
        <w:tc>
          <w:tcPr>
            <w:tcW w:type="dxa" w:w="1400"/>
            <w:tcMar>
              <w:top w:type="dxa" w:w="80"/>
              <w:left w:type="dxa" w:w="120"/>
              <w:bottom w:type="dxa" w:w="80"/>
              <w:right w:type="dxa" w:w="120"/>
            </w:tcMar>
          </w:tcPr>
          <w:p>
            <w:pPr>
              <w:jc w:val="left"/>
            </w:pPr>
            <w:r>
              <w:rPr>
                <w:b w:val="false"/>
                <w:bCs w:val="false"/>
                <w:color w:val="000000"/>
                <w:sz w:val="20"/>
                <w:szCs w:val="20"/>
              </w:rPr>
              <w:t xml:space="preserve">v5</w:t>
            </w:r>
          </w:p>
        </w:tc>
        <w:tc>
          <w:tcPr>
            <w:tcW w:type="dxa" w:w="7960"/>
            <w:tcMar>
              <w:top w:type="dxa" w:w="80"/>
              <w:left w:type="dxa" w:w="120"/>
              <w:bottom w:type="dxa" w:w="80"/>
              <w:right w:type="dxa" w:w="120"/>
            </w:tcMar>
          </w:tcPr>
          <w:p>
            <w:pPr>
              <w:jc w:val="left"/>
            </w:pPr>
            <w:r>
              <w:rPr>
                <w:b w:val="false"/>
                <w:bCs w:val="false"/>
                <w:color w:val="000000"/>
                <w:sz w:val="20"/>
                <w:szCs w:val="20"/>
              </w:rPr>
              <w:t xml:space="preserve">Introduced just-in-time module purge / module load to resolve GCC toolchain clashes.</w:t>
            </w:r>
          </w:p>
        </w:tc>
      </w:tr>
      <w:tr>
        <w:tc>
          <w:tcPr>
            <w:tcW w:type="dxa" w:w="1400"/>
            <w:shd w:fill="F2F2F2" w:val="clear"/>
            <w:tcMar>
              <w:top w:type="dxa" w:w="80"/>
              <w:left w:type="dxa" w:w="120"/>
              <w:bottom w:type="dxa" w:w="80"/>
              <w:right w:type="dxa" w:w="120"/>
            </w:tcMar>
          </w:tcPr>
          <w:p>
            <w:pPr>
              <w:jc w:val="left"/>
            </w:pPr>
            <w:r>
              <w:rPr>
                <w:b w:val="false"/>
                <w:bCs w:val="false"/>
                <w:color w:val="000000"/>
                <w:sz w:val="20"/>
                <w:szCs w:val="20"/>
              </w:rPr>
              <w:t xml:space="preserve">v6</w:t>
            </w:r>
          </w:p>
        </w:tc>
        <w:tc>
          <w:tcPr>
            <w:tcW w:type="dxa" w:w="7960"/>
            <w:shd w:fill="F2F2F2" w:val="clear"/>
            <w:tcMar>
              <w:top w:type="dxa" w:w="80"/>
              <w:left w:type="dxa" w:w="120"/>
              <w:bottom w:type="dxa" w:w="80"/>
              <w:right w:type="dxa" w:w="120"/>
            </w:tcMar>
          </w:tcPr>
          <w:p>
            <w:pPr>
              <w:jc w:val="left"/>
            </w:pPr>
            <w:r>
              <w:rPr>
                <w:b w:val="false"/>
                <w:bCs w:val="false"/>
                <w:color w:val="000000"/>
                <w:sz w:val="20"/>
                <w:szCs w:val="20"/>
              </w:rPr>
              <w:t xml:space="preserve">Resolved the vdb-validate | grep -q SIGPIPE trap; wrapped per-sample execution in a subshell + if.</w:t>
            </w:r>
          </w:p>
        </w:tc>
      </w:tr>
      <w:tr>
        <w:tc>
          <w:tcPr>
            <w:tcW w:type="dxa" w:w="1400"/>
            <w:tcMar>
              <w:top w:type="dxa" w:w="80"/>
              <w:left w:type="dxa" w:w="120"/>
              <w:bottom w:type="dxa" w:w="80"/>
              <w:right w:type="dxa" w:w="120"/>
            </w:tcMar>
          </w:tcPr>
          <w:p>
            <w:pPr>
              <w:jc w:val="left"/>
            </w:pPr>
            <w:r>
              <w:rPr>
                <w:b w:val="false"/>
                <w:bCs w:val="false"/>
                <w:color w:val="000000"/>
                <w:sz w:val="20"/>
                <w:szCs w:val="20"/>
              </w:rPr>
              <w:t xml:space="preserve">v7–v8</w:t>
            </w:r>
          </w:p>
        </w:tc>
        <w:tc>
          <w:tcPr>
            <w:tcW w:type="dxa" w:w="7960"/>
            <w:tcMar>
              <w:top w:type="dxa" w:w="80"/>
              <w:left w:type="dxa" w:w="120"/>
              <w:bottom w:type="dxa" w:w="80"/>
              <w:right w:type="dxa" w:w="120"/>
            </w:tcMar>
          </w:tcPr>
          <w:p>
            <w:pPr>
              <w:jc w:val="left"/>
            </w:pPr>
            <w:r>
              <w:rPr>
                <w:b w:val="false"/>
                <w:bCs w:val="false"/>
                <w:color w:val="000000"/>
                <w:sz w:val="20"/>
                <w:szCs w:val="20"/>
              </w:rPr>
              <w:t xml:space="preserve">Diagnosed and fixed SRR1039513 read desynchronization (--split-files → --split-3); resolved module capitalization issues.</w:t>
            </w:r>
          </w:p>
        </w:tc>
      </w:tr>
      <w:tr>
        <w:tc>
          <w:tcPr>
            <w:tcW w:type="dxa" w:w="1400"/>
            <w:shd w:fill="F2F2F2" w:val="clear"/>
            <w:tcMar>
              <w:top w:type="dxa" w:w="80"/>
              <w:left w:type="dxa" w:w="120"/>
              <w:bottom w:type="dxa" w:w="80"/>
              <w:right w:type="dxa" w:w="120"/>
            </w:tcMar>
          </w:tcPr>
          <w:p>
            <w:pPr>
              <w:jc w:val="left"/>
            </w:pPr>
            <w:r>
              <w:rPr>
                <w:b w:val="false"/>
                <w:bCs w:val="false"/>
                <w:color w:val="000000"/>
                <w:sz w:val="20"/>
                <w:szCs w:val="20"/>
              </w:rPr>
              <w:t xml:space="preserve">v9</w:t>
            </w:r>
          </w:p>
        </w:tc>
        <w:tc>
          <w:tcPr>
            <w:tcW w:type="dxa" w:w="7960"/>
            <w:shd w:fill="F2F2F2" w:val="clear"/>
            <w:tcMar>
              <w:top w:type="dxa" w:w="80"/>
              <w:left w:type="dxa" w:w="120"/>
              <w:bottom w:type="dxa" w:w="80"/>
              <w:right w:type="dxa" w:w="120"/>
            </w:tcMar>
          </w:tcPr>
          <w:p>
            <w:pPr>
              <w:jc w:val="left"/>
            </w:pPr>
            <w:r>
              <w:rPr>
                <w:b w:val="false"/>
                <w:bCs w:val="false"/>
                <w:color w:val="000000"/>
                <w:sz w:val="20"/>
                <w:szCs w:val="20"/>
              </w:rPr>
              <w:t xml:space="preserve">Resolved STAR std::bad_alloc via dedicated 36 GB compute-node allocation; validated fixes cascaded into scripts 1–9.</w:t>
            </w:r>
          </w:p>
        </w:tc>
      </w:tr>
    </w:tbl>
    <w:p>
      <w:pPr>
        <w:pStyle w:val="Heading1"/>
        <w:pBdr>
          <w:bottom w:val="single" w:color="2E74B5" w:sz="8" w:space="4"/>
        </w:pBdr>
        <w:spacing w:after="200" w:before="480"/>
      </w:pPr>
      <w:r>
        <w:t xml:space="preserve">Citation</w:t>
      </w:r>
    </w:p>
    <w:p>
      <w:pPr>
        <w:spacing w:after="160" w:line="276"/>
      </w:pPr>
      <w:r>
        <w:t xml:space="preserve">Himes BE, Jiang X, Wagner P, Hu R, Wang Q, Klanderman B, et al. (2014) RNA-Seq Transcriptome Profiling Identifies CRISPLD2 as a Glucocorticoid Responsive Gene that Modulates Cytokine Function in Airway Smooth Muscle Cells. PLoS ONE 9(6): e99625. https://doi.org/10.1371/journal.pone.0099625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PRJNA229998 Airway Pipeline —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bullet"/>
      <w:lvlText w:val="•"/>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2026-09-04T15:04:18.057Z</dcterms:created>
  <dcterms:modified xsi:type="dcterms:W3CDTF">2026-09-04T15:04:18.058Z</dcterms:modified>
</cp:coreProperties>
</file>

<file path=docProps/custom.xml><?xml version="1.0" encoding="utf-8"?>
<Properties xmlns="http://schemas.openxmlformats.org/officeDocument/2006/custom-properties" xmlns:vt="http://schemas.openxmlformats.org/officeDocument/2006/docPropsVTypes"/>
</file>