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Model Development (Group Member 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Chosen Model: Random Forest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Justification: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Handles both numerical and categorical data well.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Offers feature importance for interpretability.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Splits: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Training: 70%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Validation: 15%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Test: 15%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Number of trees (n_estimators): Impacts model accuracy.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Maximum depth (max_depth): Controls overfitting.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Evaluation &amp; Deployment (Group Member 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Evaluation Metrics: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Precision: Critical when false positives (unnecessary intervention) are costly.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Recall: Important to minimize false negatives (missed dropouts).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Concept Drift: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 performance degrades as student behaviors change over time.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Monitoring Strategy: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Periodic re-evaluation and retraining using recent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Deployment Challenge: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Scalability—model must process large volumes of student data across platforms.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Development (Group Member 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 Chosen: Logistic Regression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Justification: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Interpretable and commonly used in healthcare for risk prediction.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Confusion Matrix (Hypothetical):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Predicted: No Readmission</w:t>
        <w:tab/>
        <w:t xml:space="preserve">Predicted: Readmission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Actual: No</w:t>
        <w:tab/>
        <w:t xml:space="preserve">720</w:t>
        <w:tab/>
        <w:t xml:space="preserve">80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Actual: Yes</w:t>
        <w:tab/>
        <w:t xml:space="preserve">50</w:t>
        <w:tab/>
        <w:t xml:space="preserve">150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Precision: 150 / (150 + 80) = 0.652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Recall: 150 / (150 + 50) = 0.75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