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Arial" w:hAnsi="Arial" w:cs="Arial"/>
          <w:b/>
          <w:color w:val="0B2545"/>
          <w:sz w:val="56"/>
        </w:rPr>
        <w:t>كراسة شاشات المجموعة الثالثة</w:t>
      </w:r>
    </w:p>
    <w:p>
      <w:pPr>
        <w:jc w:val="center"/>
      </w:pPr>
      <w:r>
        <w:rPr>
          <w:rFonts w:ascii="Arial" w:hAnsi="Arial" w:cs="Arial"/>
          <w:color w:val="2E74B5"/>
          <w:sz w:val="34"/>
        </w:rPr>
        <w:t>الأمن والإدارة — TransportERP</w:t>
      </w:r>
    </w:p>
    <w:p>
      <w:pPr>
        <w:spacing w:before="500"/>
        <w:jc w:val="center"/>
      </w:pPr>
      <w:r>
        <w:rPr>
          <w:rFonts w:ascii="Arial" w:hAnsi="Arial" w:cs="Arial"/>
          <w:color w:val="64748B"/>
          <w:sz w:val="22"/>
        </w:rPr>
        <w:t>إصدار تصميم للمراجعة · 18 شاشة · العربية RTL · سطح المكتب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حدود الاعتماد والتوجيه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0"/>
          <w:sz w:val="21"/>
        </w:rPr>
        <w:t>هذه الكراسة مخرج قابل للدمج في الكراسة الموحدة، وليست إذنًا لتنفيذ برمجي. تطبق كل شاشة نظام التصميم 1.11 وقرارات الأمن والصلاحيات المعتمدة.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نطاق المجموعة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18 شاشة للأمن والإدارة، منها شاشتان مكملتان: تفويض الصلاحيات ونطاقات الوصول للبيانات.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السياق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شريط الجلسة C001 وشريط الحالة C013 يظهران في الهيكل الرئيسي فقط ولا يتكرران داخل الشاشة.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الأوامر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شريط الأدوات C003 من اليمين: جديد، حفظ، تعديل، إيقاف، حذف، طباعة. الإغلاق عبر تبويب النافذة C015 فقط.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النمط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 للبيانات والقوائم، P003 للاستعلامات، P004 للإعدادات متعددة التبويبات.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الخصوصية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تعرض كلمات المرور، مفاتيح API السرية، عناوين الشبكة الكاملة، أو أسرار الاسترداد؛ تستخدم القيم المقنّعة وحق الوصول الصريح.</w:t>
            </w:r>
          </w:p>
        </w:tc>
      </w:tr>
    </w:tbl>
    <w:p>
      <w:pPr>
        <w:spacing w:after="60"/>
      </w:pP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مصفوفة الشاشات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6FB2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الرمز</w:t>
            </w:r>
          </w:p>
        </w:tc>
        <w:tc>
          <w:tcPr>
            <w:tcW w:type="dxa" w:w="2556"/>
            <w:vAlign w:val="center"/>
            <w:shd w:fill="1F6FB2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الشاشة</w:t>
            </w:r>
          </w:p>
        </w:tc>
        <w:tc>
          <w:tcPr>
            <w:tcW w:type="dxa" w:w="2556"/>
            <w:vAlign w:val="center"/>
            <w:shd w:fill="1F6FB2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النمط</w:t>
            </w:r>
          </w:p>
        </w:tc>
        <w:tc>
          <w:tcPr>
            <w:tcW w:type="dxa" w:w="2556"/>
            <w:vAlign w:val="center"/>
            <w:shd w:fill="1F6FB2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المخرج البصري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المستخدمون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SEC-001_المستخدمون.svg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الأدوار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SEC-002_الأدوار.svg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الصلاحيات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SEC-003_الصلاحيات.svg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سياسات الأمان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SEC-004_سياسات الأمان.svg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الأجهزة الموثوقة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SEC-005_الأجهزة الموثوقة.svg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الجلسات النشطة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SEC-006_الجلسات النشطة.svg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سجل التدقيق العام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SEC-007_سجل التدقيق العام.svg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SEC-008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الإشعارات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SEC-008_الإشعارات.svg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SEC-009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قوالب الإشعارات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SEC-009_قوالب الإشعارات.svg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كلمات المرور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SEC-010_إدارة كلمات المرور.svg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مفاتيح API والتكامل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SEC-011_مفاتيح API والتكامل.svg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سجلات تسجيل الدخول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SEC-012_سجلات تسجيل الدخول.svg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المصادقة الثنائية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SEC-013_المصادقة الثنائية.svg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إعدادات الأمان العامة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SEC-014_إعدادات الأمان العامة.svg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محاولات الدخول الفاشلة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SEC-015_محاولات الدخول الفاشلة.svg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الوحدات التنظيمية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SEC-016_الوحدات التنظيمية.svg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تفويض الصلاحيات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SEC-017_تفويض الصلاحيات.svg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SEC-018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نطاقات الوصول للبيانات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SEC-018_نطاقات الوصول للبيانات.svg</w:t>
            </w:r>
          </w:p>
        </w:tc>
      </w:tr>
    </w:tbl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SEC-001 — المستخدمون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حسابات المستخدمين وربطها بالهوية والنطاقات والأدوار.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المستخدمين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المستخدم*، الاسم العربي*، الاسم الإنجليزي، اسم الدخول*، البريد الإلكتروني، الجوال،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الحساب، الأدوار، نطاق الوصول، الأمان،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الحالة، الشركة/الفرع المسموح، الدور، تاريخ الإنشاء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اسم المستخدم، الحالة، الدور، الشركة، الفرع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المستخدمون: اسم الدخول، الاسم العربي، الأدوار، الحالة، آخر دخول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تصاميم_المجموعة_الثالثة/SEC-001_المستخدمون.svg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SEC-002 — الأدوار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تعريف أدوار العمل وتجميع صلاحياتها دون منح مباشر غير موثق.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الأدوار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الدور*، الاسم العربي*، الاسم الإنجليزي، الوصف،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صلاحيات الشاشات، نطاق البيانات، المستخدمون،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الحالة، نوع الدور، شركة/فرع عند التخصيص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الدور، الاسم، الحالة، نوع الدور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الأدوار: الكود، الاسم العربي، الحالة، عدد المستخدمين، آخر تعديل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تصاميم_المجموعة_الثالثة/SEC-002_الأدوار.svg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SEC-003 — 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تحديد صلاحيات الوصول والإجراءات والحقول لكل دور ضمن نطاق واضح.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الصلاحيات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الدور*، الوحدة*، الشاشة*، مستوى الوصول*، نطاق البيانات،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الوصول، الإجراءات، الحقول، القيود،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الدور، الوحدة، الشاشة، الشركة/الفرع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الدور، الوحدة، الشاشة، الإجراء،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صلاحيات الشاشات: الدور، الشاشة، القراءة، الإنشاء، التعديل، الحذف، التصدير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تصاميم_المجموعة_الثالثة/SEC-003_الصلاحيات.svg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SEC-004 — سياسات الأمان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تعريف السياسات المؤسسة لتسجيل الدخول وكلمات المرور والجلسات.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سياسات الأمان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السياسة*، الاسم*، النوع*، الأولوية*، الحالة*، الوصف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شروط التطبيق، الاستثناءات،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النوع، الحالة، الأولوية، نطاق التطبيق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الكود، الاسم، النوع، الأولوية،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سياسات الأمان: الكود، الاسم، النوع، الأولوية، الحالة، آخر تعديل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تصاميم_المجموعة_الثالثة/SEC-004_سياسات الأمان.svg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SEC-005 — الأجهزة الموثوقة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مراجعة واعتماد أو إلغاء ثقة الأجهزة المرتبطة بحسابات المستخدمين.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الأجهزة الموثوقة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المستخدم*، اسم الجهاز*، المعرف المقنّع، نظام التشغيل، آخر استخدام،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الحالة، تاريخ آخر استخدام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الجهاز، الحالة، تاريخ الربط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الأجهزة الموثوقة: المستخدم، الجهاز، النظام، آخر استخدام،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تصاميم_المجموعة_الثالثة/SEC-005_الأجهزة الموثوقة.svg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SEC-006 — الجلسات النشطة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مراقبة الجلسات القائمة وإنهاؤها بصلاحية وتدقيق.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مراقبة الجلسات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الجهاز، عنوان الشبكة المقنّع، وقت البدء، آخر نشاط،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الحالة، وقت البدء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الجهاز، الحالة، التاريخ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الجلسات النشطة: المستخدم، الجهاز، بدء الجلسة، آخر نشاط،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تصاميم_المجموعة_الثالثة/SEC-006_الجلسات النشطة.svg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SEC-007 — سجل التدقيق العام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استعلام محمي عن آثار العمليات الحساسة دون السماح بتعديلها.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عرض سجل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من تاريخ*، إلى تاريخ*، الوحدة، العملية، المستخدم، الشركة/الفرع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التاريخ، المستخدم، الوحدة، العملية، الشركة/الفرع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العملية، الكيان، رقم السجل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سجل التدقيق: الوقت، المستخدم، العملية، الكيان، النطاق، النتيجة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تصاميم_المجموعة_الثالثة/SEC-007_سجل التدقيق العام.svg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SEC-008 — الإشعارات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عرض مركز الإشعارات وتشغيل إجراءات المتابعة دون كشف بيانات غير مصرح بها.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P001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عرض الإشعارات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النوع، الأولوية، العنوان، حالة القراءة، تاريخ الإرسال، رابط السجل عند التصريح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النوع، الأولوية، القراءة، الفترة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العنوان، النوع، الأولوية، حالة القراءة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الإشعارات: العنوان، النوع، الأولوية، وقت الإرسال، حالة القراءة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تصاميم_المجموعة_الثالثة/SEC-008_الإشعارات.svg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SEC-009 — قوالب الإشعارات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القوالب العربية والإنجليزية وقنوات الإرسال المسموح بها.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قوالب الإشعارات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القالب*، الاسم العربي*، الاسم الإنجليزي، القناة*، الحالة*، الوصف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المحتوى العربي، المحتوى الإنجليزي، المتغيرات، قنوات الإرسال،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القناة، الحالة، نوع الحدث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الكود، الاسم، القناة،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قوالب الإشعارات: الكود، الاسم العربي، القناة، الحدث،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تصاميم_المجموعة_الثالثة/SEC-009_قوالب الإشعارات.svg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SEC-010 — إدارة كلمات المرور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إعادة التعيين والسياسات دون عرض كلمة المرور أو أي قيمة قابلة للاستخدام.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كلمات المرور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المستخدم*، سبب الإجراء*، يجب التغيير عند الدخول، قناة التحقق، حالة الطلب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إعادة التعيين، سياسة كلمة المرور، سجل العمليات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الحالة، التاريخ، السبب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نوع الإجراء، الحالة، تاريخ الإنشاء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طلبات كلمات المرور: المستخدم، الإجراء، القناة، الحالة، التاريخ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تصاميم_المجموعة_الثالثة/SEC-010_إدارة كلمات المرور.svg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SEC-011 — مفاتيح API والتكامل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إصدار وإدارة تعريفات التكامل مع عرض المفتاح السري مرة واحدة فقط عند الإنشاء.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التكامل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اسم التكامل*، المالك*، البيئة*، نطاقات الوصول*، تاريخ الانتهاء،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نطاقات API، مفتاح سري، سجل الاستخدام،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البيئة، الحالة، المالك، تاريخ الانتهاء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الاسم، البيئة، المالك، الحالة، الانتهاء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مفاتيح API: اسم التكامل، البيئة، المالك، النطاقات، الانتهاء،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تصاميم_المجموعة_الثالثة/SEC-011_مفاتيح API والتكامل.svg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SEC-012 — سجلات تسجيل الدخول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استعلام للقراءة فقط عن محاولات الدخول ونتائجها مع إخفاء الشبكة الحساسة.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عرض سجلات الدخول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من تاريخ*، إلى تاريخ*، المستخدم، النتيجة، الجهاز، عنوان الشبكة المقنّع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الفترة، المستخدم، النتيجة، الجهاز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النتيجة، التاريخ، الجهاز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سجلات تسجيل الدخول: الوقت، المستخدم، النتيجة، الجهاز، عنوان الشبكة المقنّع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تصاميم_المجموعة_الثالثة/SEC-012_سجلات تسجيل الدخول.svg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SEC-013 — المصادقة الثنائية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ضبط عوامل التحقق المسموح بها ومراجعة تسجيل العوامل وإبطالها.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المصادقة الثنائية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المستخدم*، العامل*، حالة التسجيل، تاريخ التسجيل، آخر تحقق،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عوامل التحقق، سياسات الإلزام، أجهزة الاسترداد،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العامل، الحالة، الفترة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العامل، الحالة، تاريخ التسجيل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المصادقة الثنائية: المستخدم، العامل، التسجيل، آخر تحقق،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تصاميم_المجموعة_الثالثة/SEC-013_المصادقة الثنائية.svg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SEC-014 — إعدادات الأمان العامة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إعداد القيم العامة للأمان على مستوى المؤسسة دون تكرارها داخل الشاشات.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إعدادات الأمان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الحد الأقصى للجلسة*، مهلة الخمول*، سياسة الجهاز، الإشعار الأمني،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الجلسات، الدخول، الأجهزة، التنبيهات،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الحالة، بيئة التشغيل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الاسم، القسم، القيمة الفعالة،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إعدادات الأمان: القسم، الإعداد، القيمة الفعالة، الحالة، آخر تعديل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تصاميم_المجموعة_الثالثة/SEC-014_إعدادات الأمان العامة.svg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SEC-015 — محاولات الدخول الفاشلة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متابعة المحاولات الفاشلة ومعالجة القفل دون كشف تفاصيل تسهّل الهجوم.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P003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عرض المحاولات الفاشلة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من تاريخ*، إلى تاريخ*، المستخدم، سبب عام، حالة القفل، الجهاز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لا توجد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الفترة، المستخدم، حالة القفل، الجهاز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المستخدم، التاريخ، حالة القفل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محاولات الدخول الفاشلة: الوقت، المستخدم، السبب العام، الجهاز، حالة القفل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تصاميم_المجموعة_الثالثة/SEC-015_محاولات الدخول الفاشلة.svg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SEC-016 — الوحدات التنظيمية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تعريف الهيكل التنظيمي وربطه بالأدوار ومسار الموافقات ضمن نطاق المؤسسة.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الوحدات التنظيمية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كود الوحدة*، الاسم العربي*، الاسم الإنجليزي، الوحدة الأم، المدير،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الهيكل، المسؤولون، نطاق البيانات،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الحالة، الوحدة الأم، المدير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الكود، الاسم، الوحدة الأم،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الوحدات التنظيمية: الكود، الاسم العربي، الوحدة الأم، المدير،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تصاميم_المجموعة_الثالثة/SEC-016_الوحدات التنظيمية.svg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SEC-017 — تفويض 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تفويض محدود المدة وقابل للإلغاء للصلاحيات المسموح بها، مع أثر تدقيقي كامل.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تفويض الصلاحيات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المفوِّض*، المفوَّض إليه*، الدور/الصلاحية*، من تاريخ*، إلى تاريخ*، السبب*،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الصلاحيات المفوضة، القيود،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الحالة، الفترة، المفوِّض، المفوَّض إليه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المفوِّض، المفوَّض إليه، الحالة، الفترة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تفويض الصلاحيات: المفوِّض، المفوَّض إليه، الصلاحية، البداية، النهاية،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تصاميم_المجموعة_الثالثة/SEC-017_تفويض الصلاحيات.svg</w:t>
      </w:r>
    </w:p>
    <w:p>
      <w:r>
        <w:br w:type="page"/>
      </w:r>
    </w:p>
    <w:p>
      <w:pPr>
        <w:spacing w:before="200" w:after="80"/>
        <w:jc w:val="right"/>
      </w:pPr>
      <w:r>
        <w:rPr>
          <w:rFonts w:ascii="Arial" w:hAnsi="Arial" w:cs="Arial"/>
          <w:b/>
          <w:color w:val="2E74B5"/>
          <w:sz w:val="32"/>
        </w:rPr>
        <w:t>SEC-018 — نطاقات الوصول للبيانات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الغرض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تحديد نطاق البيانات المسموح به للأدوار والمستخدمين في الشركات والفروع والوحدات.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نمط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P004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الصلاحية المطلوبة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إدارة نطاقات الوصول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الحاويات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C002 ← C003 ← C004 عند الحاجة ← C005/C006 ← C007 ← C008 ← C010 ← C011 ← C012 عند الحاجة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اتجاه العرض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RTL كامل؛ تبدأ التبويبات من اليمين؛ الحقول ذات النجمة إلزامية بخلفية أصفر خفيف.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بطاقة الحقول والتبويبات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2F0"/>
          <w:left w:val="single" w:sz="4" w:color="D7E2F0"/>
          <w:bottom w:val="single" w:sz="4" w:color="D7E2F0"/>
          <w:right w:val="single" w:sz="4" w:color="D7E2F0"/>
          <w:insideH w:val="single" w:sz="4" w:color="D7E2F0"/>
          <w:insideV w:val="single" w:sz="4" w:color="D7E2F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الحقول بالترتيب العربي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نوع الارتباط*، الدور/المستخدم*، الشركة*، الفرع، الوحدة التنظيمية، صلاحية القراءة، الحالة*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التبويبات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البيانات الرئيسية، نطاق الشركات، نطاق الفروع، الاستثناءات، التدقيق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النطاق الوظيفي C006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نوع الارتباط، الشركة، الفرع،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البحث والتصفية C007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الدور/المستخدم، الشركة، الفرع، الوحدة،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قائمة السجلات C008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نطاقات الوصول: الارتباط، الشركة، الفرع، الوحدة، قراءة، تعديل، الحالة</w:t>
            </w:r>
          </w:p>
        </w:tc>
      </w:tr>
      <w:tr>
        <w:tc>
          <w:tcPr>
            <w:tcW w:type="dxa" w:w="2880"/>
            <w:vAlign w:val="center"/>
            <w:shd w:fill="E8EEF5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/>
                <w:color w:val="0B2545"/>
                <w:sz w:val="18"/>
              </w:rPr>
              <w:t>أسفل الشاشة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/>
            <w:r>
              <w:rPr>
                <w:rFonts w:ascii="Arial" w:hAnsi="Arial" w:cs="Arial"/>
                <w:b w:val="0"/>
                <w:color w:val="0B2545"/>
                <w:sz w:val="18"/>
              </w:rPr>
              <w:t>C010 تنقل الصفحات تحت الجدول؛ C011 بيانات الإنشاء/التعديل للقراءة فقط؛ C012 عدادات اختيارية لا تعيق العمل.</w:t>
            </w:r>
          </w:p>
        </w:tc>
      </w:tr>
    </w:tbl>
    <w:p>
      <w:pPr>
        <w:spacing w:after="60"/>
      </w:pP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الحالات وضوابط الأمان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تحميل: مؤشر واضح مع تعطيل الإجراء الذي يتطلب بيانات مكتملة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فارغة: رسالة عربية مفيدة وإتاحة «جديد» لمن يملك الإنشاء.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تحقق: تمييز الحقل ورسالة مرتبطة به، مع الاحتفاظ بالإدخال.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منع: رسالة عامة «الإجراء غير متاح» بلا كشف دور أو قاعدة داخلية.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حساس: تأكيد صريح وسجل تدقيق للحذف/الإيقاف/إنهاء جلسة/إبطال عامل أو مفتاح.</w:t>
      </w:r>
    </w:p>
    <w:p>
      <w:pPr>
        <w:spacing w:before="120" w:after="80"/>
        <w:jc w:val="right"/>
      </w:pPr>
      <w:r>
        <w:rPr>
          <w:rFonts w:ascii="Arial" w:hAnsi="Arial" w:cs="Arial"/>
          <w:b/>
          <w:color w:val="1F4D78"/>
          <w:sz w:val="24"/>
        </w:rPr>
        <w:t>معايير القبول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تظهر الأوامر والحقول وفق الدور والنطاق وحالة السجل، ويعيد الخادم التحقق في كل طلب.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البحث والتصفية فوق جدول النتائج والتنقل تحته؛ لا يختلط جدول السجل مع نموذج الإدخال.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يتكرر سياق الشركة والفرع والسنة والمستخدم داخل الشاشة إلا عند اختياره كنطاق وظيفي.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تظل بيانات الإنشاء والتعديل وإعدادات الشاشة أسفل الشاشة وبوضع قراءة فقط.</w:t>
      </w:r>
    </w:p>
    <w:p>
      <w:pPr>
        <w:pStyle w:val="ListBullet"/>
        <w:spacing w:after="40" w:line="276" w:lineRule="auto"/>
        <w:jc w:val="right"/>
      </w:pPr>
      <w:r>
        <w:rPr>
          <w:rFonts w:ascii="Arial" w:hAnsi="Arial" w:cs="Arial"/>
          <w:sz w:val="20"/>
        </w:rPr>
        <w:t>لا يمكن إظهار أو تصدير البيانات الحساسة أو الأسرار المقنّعة بلا صلاحية صريحة.</w:t>
      </w:r>
    </w:p>
    <w:p>
      <w:pPr>
        <w:spacing w:after="80" w:line="276" w:lineRule="auto"/>
        <w:jc w:val="right"/>
      </w:pPr>
      <w:r>
        <w:rPr>
          <w:rFonts w:ascii="Arial" w:hAnsi="Arial" w:cs="Arial"/>
          <w:b/>
          <w:sz w:val="21"/>
        </w:rPr>
        <w:t>التصميم المنفصل للمراجعة: تصاميم_المجموعة_الثالثة/SEC-018_نطاقات الوصول للبيانات.svg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