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Style w:val="Title"/>
        <w:bidi/>
      </w:pPr>
      <w:r>
        <w:t>Logical Data Model — TransportERP V1.1</w:t>
      </w:r>
    </w:p>
    <w:p>
      <w:pPr>
        <w:jc w:val="center"/>
        <w:bidi/>
      </w:pPr>
      <w:r>
        <w:rPr>
          <w:b/>
        </w:rPr>
        <w:t>W1 — Logical Data Model + DB Constraint Architecture</w:t>
      </w:r>
    </w:p>
    <w:p>
      <w:pPr>
        <w:jc w:val="center"/>
        <w:bidi/>
      </w:pPr>
      <w:r>
        <w:rPr>
          <w:b/>
        </w:rPr>
        <w:t>النطاق: GEN-003 → GEN-015 وACC-035 → ACC-078 (57 شاشة). Vehicle Types خارج W1 ومملوكة لـFleet Setup.</w:t>
      </w:r>
    </w:p>
    <w:p>
      <w:pPr>
        <w:pStyle w:val="Heading1"/>
        <w:jc w:val="right"/>
        <w:bidi/>
      </w:pPr>
      <w:r>
        <w:t>1. المنهج الحاكم</w:t>
      </w:r>
    </w:p>
    <w:p>
      <w:pPr>
        <w:pStyle w:val="ListBullet"/>
        <w:jc w:val="right"/>
        <w:bidi/>
      </w:pPr>
      <w:r>
        <w:t>Business Rules → Domain Model → Logical Data Model → Constraints → API/Use Cases → Physical Schema → UI.</w:t>
      </w:r>
    </w:p>
    <w:p>
      <w:pPr>
        <w:pStyle w:val="ListBullet"/>
        <w:jc w:val="right"/>
        <w:bidi/>
      </w:pPr>
      <w:r>
        <w:t>لا Table لكل Form ولا Column لكل حقل UI تلقائيًا.</w:t>
      </w:r>
    </w:p>
    <w:p>
      <w:pPr>
        <w:pStyle w:val="ListBullet"/>
        <w:jc w:val="right"/>
        <w:bidi/>
      </w:pPr>
      <w:r>
        <w:t>JournalEntry + JournalLine هما المصدر المحاسبي للحركات المرحلة.</w:t>
      </w:r>
    </w:p>
    <w:p>
      <w:pPr>
        <w:pStyle w:val="ListBullet"/>
        <w:jc w:val="right"/>
        <w:bidi/>
      </w:pPr>
      <w:r>
        <w:t>لا DDL/SQL/Migrations/API/Forms في W1.</w:t>
      </w:r>
    </w:p>
    <w:p>
      <w:pPr>
        <w:pStyle w:val="ListBullet"/>
        <w:jc w:val="right"/>
        <w:bidi/>
      </w:pPr>
      <w:r>
        <w:t>أي قرار جديد في W1 موسوم W1 Decision؛ النقاط غير المحسومة تسجل OTS.</w:t>
      </w:r>
    </w:p>
    <w:p>
      <w:pPr>
        <w:pStyle w:val="Heading1"/>
        <w:jc w:val="right"/>
        <w:bidi/>
      </w:pPr>
      <w:r>
        <w:t>2. القرارات الكبرى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Decision</w:t>
            </w:r>
          </w:p>
        </w:tc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W1 Result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PK Strategy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UUIDv7 logical IDs؛ physical representation OTS-W1-002.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Concurrency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Version integer logical token؛ numbering/finalize/allocation تستخدم atomic special handling.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Customer/Supplier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Entities مستقلة؛ لا Party supertype في V1.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Subledger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OpenItem + PaymentAllocation؛ لا Ledger عميل/مورد موازٍ.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Voucher Model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Hybrid concrete source documents + Common logical contract + AccountingPostingLink.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Numbering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NumberSequence + NumberReservation؛ لا NumberAssignment منفصل.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Exchange Rate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Pair-based From/To Currency، Company-owned؛ Company.BaseCurrency is accounting default target.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Approval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ApprovalRequest + ApprovalAction reusable.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Audit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BusinessAuditEvent append-only منفصل عن operational logging.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Reports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4"/>
              </w:rPr>
              <w:t>Read Models/Projections؛ لا report tables.</w:t>
            </w:r>
          </w:p>
        </w:tc>
      </w:tr>
    </w:tbl>
    <w:p>
      <w:pPr>
        <w:pStyle w:val="Heading1"/>
        <w:jc w:val="right"/>
        <w:bidi/>
      </w:pPr>
      <w:r>
        <w:t>3. Entity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Entity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العربية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Owner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Aggregate Root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Purpose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Screens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Class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Company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Branch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User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Fiscal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Currency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Effective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Audit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Delete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Concurrency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Immutable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Retention</w:t>
            </w:r>
          </w:p>
        </w:tc>
        <w:tc>
          <w:tcPr>
            <w:tcW w:type="dxa" w:w="573"/>
            <w:shd w:fill="D9EAF7"/>
          </w:tcPr>
          <w:p>
            <w:pPr>
              <w:jc w:val="center"/>
              <w:bidi/>
            </w:pPr>
            <w:r>
              <w:rPr>
                <w:b/>
                <w:sz w:val="11"/>
              </w:rPr>
              <w:t>Status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Country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الدولة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Geography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مرجع الدول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Governorate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المحافظة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Country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محافظة تابعة لدولة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GEN-004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Directorate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المديرية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Country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مديرية تابعة لمحافظة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City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المدينة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Country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مدينة تابعة لمديرية حسب hierarchy النهائي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Area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المنطقة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Country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منطقة تابعة لمدينة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GEN-007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العملة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مرجع عملات مركزي؛ BaseCurrency تخص 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GEN-008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ExchangeRate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سعر الصرف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سعر فعال بين عملتين وسياسة سعر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GEN-009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Historical use read-only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الشركة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كيان قانوني وBaseCurrency config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GEN-010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Self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Branch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الفرع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فرع مملوك لشركة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GEN-011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Self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FiscalYear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السنة المالية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FiscalYear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سنة مالية بحالة lifecycle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GEN-012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Self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 only after open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Open/Closed/Locked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Regulatory/business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FiscalPeriod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الفترة المالية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FiscalYear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فترة مستقلة داخل السنة وposting eligibility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ACC-041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 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Closed/Locked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Regulatory/business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NumberSequence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سلسلة الترقيم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NumberSequence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سياسة ومجال الترقيم الخادمي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 sequence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NumberReservation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حجز رقم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NumberSequence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حجز ذري يحتفظ بالرقم حتى commit/cancel/expire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Atomic state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Committed/Cancelled/Expired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Language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اللغة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Language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مرجع لغات واتجاه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GEN-014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OperationalSettingDefinition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تعريف إعداد التشغيل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OperationalSettingDefinition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كتالوج 24 Property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Immutable/versioned catalog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Catalog 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 definition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OperationalSettingValue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قيمة إعداد التشغيل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General Setup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OperationalSettingDefinition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Override ضمن Scope وفترة فعالية اختيارية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Settings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Conditional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Conditional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Conditional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History/disable override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AccountGroup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مجموعة الحساب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ChartOfAccounts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تصنيف أعلى للحسابات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AccountType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نوع الحساب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ChartOfAccounts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نوع وطبيعة الحساب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Global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الحساب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شجرة حسابات مملوكة للشركة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Applicability relation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Policy-aware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AccountBranchScope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نطاق الحساب على الفروع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تقييد اختياري لاستخدام حساب الشركة على فروع معينة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Branch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Association delete before use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CostCenter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مركز التكلفة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CostCenter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هرمية مركز تكلفة وFK رسمي للحركات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ACC-037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Cashbox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الصندوق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Cashbox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صندوق مرتبط بحساب وBranch/Currency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ACC-038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Branch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الحساب البنكي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حساب بنكي مرتبط بـGL/Currency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ACC-039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PaymentMethod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طريقة الدفع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PaymentMethod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طريقة دفع وربط تسوية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ACC-040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Customer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العميل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Customer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 ذمم مدينة وControl 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ACC-070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Supplier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المورد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Supplier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 ذمم دائنة وControl Account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ACC-071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Master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Disable/Restrict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Long-term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JournalEntry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القيد المحاسبي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JournalEntry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المصدر المحاسبي للحركات المرحلة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ACC-042 + posting sources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only; posted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 while draft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Posted/Reversed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 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JournalLine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سطر القيد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JournalEntry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خط مدين/دائن مع Account/CostCenter/Currency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ACC-042 + reports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 draft child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 by Journal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Parent 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 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AccountingPostingLink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رابط المصدر بالترحيل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JournalEntry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منع Double Posting وربط source بالقيد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All transaction screens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Unique source/purpose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Created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ReceiptVoucher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سند القبض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ReceiptVoucher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مستند مصدر مستقل ويرتبط بالقيد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Posted/Cancelled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سند الصرف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مستند مصدر مستقل ويرتبط بالقيد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ACC-044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Posted/Cancelled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TransferVoucher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سند التحويل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TransferVoucher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مستند تحويل صندوق/بنك مستقل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ACC-045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Posted/Cancelled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CashTransfer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تحويل نقدي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CashTransfer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تحويل بين الصناديق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Branch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BankDeposit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إيداع بنكي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BankDeposit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إيداع صندوق إلى بنك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ACC-064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BankWithdrawal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سحب بنكي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BankWithdrawal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سحب بنك إلى صندوق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DebitNote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إشعار مدين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DebitNote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مستند مدين للعميل مع posting/open item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ACC-077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CreditNote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إشعار دائن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CreditNote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مستند دائن للمورد مع posting/open item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ACC-078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cancel/history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OpeningBalanceBatch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دفعة الأرصدة الافتتاحية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OpeningBalanceBatch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Batch controlled validate/post once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ACC-053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OpeningBalanceLine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سطر رصيد افتتاحي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OpeningBalanceBatch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Account/CostCenter/Currency opening amount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ACC-053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 draft child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 by Batch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Parent 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ClosingRun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تشغيل الإقفال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ClosingRun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تشغيل موثق يولد/يربط قيود الإقفال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ACC-055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Control/Transactional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Completed/Posted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ReversalLink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ربط العكس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ReversalLink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ربط Original/Reversal مع السبب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ACC-056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Unique link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Created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 intent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OpenItem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بند ذمة مفتوح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OpenItem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هوية الرصيد المفتوح لـAging/Allocation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ACC-072..078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History; close not delete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Version+atomic allocation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Closed retained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PaymentAllocation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تخصيص دفعة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PaymentAllocation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ربط مصدر دفع ببند مفتوح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ACC-076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Reverse/history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Atomic/version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Reversed retained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 intent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تسوية بنكية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Header ودورة التسوية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Company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Draft only/history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Version+finalize lock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Finalized unless reopen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BankStatementLine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سطر كشف البنك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سطر كشف مستقل للمطابقة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Owned/import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Finalized 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ReconciliationMatch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مطابقة تسوية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كيان Match مستقل يدعم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Unmatch via state/history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Finalized unless reopen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ReconciliationMatchItem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عنصر مطابقة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طرف في المطابقة ومبلغ مشارك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 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Owned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Finalized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ReconciliationAdjustment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تعديل التسوية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BankReconciliation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فرق/Adjustment مرتبط بقيد عند post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ACC-066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Posted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CashShift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وردية الصندوق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CashShift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جلسة تشغيل لمستخدم وصندوق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ACC-069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Transactional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Branch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Closed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CashShiftClosing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إقفال الوردية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Accounting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CashShift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Expected/Actual/Difference/Reason/Approval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ACC-069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Derived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Approved/Closed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 intent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ApprovalRequest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طلب اعتماد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Shared 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ApprovalRequest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طلب reusable لأي target/action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GEN-012/013; ACC-041/054/057/069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Version/state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Final decision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ApprovalAction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قرار اعتماد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Shared 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ApprovalRequest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تاريخ decisions على الطلب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Approval screens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Audit/Control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Created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Permanent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Attachment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مرفق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Shared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Attachment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Metadata+storage reference عام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Screens with attachments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Reference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Uploader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Disable/history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Version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Defined intent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BusinessAuditEvent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حدث تدقيق أعمال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Shared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BusinessAuditEvent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Audit أعمال منفصل عن logging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All audited screens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Audit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Append-only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Always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Audit retention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Approved intent</w:t>
            </w:r>
          </w:p>
        </w:tc>
      </w:tr>
      <w:tr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IdempotencyRequest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طلب Idempotency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Shared Infrastructure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IdempotencyRequest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حماية replay للعمليات الحساسة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Sensitive commands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Control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Context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User/Client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Optional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No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Yes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Expiry retention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Atomic unique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Completed result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Finite policy</w:t>
            </w:r>
          </w:p>
        </w:tc>
        <w:tc>
          <w:tcPr>
            <w:tcW w:type="dxa" w:w="573"/>
          </w:tcPr>
          <w:p>
            <w:pPr>
              <w:jc w:val="right"/>
              <w:bidi/>
            </w:pPr>
            <w:r>
              <w:rPr>
                <w:sz w:val="11"/>
              </w:rPr>
              <w:t>W1 Decision</w:t>
            </w:r>
          </w:p>
        </w:tc>
      </w:tr>
    </w:tbl>
    <w:p>
      <w:pPr>
        <w:pStyle w:val="Heading1"/>
        <w:jc w:val="right"/>
        <w:bidi/>
      </w:pPr>
      <w:r>
        <w:t>4. Geography</w:t>
      </w:r>
    </w:p>
    <w:p>
      <w:pPr>
        <w:jc w:val="right"/>
        <w:bidi/>
      </w:pPr>
      <w:r>
        <w:rPr>
          <w:b w:val="0"/>
        </w:rPr>
        <w:t>Hierarchy النهائي: Country → Governorate → Directorate → City → Area. كل Child يحمل FK إلى Parent؛ لا Parent يعتمد على Child.</w:t>
      </w:r>
    </w:p>
    <w:p>
      <w:pPr>
        <w:pStyle w:val="Heading1"/>
        <w:jc w:val="right"/>
        <w:bidi/>
      </w:pPr>
      <w:r>
        <w:t>5. Operational Settings</w:t>
      </w:r>
    </w:p>
    <w:p>
      <w:pPr>
        <w:pStyle w:val="ListBullet"/>
        <w:jc w:val="right"/>
        <w:bidi/>
      </w:pPr>
      <w:r>
        <w:t>OperationalSettingDefinition = 24 Property catalog + ValueType + BuiltInDefault + AllowedScopes + NearestOverride.</w:t>
      </w:r>
    </w:p>
    <w:p>
      <w:pPr>
        <w:pStyle w:val="ListBullet"/>
        <w:jc w:val="right"/>
        <w:bidi/>
      </w:pPr>
      <w:r>
        <w:t>OperationalSettingValue = Override typed في ScopeType/ScopeId مع EffectiveFrom/To اختياريين.</w:t>
      </w:r>
    </w:p>
    <w:p>
      <w:pPr>
        <w:pStyle w:val="ListBullet"/>
        <w:jc w:val="right"/>
        <w:bidi/>
      </w:pPr>
      <w:r>
        <w:t>الترتيب User → Branch → Company → System → Built-in Default، مع AllowedScopes.</w:t>
      </w:r>
    </w:p>
    <w:p>
      <w:pPr>
        <w:pStyle w:val="ListBullet"/>
        <w:jc w:val="right"/>
        <w:bidi/>
      </w:pPr>
      <w:r>
        <w:t>لا free Key/Value غير مضبوط.</w:t>
      </w:r>
    </w:p>
    <w:p>
      <w:pPr>
        <w:pStyle w:val="Heading1"/>
        <w:jc w:val="right"/>
        <w:bidi/>
      </w:pPr>
      <w:r>
        <w:t>6. Chart of Accounts / Cost Centers</w:t>
      </w:r>
    </w:p>
    <w:p>
      <w:pPr>
        <w:pStyle w:val="ListBullet"/>
        <w:jc w:val="right"/>
        <w:bidi/>
      </w:pPr>
      <w:r>
        <w:t>Account Company-owned، ParentAccountId self-reference، no-cycle، Code unique per Company، IsPostable.</w:t>
      </w:r>
    </w:p>
    <w:p>
      <w:pPr>
        <w:pStyle w:val="ListBullet"/>
        <w:jc w:val="right"/>
        <w:bidi/>
      </w:pPr>
      <w:r>
        <w:t>Branch applicability عبر AccountBranchScope اختياري بدل نسخ الحساب.</w:t>
      </w:r>
    </w:p>
    <w:p>
      <w:pPr>
        <w:pStyle w:val="ListBullet"/>
        <w:jc w:val="right"/>
        <w:bidi/>
      </w:pPr>
      <w:r>
        <w:t>CostCenter Entity رسمية مع ParentCostCenterId، Company scope، Branch scope اختياري، no-cycle؛ JournalLine يستخدم FK عند الحاجة.</w:t>
      </w:r>
    </w:p>
    <w:p>
      <w:pPr>
        <w:pStyle w:val="Heading1"/>
        <w:jc w:val="right"/>
        <w:bidi/>
      </w:pPr>
      <w:r>
        <w:t>7. Fiscal Model</w:t>
      </w:r>
    </w:p>
    <w:p>
      <w:pPr>
        <w:pStyle w:val="ListBullet"/>
        <w:jc w:val="right"/>
        <w:bidi/>
      </w:pPr>
      <w:r>
        <w:t>FiscalYear منفصل عن FiscalPeriod.</w:t>
      </w:r>
    </w:p>
    <w:p>
      <w:pPr>
        <w:pStyle w:val="ListBullet"/>
        <w:jc w:val="right"/>
        <w:bidi/>
      </w:pPr>
      <w:r>
        <w:t>FiscalPeriod child داخل FiscalYear؛ لا overlap، وتواريخه داخل السنة.</w:t>
      </w:r>
    </w:p>
    <w:p>
      <w:pPr>
        <w:pStyle w:val="ListBullet"/>
        <w:jc w:val="right"/>
        <w:bidi/>
      </w:pPr>
      <w:r>
        <w:t>الحالات Lifecycle Enums؛ posting eligibility تعتمد على Period.Status.</w:t>
      </w:r>
    </w:p>
    <w:p>
      <w:pPr>
        <w:pStyle w:val="Heading1"/>
        <w:jc w:val="right"/>
        <w:bidi/>
      </w:pPr>
      <w:r>
        <w:t>8. Currency Model</w:t>
      </w:r>
    </w:p>
    <w:p>
      <w:pPr>
        <w:pStyle w:val="ListBullet"/>
        <w:jc w:val="right"/>
        <w:bidi/>
      </w:pPr>
      <w:r>
        <w:t>Currency global shared master؛ Company.BaseCurrencyId يحدد العملة الأساسية.</w:t>
      </w:r>
    </w:p>
    <w:p>
      <w:pPr>
        <w:pStyle w:val="ListBullet"/>
        <w:jc w:val="right"/>
        <w:bidi/>
      </w:pPr>
      <w:r>
        <w:t>ExchangeRate Company-owned pair FromCurrency/ToCurrency + RateType + effective interval.</w:t>
      </w:r>
    </w:p>
    <w:p>
      <w:pPr>
        <w:pStyle w:val="ListBullet"/>
        <w:jc w:val="right"/>
        <w:bidi/>
      </w:pPr>
      <w:r>
        <w:t>MinimumRate/MaximumRate editable حسب Permission/Policy/State؛ التاريخ المستخدم في posted transaction read-only snapshot.</w:t>
      </w:r>
    </w:p>
    <w:p>
      <w:pPr>
        <w:pStyle w:val="ListBullet"/>
        <w:jc w:val="right"/>
        <w:bidi/>
      </w:pPr>
      <w:r>
        <w:t>Storage precision منفصلة عن display precision.</w:t>
      </w:r>
    </w:p>
    <w:p>
      <w:pPr>
        <w:pStyle w:val="Heading1"/>
        <w:jc w:val="right"/>
        <w:bidi/>
      </w:pPr>
      <w:r>
        <w:t>9. Numbering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2"/>
              </w:rPr>
              <w:t>Entity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2"/>
              </w:rPr>
              <w:t>Role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2"/>
              </w:rPr>
              <w:t>Invariant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NumberSequence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Policy/scope/NextValue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Server-side؛ no MAX+1؛ unique scope/document type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NumberReservation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Reserved number + state + idempotency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2"/>
              </w:rPr>
              <w:t>Atomic؛ no reuse؛ Reserved→Committed/Cancelled/Expired</w:t>
            </w:r>
          </w:p>
        </w:tc>
      </w:tr>
    </w:tbl>
    <w:p>
      <w:pPr>
        <w:jc w:val="right"/>
        <w:bidi/>
      </w:pPr>
      <w:r>
        <w:rPr>
          <w:b w:val="0"/>
        </w:rPr>
        <w:t>Commit يربط NumberReservation بالمستند ويحتفظ بالسجل؛ لا NumberAssignment منفصل في V1.</w:t>
      </w:r>
    </w:p>
    <w:p>
      <w:pPr>
        <w:pStyle w:val="Heading1"/>
        <w:jc w:val="right"/>
        <w:bidi/>
      </w:pPr>
      <w:r>
        <w:t>10. Accounting Source of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Invariant</w:t>
            </w:r>
          </w:p>
        </w:tc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Source of truth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JournalEntry + JournalLine فقط للحركات المرحلة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Line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Debit XOR Credit لكل line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Entry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Σ Debit = Σ Credit قبل Posting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Period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FiscalPeriod=Open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Account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Active + IsPostable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Immutability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Posted records لا تعدل؛ Reversal/Adjustment فقط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Double posting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AccountingPostingLink unique على SourceType+SourceId+PostingPurpose</w:t>
            </w:r>
          </w:p>
        </w:tc>
      </w:tr>
    </w:tbl>
    <w:p>
      <w:pPr>
        <w:pStyle w:val="Heading1"/>
        <w:jc w:val="right"/>
        <w:bidi/>
      </w:pPr>
      <w:r>
        <w:t>11. Voucher Modeling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Option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Verdict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Generic header only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Rejected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Header واسع/lifecycle مختلف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Independent only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Rejected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تكرار numbering/posting/audit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Hybrid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Approved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6"/>
              </w:rPr>
              <w:t>Concrete entities + shared logical contract + PostingLink</w:t>
            </w:r>
          </w:p>
        </w:tc>
      </w:tr>
    </w:tbl>
    <w:p>
      <w:pPr>
        <w:pStyle w:val="Heading1"/>
        <w:jc w:val="right"/>
        <w:bidi/>
      </w:pPr>
      <w:r>
        <w:t>12. Opening / Closing / Reversal</w:t>
      </w:r>
    </w:p>
    <w:p>
      <w:pPr>
        <w:pStyle w:val="ListBullet"/>
        <w:jc w:val="right"/>
        <w:bidi/>
      </w:pPr>
      <w:r>
        <w:t>OpeningBalanceBatch owns Lines؛ Draft→Validated→Posted؛ posted once.</w:t>
      </w:r>
    </w:p>
    <w:p>
      <w:pPr>
        <w:pStyle w:val="ListBullet"/>
        <w:jc w:val="right"/>
        <w:bidi/>
      </w:pPr>
      <w:r>
        <w:t>ClosingRun يسجل تشغيل الإقفال ويربط JournalEntries الناتجة.</w:t>
      </w:r>
    </w:p>
    <w:p>
      <w:pPr>
        <w:pStyle w:val="ListBullet"/>
        <w:jc w:val="right"/>
        <w:bidi/>
      </w:pPr>
      <w:r>
        <w:t>ReversalLink يربط Original/Reversal؛ الأصل immutable.</w:t>
      </w:r>
    </w:p>
    <w:p>
      <w:pPr>
        <w:pStyle w:val="Heading1"/>
        <w:jc w:val="right"/>
        <w:bidi/>
      </w:pPr>
      <w:r>
        <w:t>13. Subledger / Allocation</w:t>
      </w:r>
    </w:p>
    <w:p>
      <w:pPr>
        <w:pStyle w:val="ListBullet"/>
        <w:jc w:val="right"/>
        <w:bidi/>
      </w:pPr>
      <w:r>
        <w:t>OpenItem ضروري لهوية الذمم المفتوحة اللازمة لـAging/Allocation.</w:t>
      </w:r>
    </w:p>
    <w:p>
      <w:pPr>
        <w:pStyle w:val="ListBullet"/>
        <w:jc w:val="right"/>
        <w:bidi/>
      </w:pPr>
      <w:r>
        <w:t>OpenItem يرتبط Customer XOR Supplier + JournalLine + source + currency + original/allocated + due date.</w:t>
      </w:r>
    </w:p>
    <w:p>
      <w:pPr>
        <w:pStyle w:val="ListBullet"/>
        <w:jc w:val="right"/>
        <w:bidi/>
      </w:pPr>
      <w:r>
        <w:t>PaymentAllocation ذري؛ لا over-allocation؛ unallocation عبر reversal/history.</w:t>
      </w:r>
    </w:p>
    <w:p>
      <w:pPr>
        <w:pStyle w:val="Heading1"/>
        <w:jc w:val="right"/>
        <w:bidi/>
      </w:pPr>
      <w:r>
        <w:t>14. Bank Reconciliation</w:t>
      </w:r>
    </w:p>
    <w:p>
      <w:pPr>
        <w:pStyle w:val="ListBullet"/>
        <w:jc w:val="right"/>
        <w:bidi/>
      </w:pPr>
      <w:r>
        <w:t>BankReconciliation owns StatementLines, Matches, MatchItems, Adjustments.</w:t>
      </w:r>
    </w:p>
    <w:p>
      <w:pPr>
        <w:pStyle w:val="ListBullet"/>
        <w:jc w:val="right"/>
        <w:bidi/>
      </w:pPr>
      <w:r>
        <w:t>Match ليس Boolean؛ ReconciliationMatch + MatchItem يدعمان التاريخ وsplit/multi match.</w:t>
      </w:r>
    </w:p>
    <w:p>
      <w:pPr>
        <w:pStyle w:val="ListBullet"/>
        <w:jc w:val="right"/>
        <w:bidi/>
      </w:pPr>
      <w:r>
        <w:t>Finalize معاملة ذرية؛ Reopen protected.</w:t>
      </w:r>
    </w:p>
    <w:p>
      <w:pPr>
        <w:pStyle w:val="Heading1"/>
        <w:jc w:val="right"/>
        <w:bidi/>
      </w:pPr>
      <w:r>
        <w:t>15. Approval / Audit / Concurrency /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Area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Rule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Approval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ApprovalRequest + ApprovalAction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Reusable target/action + append-only decision history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Audit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BusinessAuditEvent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Append-only؛ Before/After/Reason/User/Scope/Correlation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Concurrency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Version integer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Expected version؛ posted immutable؛ numbering atomic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Idempotency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IdempotencyRequest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create/post/reverse/reserve/finalize protected</w:t>
            </w:r>
          </w:p>
        </w:tc>
      </w:tr>
    </w:tbl>
    <w:p>
      <w:pPr>
        <w:pStyle w:val="Heading1"/>
        <w:jc w:val="right"/>
        <w:bidi/>
      </w:pPr>
      <w:r>
        <w:t>16. PK Strategy</w:t>
      </w:r>
    </w:p>
    <w:p>
      <w:pPr>
        <w:jc w:val="right"/>
        <w:bidi/>
      </w:pPr>
      <w:r>
        <w:rPr>
          <w:b w:val="0"/>
        </w:rPr>
        <w:t>التوصية: UUIDv7 logical identifier. يناسب distributed clients/offline drafts ويفصل technical identity عن business numbering. التمثيل الفيزيائي في MySQL مؤجل لـOTS-W1-002.</w:t>
      </w:r>
    </w:p>
    <w:p>
      <w:pPr>
        <w:pStyle w:val="Heading1"/>
        <w:jc w:val="right"/>
        <w:bidi/>
      </w:pPr>
      <w:r>
        <w:t>17. Precision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Concept</w:t>
            </w:r>
          </w:p>
        </w:tc>
        <w:tc>
          <w:tcPr>
            <w:tcW w:type="dxa" w:w="2176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Type</w:t>
            </w:r>
          </w:p>
        </w:tc>
        <w:tc>
          <w:tcPr>
            <w:tcW w:type="dxa" w:w="2176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2176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Rule</w:t>
            </w:r>
          </w:p>
        </w:tc>
        <w:tc>
          <w:tcPr>
            <w:tcW w:type="dxa" w:w="2176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Close Before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Money Storage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OTS-W1-001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Storage precision مستقلة عن display؛ تغطي base/foreign calculations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Physical Schema/G1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Currency Decimal Places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Per Currency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Defined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0..6 logical; validation/display/rounding by currency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Closed in W1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Exchange Rate Storage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OTS-W1-001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Higher/specialized precision; independent of UI.DISPLAY_DECIMAL_PLACES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Physical Schema/G1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Percentage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OTS-W1-001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Separate precision class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Physical Schema/G1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Quantity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OTS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لا يفرض Money scale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module يحتاج quantity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Tax Percentage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OTS-W1-004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Tax engine غير مغلق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tax-enabled posting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Calculated Balances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Decimal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Defined direction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لا تقل دقة التخزين عن المكونات؛ round after aggregation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قبل Physical Schema</w:t>
            </w:r>
          </w:p>
        </w:tc>
      </w:tr>
      <w:tr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Display Precision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UI Policy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Approved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ليست Storage precision</w:t>
            </w:r>
          </w:p>
        </w:tc>
        <w:tc>
          <w:tcPr>
            <w:tcW w:type="dxa" w:w="2176"/>
          </w:tcPr>
          <w:p>
            <w:pPr>
              <w:jc w:val="right"/>
              <w:bidi/>
            </w:pPr>
            <w:r>
              <w:rPr>
                <w:sz w:val="15"/>
              </w:rPr>
              <w:t>Closed</w:t>
            </w:r>
          </w:p>
        </w:tc>
      </w:tr>
    </w:tbl>
    <w:p>
      <w:pPr>
        <w:pStyle w:val="Heading1"/>
        <w:jc w:val="right"/>
        <w:bidi/>
      </w:pPr>
      <w:r>
        <w:t>18.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Entity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States</w:t>
            </w:r>
          </w:p>
        </w:tc>
        <w:tc>
          <w:tcPr>
            <w:tcW w:type="dxa" w:w="3627"/>
            <w:shd w:fill="D9EAF7"/>
          </w:tcPr>
          <w:p>
            <w:pPr>
              <w:jc w:val="center"/>
              <w:bidi/>
            </w:pPr>
            <w:r>
              <w:rPr>
                <w:b/>
                <w:sz w:val="15"/>
              </w:rPr>
              <w:t>Invariant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JournalEntry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 → Submitted(optional) → Approved(optional) → Posted → Reversed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Posted immutable; reverse creates new JournalEntry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FiscalYear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 → Open → Closed/Locked؛ Reopen controlled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لا Boolean approval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FiscalPeriod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Draft/Open → Closed → Reopened → Closed/Locked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Posting only Open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ApprovalRequest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Pending → Approved | Rejected | Returned | Cancelled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Decision history append-only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NumberReservation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Reserved → Committed | Cancelled | Expired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Never reuse reserved number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BankReconciliation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 → Matching → Finalized → Reopened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Finalize protected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CashShift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Open → Closing → Closed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Closing may require approval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CashShiftClosing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 → PendingApproval → Approved/Rejected → Closed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Variance reason/approval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OpeningBalanceBatch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Draft → Validated → Posted | Rejected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Posted once</w:t>
            </w:r>
          </w:p>
        </w:tc>
      </w:tr>
      <w:tr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PaymentAllocation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Applied → Reversed</w:t>
            </w:r>
          </w:p>
        </w:tc>
        <w:tc>
          <w:tcPr>
            <w:tcW w:type="dxa" w:w="3627"/>
          </w:tcPr>
          <w:p>
            <w:pPr>
              <w:jc w:val="right"/>
              <w:bidi/>
            </w:pPr>
            <w:r>
              <w:rPr>
                <w:sz w:val="15"/>
              </w:rPr>
              <w:t>Unallocation retains history</w:t>
            </w:r>
          </w:p>
        </w:tc>
      </w:tr>
    </w:tbl>
    <w:p>
      <w:pPr>
        <w:pStyle w:val="Heading1"/>
        <w:jc w:val="right"/>
        <w:bidi/>
      </w:pPr>
      <w:r>
        <w:t>19. Open Technical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OTS ID</w:t>
            </w:r>
          </w:p>
        </w:tc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Area</w:t>
            </w:r>
          </w:p>
        </w:tc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Question</w:t>
            </w:r>
          </w:p>
        </w:tc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Options</w:t>
            </w:r>
          </w:p>
        </w:tc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Recommended</w:t>
            </w:r>
          </w:p>
        </w:tc>
        <w:tc>
          <w:tcPr>
            <w:tcW w:type="dxa" w:w="1813"/>
            <w:shd w:fill="D9EAF7"/>
          </w:tcPr>
          <w:p>
            <w:pPr>
              <w:jc w:val="center"/>
              <w:bidi/>
            </w:pPr>
            <w:r>
              <w:rPr>
                <w:b/>
                <w:sz w:val="14"/>
              </w:rPr>
              <w:t>Must Close Before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OTS-W1-001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Precision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ما Storage scale النهائي لـMoney/Rate/Percentage/Tax؟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Multiple scales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إغلاق Precision Matrix قبل Physical Schema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G1/Physical Schema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OTS-W1-002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Physical PK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تمثيل UUIDv7 في MySQL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Binary/String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UUIDv7 منطقي؛ compact binary مرشح لاحقًا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DDL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OTS-W1-003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Exchange Rate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هل يوجد global shared rate provider؟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Company-owned/Global feed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V1 Company-owned؛ provider يغذي دون تغيير ownership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external integration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OTS-W1-004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Tax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Tax engine للإشعارات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No tax engine / explicit model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لا اختراع schema قبل عقد tax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tax posting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OTS-W1-005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Cash Flow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تصنيف التدفقات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Mapping entity / account mapping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يغلق عند قواعد ACC-050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ACC-050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OTS-W1-006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Security User FK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المفاتيح النهائية للمستخدم/الدور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External logical ref / physical FK later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External User ref في W1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Physical FK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OTS-W1-007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Bank Import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قاعدة ExternalLineKey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Bank id / deterministic hash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Adapter-specific dedup key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import API</w:t>
            </w:r>
          </w:p>
        </w:tc>
      </w:tr>
      <w:tr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OTS-W1-008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Offline IDs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هوية draft offline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UUIDv7 client / server only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UUIDv7 technical IDs؛ business numbers server-only</w:t>
            </w:r>
          </w:p>
        </w:tc>
        <w:tc>
          <w:tcPr>
            <w:tcW w:type="dxa" w:w="1813"/>
          </w:tcPr>
          <w:p>
            <w:pPr>
              <w:jc w:val="right"/>
              <w:bidi/>
            </w:pPr>
            <w:r>
              <w:rPr>
                <w:sz w:val="14"/>
              </w:rPr>
              <w:t>قبل offline writes</w:t>
            </w:r>
          </w:p>
        </w:tc>
      </w:tr>
    </w:tbl>
    <w:p>
      <w:pPr>
        <w:pStyle w:val="Heading1"/>
        <w:jc w:val="right"/>
        <w:bidi/>
      </w:pPr>
      <w:r>
        <w:t>20. W1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Check</w:t>
            </w:r>
          </w:p>
        </w:tc>
        <w:tc>
          <w:tcPr>
            <w:tcW w:type="dxa" w:w="5440"/>
            <w:shd w:fill="D9EAF7"/>
          </w:tcPr>
          <w:p>
            <w:pPr>
              <w:jc w:val="center"/>
              <w:bidi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57 screens mapped in traceability workbook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No table per report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JournalEntry/JournalLine source of truth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No unintended ownership cycles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Multi-company/branch classified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Currency/Fiscal/Numbering explicit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Reversal linkage explicit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Allocation prevents over-allocation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Reconciliation uses Match entity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Approval reusable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Audit append-only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Concurrency defined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Idempotency defined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Precision Matrix present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No DDL/Migrations/API/Forms</w:t>
            </w:r>
          </w:p>
        </w:tc>
        <w:tc>
          <w:tcPr>
            <w:tcW w:type="dxa" w:w="5440"/>
          </w:tcPr>
          <w:p>
            <w:pPr>
              <w:jc w:val="right"/>
              <w:bidi/>
            </w:pPr>
            <w:r>
              <w:rPr>
                <w:sz w:val="16"/>
              </w:rPr>
              <w:t>PASS</w:t>
            </w:r>
          </w:p>
        </w:tc>
      </w:tr>
    </w:tbl>
    <w:p>
      <w:pPr>
        <w:jc w:val="right"/>
        <w:bidi/>
      </w:pPr>
      <w:r>
        <w:rPr>
          <w:b/>
        </w:rPr>
        <w:t>W1 Logical Data Model &amp; DB Constraint Matrix = APPROVED / READY FOR W2</w:t>
      </w:r>
    </w:p>
    <w:p>
      <w:pPr>
        <w:pStyle w:val="Heading1"/>
        <w:bidi w:val="1"/>
        <w:jc w:val="right"/>
      </w:pPr>
      <w:r>
        <w:t>ملحق V1.1 — التمثيل الفيزيائي لمعرف UUIDv7</w:t>
      </w:r>
    </w:p>
    <w:p>
      <w:pPr>
        <w:bidi w:val="1"/>
        <w:jc w:val="right"/>
      </w:pPr>
      <w:r>
        <w:t>هذا الملحق يغلق OTS-W1-002 دون تغيير الهوية المنطقية أو Ownership أو Aggregates أو العلاقات. تظل الهوية المنطقية UUIDv7، ويحدد هذا الملحق فقط تمثيلها عند التخزين في MySQL.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0"/>
        <w:gridCol w:w="7410"/>
      </w:tblGrid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  <w:t>البند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rPr>
                <w:b/>
              </w:rPr>
              <w:t>القرار المعتمد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Logical identity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UUIDv7 / 128-bit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MySQL PK/FK storage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BINARY(16)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Byte order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RFC 9562 network byte order (big-endian)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Byte transformation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لا إعادة ترتيب لبايتات UUIDv7؛ raw 16 bytes كما هي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MySQL UUID_TO_BIN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إذا استُخدمت الدالة يكون swap_flag = 0 فقط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API / Contracts representation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Canonical UUID text string عند حدود API والتشخيص؛ لا يكشف شكل التخزين الفيزيائي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Indexing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PK/Unique/FK indexes على BINARY(16)؛ ترتيب UUIDv7 الزمني الطبيعي محفوظ</w:t>
            </w:r>
          </w:p>
        </w:tc>
      </w:tr>
      <w:tr>
        <w:trPr>
          <w:cantSplit/>
        </w:trPr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PK/FK compatibility</w:t>
            </w:r>
          </w:p>
        </w:tc>
        <w:tc>
          <w:tcPr>
            <w:tcW w:type="dxa" w:w="7410"/>
            <w:vAlign w:val="center"/>
          </w:tcPr>
          <w:p>
            <w:pPr>
              <w:bidi w:val="1"/>
              <w:jc w:val="right"/>
            </w:pPr>
            <w:r>
              <w:t>كل FK إلى UUIDv7 يجب أن يستخدم BINARY(16) بنفس التمثيل تمامًا</w:t>
            </w:r>
          </w:p>
        </w:tc>
      </w:tr>
    </w:tbl>
    <w:p>
      <w:pPr>
        <w:bidi w:val="1"/>
        <w:jc w:val="right"/>
      </w:pPr>
      <w:r>
        <w:t>مصادر القرار: RFC 9562 (UUID format, UUIDv7, sorting, DBMS considerations) وMySQL Reference Manual — UUID_TO_BIN/BIN_TO_UUID. UUIDv7 مصمم للفرز كـraw bytes، بينما MySQL time-part swap مصمم لفائدة UUIDv1 ولا يطبق على UUIDv7.</w:t>
      </w:r>
    </w:p>
    <w:p>
      <w:pPr>
        <w:bidi w:val="1"/>
        <w:jc w:val="right"/>
      </w:pPr>
      <w:r>
        <w:t>الحالة: OTS-W1-002 = CLOSED / APPROVED FOR DDL &amp; MIGRATIONS</w:t>
      </w:r>
    </w:p>
    <w:sectPr w:rsidR="00FC693F" w:rsidRPr="0006063C" w:rsidSect="00034616">
      <w:pgSz w:w="15840" w:h="12240" w:orient="landscape"/>
      <w:pgMar w:top="680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